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widowControl/>
        <w:jc w:val="center"/>
        <w:textAlignment w:val="center"/>
        <w:rPr>
          <w:rFonts w:ascii="方正小标宋简体" w:eastAsia="方正小标宋简体" w:cs="方正小标宋简体"/>
          <w:color w:val="000000"/>
          <w:kern w:val="0"/>
          <w:sz w:val="44"/>
          <w:szCs w:val="44"/>
        </w:rPr>
      </w:pPr>
      <w:r>
        <w:rPr>
          <w:rFonts w:ascii="方正小标宋简体" w:eastAsia="方正小标宋简体" w:cs="方正小标宋简体" w:hint="eastAsia"/>
          <w:color w:val="000000"/>
          <w:kern w:val="0"/>
          <w:sz w:val="44"/>
          <w:szCs w:val="44"/>
        </w:rPr>
        <w:t>履职行权规程</w:t>
      </w:r>
    </w:p>
    <w:tbl>
      <w:tblPr>
        <w:jc w:val="center"/>
        <w:tblW w:w="102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Pr>
      <w:tblGrid>
        <w:gridCol w:w="1463"/>
        <w:gridCol w:w="1050"/>
        <w:gridCol w:w="641"/>
        <w:gridCol w:w="1691"/>
        <w:gridCol w:w="1254"/>
        <w:gridCol w:w="709"/>
        <w:gridCol w:w="992"/>
        <w:gridCol w:w="567"/>
        <w:gridCol w:w="772"/>
        <w:gridCol w:w="1159"/>
      </w:tblGrid>
      <w:tr>
        <w:trPr>
          <w:trHeight w:val="424"/>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编号</w:t>
            </w:r>
          </w:p>
        </w:tc>
        <w:tc>
          <w:tcPr>
            <w:tcW w:w="1691" w:type="dxa"/>
            <w:gridSpan w:val="2"/>
            <w:tcBorders>
              <w:tl2br w:val="nil"/>
              <w:tr2bl w:val="nil"/>
            </w:tcBorders>
            <w:shd w:val="clear" w:color="auto" w:fill="auto"/>
            <w:vAlign w:val="center"/>
          </w:tcPr>
          <w:p>
            <w:pPr>
              <w:jc w:val="center"/>
              <w:rPr>
                <w:rFonts w:ascii="黑体" w:eastAsia="黑体" w:cs="黑体"/>
                <w:b/>
                <w:bCs/>
                <w:color w:val="000000"/>
                <w:szCs w:val="21"/>
              </w:rPr>
            </w:pPr>
          </w:p>
        </w:tc>
        <w:tc>
          <w:tcPr>
            <w:tcW w:w="1691" w:type="dxa"/>
            <w:tcBorders>
              <w:tl2br w:val="nil"/>
              <w:tr2bl w:val="nil"/>
            </w:tcBorders>
            <w:shd w:val="clear" w:color="auto" w:fill="auto"/>
            <w:vAlign w:val="center"/>
          </w:tcPr>
          <w:p>
            <w:pPr>
              <w:jc w:val="center"/>
              <w:rPr>
                <w:rFonts w:ascii="黑体" w:eastAsia="黑体" w:cs="黑体"/>
                <w:b/>
                <w:bCs/>
                <w:color w:val="000000"/>
                <w:szCs w:val="21"/>
              </w:rPr>
            </w:pPr>
            <w:r>
              <w:rPr>
                <w:rFonts w:ascii="黑体" w:eastAsia="黑体" w:cs="黑体" w:hint="eastAsia"/>
                <w:b/>
                <w:bCs/>
                <w:color w:val="000000"/>
                <w:kern w:val="0"/>
                <w:szCs w:val="21"/>
              </w:rPr>
              <w:t>权力类型</w:t>
            </w:r>
          </w:p>
        </w:tc>
        <w:tc>
          <w:tcPr>
            <w:tcW w:w="1963"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行政确认</w:t>
            </w:r>
          </w:p>
        </w:tc>
        <w:tc>
          <w:tcPr>
            <w:tcW w:w="155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实施主体</w:t>
            </w:r>
          </w:p>
        </w:tc>
        <w:tc>
          <w:tcPr>
            <w:tcW w:w="1931"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lang w:eastAsia="zh-CN"/>
              </w:rPr>
              <w:t>县</w:t>
            </w:r>
            <w:r>
              <w:rPr>
                <w:rFonts w:ascii="仿宋_GB2312" w:eastAsia="仿宋_GB2312" w:cs="仿宋_GB2312" w:hint="eastAsia"/>
                <w:color w:val="000000"/>
                <w:kern w:val="0"/>
                <w:sz w:val="18"/>
                <w:szCs w:val="18"/>
              </w:rPr>
              <w:t>资源规划局</w:t>
            </w:r>
          </w:p>
        </w:tc>
      </w:tr>
      <w:tr>
        <w:trPr>
          <w:trHeight w:val="405"/>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事项名称</w:t>
            </w:r>
          </w:p>
        </w:tc>
        <w:tc>
          <w:tcPr>
            <w:tcW w:w="8835" w:type="dxa"/>
            <w:gridSpan w:val="9"/>
            <w:tcBorders>
              <w:tl2br w:val="nil"/>
              <w:tr2bl w:val="nil"/>
            </w:tcBorders>
            <w:shd w:val="clear" w:color="auto" w:fill="auto"/>
            <w:vAlign w:val="center"/>
          </w:tcPr>
          <w:p>
            <w:pPr>
              <w:jc w:val="center"/>
              <w:rPr>
                <w:rFonts w:ascii="黑体" w:eastAsia="黑体" w:cs="黑体"/>
                <w:b/>
                <w:bCs/>
                <w:color w:val="000000"/>
                <w:szCs w:val="21"/>
              </w:rPr>
            </w:pPr>
            <w:r>
              <w:rPr>
                <w:rFonts w:ascii="仿宋_GB2312" w:eastAsia="仿宋_GB2312" w:cs="仿宋_GB2312" w:hint="eastAsia"/>
                <w:color w:val="000000"/>
                <w:kern w:val="0"/>
                <w:sz w:val="18"/>
                <w:szCs w:val="18"/>
              </w:rPr>
              <w:t>闲置土地认定</w:t>
            </w:r>
          </w:p>
        </w:tc>
      </w:tr>
      <w:tr>
        <w:trPr>
          <w:trHeight w:val="1371"/>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履职依据</w:t>
            </w:r>
          </w:p>
        </w:tc>
        <w:tc>
          <w:tcPr>
            <w:tcW w:w="8835" w:type="dxa"/>
            <w:gridSpan w:val="9"/>
            <w:tcBorders>
              <w:tl2br w:val="nil"/>
              <w:tr2bl w:val="nil"/>
            </w:tcBorders>
            <w:shd w:val="clear" w:color="auto" w:fill="auto"/>
            <w:vAlign w:val="center"/>
          </w:tcPr>
          <w:p>
            <w:pPr>
              <w:spacing w:line="240" w:lineRule="exact"/>
              <w:rPr>
                <w:rFonts w:ascii="黑体" w:eastAsia="黑体" w:cs="仿宋_GB2312" w:hAnsi="黑体"/>
                <w:kern w:val="0"/>
                <w:sz w:val="18"/>
                <w:szCs w:val="18"/>
              </w:rPr>
            </w:pPr>
            <w:r>
              <w:rPr>
                <w:rFonts w:ascii="黑体" w:eastAsia="黑体" w:cs="仿宋_GB2312" w:hAnsi="黑体" w:hint="eastAsia"/>
                <w:kern w:val="0"/>
                <w:sz w:val="18"/>
                <w:szCs w:val="18"/>
              </w:rPr>
              <w:t>【法律法规】</w:t>
            </w:r>
          </w:p>
          <w:p>
            <w:pPr>
              <w:spacing w:line="240" w:lineRule="exact"/>
              <w:rPr>
                <w:rFonts w:ascii="仿宋_GB2312" w:eastAsia="仿宋_GB2312" w:cs="仿宋_GB2312"/>
                <w:kern w:val="0"/>
                <w:sz w:val="18"/>
                <w:szCs w:val="18"/>
              </w:rPr>
            </w:pPr>
            <w:r>
              <w:rPr>
                <w:rFonts w:ascii="仿宋_GB2312" w:eastAsia="仿宋_GB2312" w:cs="仿宋_GB2312" w:hint="eastAsia"/>
                <w:kern w:val="0"/>
                <w:sz w:val="18"/>
                <w:szCs w:val="18"/>
              </w:rPr>
              <w:t>《中华人民共和国土地管理法》第三十八条</w:t>
            </w:r>
          </w:p>
          <w:p>
            <w:pPr>
              <w:spacing w:line="240" w:lineRule="exact"/>
              <w:rPr>
                <w:rFonts w:ascii="仿宋_GB2312" w:eastAsia="仿宋_GB2312" w:cs="仿宋_GB2312"/>
                <w:kern w:val="0"/>
                <w:sz w:val="18"/>
                <w:szCs w:val="18"/>
              </w:rPr>
            </w:pPr>
            <w:r>
              <w:rPr>
                <w:rFonts w:ascii="仿宋_GB2312" w:eastAsia="仿宋_GB2312" w:cs="仿宋_GB2312" w:hint="eastAsia"/>
                <w:kern w:val="0"/>
                <w:sz w:val="18"/>
                <w:szCs w:val="18"/>
              </w:rPr>
              <w:t>《</w:t>
            </w:r>
            <w:r>
              <w:rPr>
                <w:rFonts w:ascii="仿宋_GB2312" w:eastAsia="仿宋_GB2312" w:cs="仿宋_GB2312"/>
                <w:kern w:val="0"/>
                <w:sz w:val="18"/>
                <w:szCs w:val="18"/>
              </w:rPr>
              <w:t>中华人民共和国</w:t>
            </w:r>
            <w:r>
              <w:rPr>
                <w:rFonts w:ascii="仿宋_GB2312" w:eastAsia="仿宋_GB2312" w:cs="仿宋_GB2312" w:hint="eastAsia"/>
                <w:kern w:val="0"/>
                <w:sz w:val="18"/>
                <w:szCs w:val="18"/>
              </w:rPr>
              <w:t>闲置土地处置办法》第五条</w:t>
            </w:r>
          </w:p>
          <w:p>
            <w:pPr>
              <w:spacing w:line="240" w:lineRule="exact"/>
              <w:rPr>
                <w:rFonts w:ascii="黑体" w:eastAsia="黑体" w:cs="仿宋_GB2312" w:hAnsi="黑体"/>
                <w:kern w:val="0"/>
                <w:sz w:val="18"/>
                <w:szCs w:val="18"/>
              </w:rPr>
            </w:pPr>
            <w:r>
              <w:rPr>
                <w:rFonts w:ascii="黑体" w:eastAsia="黑体" w:cs="仿宋_GB2312" w:hAnsi="黑体" w:hint="eastAsia"/>
                <w:kern w:val="0"/>
                <w:sz w:val="18"/>
                <w:szCs w:val="18"/>
              </w:rPr>
              <w:t>【三定规定】</w:t>
            </w:r>
          </w:p>
          <w:p>
            <w:pPr>
              <w:spacing w:line="240" w:lineRule="exact"/>
              <w:rPr>
                <w:rFonts w:ascii="黑体" w:eastAsia="黑体" w:cs="黑体"/>
                <w:b/>
                <w:bCs/>
                <w:color w:val="000000"/>
                <w:szCs w:val="21"/>
              </w:rPr>
            </w:pPr>
            <w:r>
              <w:rPr>
                <w:rFonts w:ascii="仿宋_GB2312" w:eastAsia="仿宋_GB2312" w:cs="仿宋_GB2312" w:hint="eastAsia"/>
                <w:kern w:val="0"/>
                <w:sz w:val="18"/>
                <w:szCs w:val="18"/>
              </w:rPr>
              <w:t>昌办字</w:t>
            </w:r>
            <w:r>
              <w:rPr>
                <w:rFonts w:ascii="宋体" w:cs="仿宋_GB2312" w:hAnsi="宋体" w:hint="eastAsia"/>
                <w:kern w:val="0"/>
                <w:sz w:val="18"/>
                <w:szCs w:val="18"/>
              </w:rPr>
              <w:t>﹝</w:t>
            </w:r>
            <w:r>
              <w:rPr>
                <w:rFonts w:ascii="仿宋_GB2312" w:eastAsia="仿宋_GB2312" w:cs="仿宋_GB2312" w:hint="eastAsia"/>
                <w:kern w:val="0"/>
                <w:sz w:val="18"/>
                <w:szCs w:val="18"/>
              </w:rPr>
              <w:t>2019</w:t>
            </w:r>
            <w:r>
              <w:rPr>
                <w:rFonts w:ascii="宋体" w:cs="仿宋_GB2312" w:hAnsi="宋体" w:hint="eastAsia"/>
                <w:kern w:val="0"/>
                <w:sz w:val="18"/>
                <w:szCs w:val="18"/>
              </w:rPr>
              <w:t>﹞3</w:t>
            </w:r>
            <w:r>
              <w:rPr>
                <w:rFonts w:ascii="仿宋_GB2312" w:eastAsia="仿宋_GB2312" w:cs="仿宋_GB2312" w:hint="eastAsia"/>
                <w:kern w:val="0"/>
                <w:sz w:val="18"/>
                <w:szCs w:val="18"/>
              </w:rPr>
              <w:t>9号  第六条(</w:t>
            </w:r>
            <w:r>
              <w:rPr>
                <w:rFonts w:ascii="仿宋_GB2312" w:eastAsia="仿宋_GB2312" w:cs="仿宋_GB2312" w:hint="eastAsia"/>
                <w:kern w:val="0"/>
                <w:sz w:val="18"/>
                <w:szCs w:val="18"/>
                <w:lang w:eastAsia="zh-CN"/>
              </w:rPr>
              <w:t>四）国土空间用途管制</w:t>
            </w:r>
          </w:p>
        </w:tc>
      </w:tr>
      <w:tr>
        <w:trPr>
          <w:trHeight w:val="420"/>
        </w:trPr>
        <w:tc>
          <w:tcPr>
            <w:tcW w:w="1463"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履职流程</w:t>
            </w:r>
          </w:p>
        </w:tc>
        <w:tc>
          <w:tcPr>
            <w:tcW w:w="105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办理环节</w:t>
            </w:r>
          </w:p>
        </w:tc>
        <w:tc>
          <w:tcPr>
            <w:tcW w:w="5287" w:type="dxa"/>
            <w:gridSpan w:val="5"/>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办理内容</w:t>
            </w:r>
          </w:p>
        </w:tc>
        <w:tc>
          <w:tcPr>
            <w:tcW w:w="133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办理时限</w:t>
            </w:r>
          </w:p>
        </w:tc>
        <w:tc>
          <w:tcPr>
            <w:tcW w:w="1159"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责任科室</w:t>
            </w:r>
          </w:p>
        </w:tc>
      </w:tr>
      <w:tr>
        <w:trPr>
          <w:trHeight w:val="1341"/>
        </w:trPr>
        <w:tc>
          <w:tcPr>
            <w:tcW w:w="1463" w:type="dxa"/>
            <w:vMerg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color w:val="000000"/>
                <w:sz w:val="18"/>
                <w:szCs w:val="18"/>
              </w:rPr>
            </w:pPr>
            <w:r>
              <w:rPr>
                <w:rFonts w:ascii="黑体" w:eastAsia="黑体" w:cs="黑体" w:hint="eastAsia"/>
                <w:color w:val="000000"/>
                <w:sz w:val="18"/>
                <w:szCs w:val="18"/>
              </w:rPr>
              <w:t>调查</w:t>
            </w:r>
          </w:p>
        </w:tc>
        <w:tc>
          <w:tcPr>
            <w:tcW w:w="5287" w:type="dxa"/>
            <w:gridSpan w:val="5"/>
            <w:tcBorders>
              <w:tl2br w:val="nil"/>
              <w:tr2bl w:val="nil"/>
            </w:tcBorders>
            <w:shd w:val="clear" w:color="auto" w:fill="auto"/>
            <w:vAlign w:val="center"/>
          </w:tcPr>
          <w:p>
            <w:pPr>
              <w:rPr>
                <w:rFonts w:ascii="黑体" w:eastAsia="黑体" w:cs="黑体"/>
                <w:color w:val="000000"/>
                <w:sz w:val="18"/>
                <w:szCs w:val="18"/>
              </w:rPr>
            </w:pPr>
            <w:r>
              <w:rPr>
                <w:rFonts w:ascii="仿宋_GB2312" w:eastAsia="仿宋_GB2312" w:cs="仿宋_GB2312" w:hint="eastAsia"/>
                <w:color w:val="000000"/>
                <w:kern w:val="0"/>
                <w:sz w:val="18"/>
                <w:szCs w:val="18"/>
              </w:rPr>
              <w:t>自然资源主管部门发现有涉嫌构成闲置土地的，开展调查核实，向国有建设用地使用权人发出《闲置土地调查通知书》。县自然资源主管部门通过询问、现场勘测、拍照、摄像、查阅资料等方式调查闲置土地；要求被调查人就有关土地权利及使用问题作出说明</w:t>
            </w:r>
          </w:p>
        </w:tc>
        <w:tc>
          <w:tcPr>
            <w:tcW w:w="1339" w:type="dxa"/>
            <w:gridSpan w:val="2"/>
            <w:vMerge w:val="restart"/>
            <w:tcBorders>
              <w:tl2br w:val="nil"/>
              <w:tr2bl w:val="nil"/>
            </w:tcBorders>
            <w:shd w:val="clear" w:color="auto" w:fill="auto"/>
            <w:vAlign w:val="center"/>
          </w:tcPr>
          <w:p>
            <w:pPr>
              <w:rPr>
                <w:rFonts w:ascii="黑体" w:eastAsia="黑体" w:cs="黑体"/>
                <w:color w:val="000000"/>
                <w:sz w:val="18"/>
                <w:szCs w:val="18"/>
              </w:rPr>
            </w:pPr>
            <w:r>
              <w:rPr>
                <w:rFonts w:ascii="仿宋_GB2312" w:eastAsia="仿宋_GB2312" w:cs="仿宋_GB2312" w:hint="eastAsia"/>
                <w:color w:val="000000"/>
                <w:kern w:val="0"/>
                <w:sz w:val="18"/>
                <w:szCs w:val="18"/>
              </w:rPr>
              <w:t xml:space="preserve">   3个工作日</w:t>
            </w:r>
          </w:p>
        </w:tc>
        <w:tc>
          <w:tcPr>
            <w:tcW w:w="1159" w:type="dxa"/>
            <w:tcBorders>
              <w:tl2br w:val="nil"/>
              <w:tr2bl w:val="nil"/>
            </w:tcBorders>
            <w:shd w:val="clear" w:color="auto" w:fill="auto"/>
            <w:vAlign w:val="center"/>
          </w:tcPr>
          <w:p>
            <w:pPr>
              <w:ind w:firstLineChars="200" w:firstLine="360"/>
              <w:jc w:val="both"/>
              <w:rPr>
                <w:rFonts w:ascii="仿宋_GB2312" w:eastAsia="仿宋_GB2312" w:cs="仿宋_GB2312" w:hint="eastAsia"/>
                <w:color w:val="000000"/>
                <w:kern w:val="0"/>
                <w:sz w:val="18"/>
                <w:szCs w:val="18"/>
                <w:lang w:eastAsia="zh-CN"/>
              </w:rPr>
            </w:pPr>
            <w:r>
              <w:rPr>
                <w:rFonts w:ascii="仿宋_GB2312" w:eastAsia="仿宋_GB2312" w:cs="仿宋_GB2312" w:hint="eastAsia"/>
                <w:color w:val="000000"/>
                <w:kern w:val="0"/>
                <w:sz w:val="18"/>
                <w:szCs w:val="18"/>
                <w:lang w:eastAsia="zh-CN"/>
              </w:rPr>
              <w:t>利用股</w:t>
            </w:r>
          </w:p>
        </w:tc>
      </w:tr>
      <w:tr>
        <w:trPr>
          <w:trHeight w:val="335"/>
        </w:trPr>
        <w:tc>
          <w:tcPr>
            <w:tcW w:w="1463" w:type="dxa"/>
            <w:vMerg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color w:val="000000"/>
                <w:sz w:val="18"/>
                <w:szCs w:val="18"/>
              </w:rPr>
            </w:pPr>
            <w:r>
              <w:rPr>
                <w:rFonts w:ascii="黑体" w:eastAsia="黑体" w:cs="黑体" w:hint="eastAsia"/>
                <w:color w:val="000000"/>
                <w:sz w:val="18"/>
                <w:szCs w:val="18"/>
              </w:rPr>
              <w:t>认定</w:t>
            </w:r>
          </w:p>
        </w:tc>
        <w:tc>
          <w:tcPr>
            <w:tcW w:w="5287" w:type="dxa"/>
            <w:gridSpan w:val="5"/>
            <w:tcBorders>
              <w:tl2br w:val="nil"/>
              <w:tr2bl w:val="nil"/>
            </w:tcBorders>
            <w:shd w:val="clear" w:color="auto" w:fill="auto"/>
            <w:vAlign w:val="center"/>
          </w:tcPr>
          <w:p>
            <w:pPr>
              <w:rPr>
                <w:rFonts w:ascii="黑体" w:eastAsia="黑体" w:cs="黑体"/>
                <w:color w:val="000000"/>
                <w:sz w:val="18"/>
                <w:szCs w:val="18"/>
              </w:rPr>
            </w:pPr>
            <w:r>
              <w:rPr>
                <w:rFonts w:ascii="仿宋_GB2312" w:eastAsia="仿宋_GB2312" w:cs="仿宋_GB2312" w:hint="eastAsia"/>
                <w:color w:val="000000"/>
                <w:kern w:val="0"/>
                <w:sz w:val="18"/>
                <w:szCs w:val="18"/>
              </w:rPr>
              <w:t>经调查核实，构成闲置土地的，自然资源主管部门应当向国有建设用地使用权人下达《闲置土地认定书》</w:t>
            </w:r>
          </w:p>
        </w:tc>
        <w:tc>
          <w:tcPr>
            <w:tcW w:w="1339" w:type="dxa"/>
            <w:gridSpan w:val="2"/>
            <w:vMerge/>
            <w:tcBorders>
              <w:tl2br w:val="nil"/>
              <w:tr2bl w:val="nil"/>
            </w:tcBorders>
            <w:shd w:val="clear" w:color="auto" w:fill="auto"/>
            <w:vAlign w:val="center"/>
          </w:tcPr>
          <w:p/>
        </w:tc>
        <w:tc>
          <w:tcPr>
            <w:tcW w:w="1159" w:type="dxa"/>
            <w:tcBorders>
              <w:tl2br w:val="nil"/>
              <w:tr2bl w:val="nil"/>
            </w:tcBorders>
            <w:shd w:val="clear" w:color="auto" w:fill="auto"/>
            <w:vAlign w:val="center"/>
          </w:tcPr>
          <w:p>
            <w:pPr>
              <w:jc w:val="center"/>
              <w:rPr>
                <w:rFonts w:ascii="仿宋_GB2312" w:eastAsia="仿宋_GB2312" w:cs="仿宋_GB2312" w:hint="eastAsia"/>
                <w:color w:val="000000"/>
                <w:kern w:val="0"/>
                <w:sz w:val="18"/>
                <w:szCs w:val="18"/>
                <w:lang w:eastAsia="zh-CN"/>
              </w:rPr>
            </w:pPr>
            <w:r>
              <w:rPr>
                <w:rFonts w:ascii="仿宋_GB2312" w:eastAsia="仿宋_GB2312" w:cs="仿宋_GB2312" w:hint="eastAsia"/>
                <w:color w:val="000000"/>
                <w:kern w:val="0"/>
                <w:sz w:val="18"/>
                <w:szCs w:val="18"/>
                <w:lang w:eastAsia="zh-CN"/>
              </w:rPr>
              <w:t>利用股</w:t>
            </w:r>
          </w:p>
        </w:tc>
      </w:tr>
      <w:tr>
        <w:trPr>
          <w:trHeight w:val="1980"/>
        </w:trPr>
        <w:tc>
          <w:tcPr>
            <w:tcW w:w="1463" w:type="dxa"/>
            <w:vMerg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color w:val="000000"/>
                <w:sz w:val="18"/>
                <w:szCs w:val="18"/>
              </w:rPr>
            </w:pPr>
            <w:r>
              <w:rPr>
                <w:rFonts w:ascii="黑体" w:eastAsia="黑体" w:cs="黑体" w:hint="eastAsia"/>
                <w:color w:val="000000"/>
                <w:sz w:val="18"/>
                <w:szCs w:val="18"/>
              </w:rPr>
              <w:t>送达</w:t>
            </w:r>
          </w:p>
        </w:tc>
        <w:tc>
          <w:tcPr>
            <w:tcW w:w="5287" w:type="dxa"/>
            <w:gridSpan w:val="5"/>
            <w:tcBorders>
              <w:tl2br w:val="nil"/>
              <w:tr2bl w:val="nil"/>
            </w:tcBorders>
            <w:shd w:val="clear" w:color="auto" w:fill="auto"/>
            <w:vAlign w:val="center"/>
          </w:tcPr>
          <w:p>
            <w:pP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《闲置土地认定书》应当载明下列事项：</w:t>
            </w:r>
          </w:p>
          <w:p>
            <w:pP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（一）国有建设用地使用权人的姓名或者名称、地址</w:t>
            </w:r>
          </w:p>
          <w:p>
            <w:pP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（二）闲置土地的基本情况</w:t>
            </w:r>
          </w:p>
          <w:p>
            <w:pP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（三）认定土地闲置的事实、依据</w:t>
            </w:r>
          </w:p>
          <w:p>
            <w:pP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（四）闲置原因及认定结论</w:t>
            </w:r>
          </w:p>
          <w:p>
            <w:pPr>
              <w:rPr>
                <w:rFonts w:ascii="黑体" w:eastAsia="黑体" w:cs="黑体"/>
                <w:color w:val="000000"/>
                <w:sz w:val="18"/>
                <w:szCs w:val="18"/>
              </w:rPr>
            </w:pPr>
            <w:r>
              <w:rPr>
                <w:rFonts w:ascii="仿宋_GB2312" w:eastAsia="仿宋_GB2312" w:cs="仿宋_GB2312" w:hint="eastAsia"/>
                <w:color w:val="000000"/>
                <w:kern w:val="0"/>
                <w:sz w:val="18"/>
                <w:szCs w:val="18"/>
              </w:rPr>
              <w:t>（五）其他需要说明的事项</w:t>
            </w:r>
          </w:p>
        </w:tc>
        <w:tc>
          <w:tcPr>
            <w:tcW w:w="1339" w:type="dxa"/>
            <w:gridSpan w:val="2"/>
            <w:vMerge/>
            <w:tcBorders>
              <w:tl2br w:val="nil"/>
              <w:tr2bl w:val="nil"/>
            </w:tcBorders>
            <w:shd w:val="clear" w:color="auto" w:fill="auto"/>
            <w:vAlign w:val="center"/>
          </w:tcPr>
          <w:p/>
        </w:tc>
        <w:tc>
          <w:tcPr>
            <w:tcW w:w="1159" w:type="dxa"/>
            <w:tcBorders>
              <w:tl2br w:val="nil"/>
              <w:tr2bl w:val="nil"/>
            </w:tcBorders>
            <w:shd w:val="clear" w:color="auto" w:fill="auto"/>
            <w:vAlign w:val="center"/>
          </w:tcPr>
          <w:p>
            <w:pPr>
              <w:jc w:val="center"/>
              <w:rPr>
                <w:rFonts w:ascii="仿宋_GB2312" w:eastAsia="仿宋_GB2312" w:cs="仿宋_GB2312" w:hint="eastAsia"/>
                <w:color w:val="000000"/>
                <w:kern w:val="0"/>
                <w:sz w:val="18"/>
                <w:szCs w:val="18"/>
                <w:lang w:eastAsia="zh-CN"/>
              </w:rPr>
            </w:pPr>
            <w:r>
              <w:rPr>
                <w:rFonts w:ascii="仿宋_GB2312" w:eastAsia="仿宋_GB2312" w:cs="仿宋_GB2312" w:hint="eastAsia"/>
                <w:color w:val="000000"/>
                <w:kern w:val="0"/>
                <w:sz w:val="18"/>
                <w:szCs w:val="18"/>
                <w:lang w:eastAsia="zh-CN"/>
              </w:rPr>
              <w:t>利用股</w:t>
            </w:r>
          </w:p>
        </w:tc>
      </w:tr>
      <w:tr>
        <w:trPr>
          <w:trHeight w:val="501"/>
        </w:trPr>
        <w:tc>
          <w:tcPr>
            <w:tcW w:w="1463" w:type="dxa"/>
            <w:tcBorders>
              <w:tl2br w:val="nil"/>
              <w:tr2bl w:val="nil"/>
            </w:tcBorders>
            <w:shd w:val="clear" w:color="auto" w:fill="auto"/>
            <w:vAlign w:val="center"/>
          </w:tcPr>
          <w:p>
            <w:pPr>
              <w:jc w:val="center"/>
              <w:rPr>
                <w:rFonts w:ascii="黑体" w:eastAsia="黑体" w:hAnsi="黑体"/>
                <w:b/>
              </w:rPr>
            </w:pPr>
            <w:r>
              <w:rPr>
                <w:rFonts w:ascii="黑体" w:eastAsia="黑体" w:hAnsi="黑体" w:hint="eastAsia"/>
                <w:b/>
              </w:rPr>
              <w:t>办理渠道</w:t>
            </w:r>
          </w:p>
        </w:tc>
        <w:tc>
          <w:tcPr>
            <w:tcW w:w="4636" w:type="dxa"/>
            <w:gridSpan w:val="4"/>
            <w:tcBorders>
              <w:tl2br w:val="nil"/>
              <w:tr2bl w:val="nil"/>
            </w:tcBorders>
            <w:shd w:val="clear" w:color="auto" w:fill="auto"/>
            <w:vAlign w:val="center"/>
          </w:tcPr>
          <w:p>
            <w:pP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现场办理</w:t>
            </w:r>
          </w:p>
        </w:tc>
        <w:tc>
          <w:tcPr>
            <w:tcW w:w="1701" w:type="dxa"/>
            <w:gridSpan w:val="2"/>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ascii="黑体" w:eastAsia="黑体" w:cs="黑体" w:hint="eastAsia"/>
                <w:b/>
                <w:bCs/>
                <w:kern w:val="0"/>
                <w:szCs w:val="21"/>
              </w:rPr>
              <w:t>是否容缺办理</w:t>
            </w:r>
          </w:p>
        </w:tc>
        <w:tc>
          <w:tcPr>
            <w:tcW w:w="2498" w:type="dxa"/>
            <w:gridSpan w:val="3"/>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否</w:t>
            </w:r>
          </w:p>
        </w:tc>
      </w:tr>
      <w:tr>
        <w:trPr>
          <w:trHeight w:val="698"/>
        </w:trPr>
        <w:tc>
          <w:tcPr>
            <w:tcW w:w="1463" w:type="dxa"/>
            <w:tcBorders>
              <w:tl2br w:val="nil"/>
              <w:tr2bl w:val="nil"/>
            </w:tcBorders>
            <w:shd w:val="clear" w:color="auto" w:fill="auto"/>
            <w:vAlign w:val="center"/>
          </w:tcPr>
          <w:p>
            <w:pPr>
              <w:widowControl/>
              <w:jc w:val="center"/>
              <w:textAlignment w:val="center"/>
              <w:rPr>
                <w:rFonts w:ascii="黑体" w:eastAsia="黑体" w:cs="黑体"/>
                <w:b/>
                <w:bCs/>
                <w:kern w:val="0"/>
                <w:szCs w:val="21"/>
              </w:rPr>
            </w:pPr>
            <w:r>
              <w:rPr>
                <w:rFonts w:ascii="黑体" w:eastAsia="黑体" w:cs="黑体" w:hint="eastAsia"/>
                <w:b/>
                <w:bCs/>
                <w:kern w:val="0"/>
                <w:szCs w:val="21"/>
              </w:rPr>
              <w:t>所需资料</w:t>
            </w:r>
          </w:p>
        </w:tc>
        <w:tc>
          <w:tcPr>
            <w:tcW w:w="8835" w:type="dxa"/>
            <w:gridSpan w:val="9"/>
            <w:tcBorders>
              <w:tl2br w:val="nil"/>
              <w:tr2bl w:val="nil"/>
            </w:tcBorders>
            <w:shd w:val="clear" w:color="auto" w:fill="auto"/>
            <w:vAlign w:val="center"/>
          </w:tcPr>
          <w:p>
            <w:pPr>
              <w:widowControl/>
              <w:spacing w:line="240" w:lineRule="exact"/>
              <w:jc w:val="left"/>
              <w:textAlignment w:val="center"/>
              <w:rPr>
                <w:rStyle w:val="18"/>
                <w:color w:val="auto"/>
              </w:rPr>
            </w:pPr>
            <w:r>
              <w:rPr>
                <w:rStyle w:val="18"/>
                <w:rFonts w:hint="eastAsia"/>
                <w:color w:val="auto"/>
              </w:rPr>
              <w:t>1.土地开发利用情况</w:t>
            </w:r>
          </w:p>
          <w:p>
            <w:pPr>
              <w:widowControl/>
              <w:spacing w:line="240" w:lineRule="exact"/>
              <w:jc w:val="left"/>
              <w:textAlignment w:val="center"/>
              <w:rPr>
                <w:rStyle w:val="18"/>
                <w:color w:val="auto"/>
              </w:rPr>
            </w:pPr>
            <w:r>
              <w:rPr>
                <w:rStyle w:val="18"/>
                <w:rFonts w:hint="eastAsia"/>
                <w:color w:val="auto"/>
              </w:rPr>
              <w:t>2.闲置原因证明材料</w:t>
            </w:r>
          </w:p>
        </w:tc>
      </w:tr>
      <w:tr>
        <w:trPr>
          <w:trHeight w:val="1091"/>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追责情形</w:t>
            </w:r>
          </w:p>
        </w:tc>
        <w:tc>
          <w:tcPr>
            <w:tcW w:w="8835" w:type="dxa"/>
            <w:gridSpan w:val="9"/>
            <w:tcBorders>
              <w:tl2br w:val="nil"/>
              <w:tr2bl w:val="nil"/>
            </w:tcBorders>
            <w:shd w:val="clear" w:color="auto" w:fill="auto"/>
            <w:vAlign w:val="center"/>
          </w:tcPr>
          <w:p>
            <w:pPr>
              <w:spacing w:line="240" w:lineRule="exact"/>
              <w:rPr>
                <w:rFonts w:ascii="仿宋_GB2312" w:eastAsia="仿宋_GB2312" w:cs="黑体"/>
                <w:color w:val="000000"/>
                <w:sz w:val="18"/>
                <w:szCs w:val="18"/>
              </w:rPr>
            </w:pPr>
            <w:r>
              <w:rPr>
                <w:rFonts w:ascii="仿宋_GB2312" w:eastAsia="仿宋_GB2312" w:cs="黑体" w:hint="eastAsia"/>
                <w:color w:val="000000"/>
                <w:sz w:val="18"/>
                <w:szCs w:val="18"/>
              </w:rPr>
              <w:t>1.未及时发现、处置闲置土地，造成严重后果</w:t>
            </w:r>
          </w:p>
          <w:p>
            <w:pPr>
              <w:spacing w:line="240" w:lineRule="exact"/>
              <w:rPr>
                <w:rFonts w:ascii="仿宋_GB2312" w:eastAsia="仿宋_GB2312" w:cs="黑体"/>
                <w:color w:val="000000"/>
                <w:sz w:val="18"/>
                <w:szCs w:val="18"/>
              </w:rPr>
            </w:pPr>
            <w:r>
              <w:rPr>
                <w:rFonts w:ascii="仿宋_GB2312" w:eastAsia="仿宋_GB2312" w:cs="黑体" w:hint="eastAsia"/>
                <w:color w:val="000000"/>
                <w:sz w:val="18"/>
                <w:szCs w:val="18"/>
              </w:rPr>
              <w:t>2.在履行职责过程中滥用职权、玩忽职守、徇私舞弊的</w:t>
            </w:r>
          </w:p>
          <w:p>
            <w:pPr>
              <w:spacing w:line="240" w:lineRule="exact"/>
              <w:rPr>
                <w:rFonts w:ascii="仿宋_GB2312" w:eastAsia="仿宋_GB2312" w:cs="黑体"/>
                <w:color w:val="000000"/>
                <w:sz w:val="18"/>
                <w:szCs w:val="18"/>
              </w:rPr>
            </w:pPr>
            <w:r>
              <w:rPr>
                <w:rFonts w:ascii="仿宋_GB2312" w:eastAsia="仿宋_GB2312" w:cs="黑体" w:hint="eastAsia"/>
                <w:color w:val="000000"/>
                <w:sz w:val="18"/>
                <w:szCs w:val="18"/>
              </w:rPr>
              <w:t>3.其他违反法律法规规章文件规定的行为</w:t>
            </w:r>
          </w:p>
        </w:tc>
      </w:tr>
      <w:tr>
        <w:trPr>
          <w:trHeight w:val="936"/>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监督方式</w:t>
            </w:r>
          </w:p>
        </w:tc>
        <w:tc>
          <w:tcPr>
            <w:tcW w:w="8835" w:type="dxa"/>
            <w:gridSpan w:val="9"/>
            <w:tcBorders>
              <w:tl2br w:val="nil"/>
              <w:tr2bl w:val="nil"/>
            </w:tcBorders>
            <w:shd w:val="clear" w:color="auto" w:fill="auto"/>
            <w:vAlign w:val="center"/>
          </w:tcPr>
          <w:p>
            <w:pPr>
              <w:widowControl/>
              <w:spacing w:line="240" w:lineRule="exact"/>
              <w:jc w:val="left"/>
              <w:textAlignment w:val="center"/>
              <w:rPr>
                <w:rFonts w:ascii="仿宋_GB2312" w:eastAsia="仿宋_GB2312" w:cs="仿宋_GB2312"/>
                <w:color w:val="000000"/>
                <w:kern w:val="0"/>
                <w:sz w:val="18"/>
                <w:szCs w:val="18"/>
                <w:lang w:val="en-US" w:eastAsia="zh-CN"/>
              </w:rPr>
            </w:pPr>
            <w:r>
              <w:rPr>
                <w:rFonts w:ascii="仿宋_GB2312" w:eastAsia="仿宋_GB2312" w:cs="仿宋_GB2312" w:hint="eastAsia"/>
                <w:color w:val="000000"/>
                <w:kern w:val="0"/>
                <w:sz w:val="18"/>
                <w:szCs w:val="18"/>
                <w:lang w:val="en-US" w:eastAsia="zh-CN"/>
              </w:rPr>
              <w:t>1、</w:t>
            </w:r>
            <w:r>
              <w:rPr>
                <w:rFonts w:ascii="仿宋_GB2312" w:eastAsia="仿宋_GB2312" w:cs="仿宋_GB2312" w:hint="eastAsia"/>
                <w:color w:val="000000"/>
                <w:kern w:val="0"/>
                <w:sz w:val="18"/>
                <w:szCs w:val="18"/>
              </w:rPr>
              <w:t>业务咨询：0335-</w:t>
            </w:r>
            <w:r>
              <w:rPr>
                <w:rFonts w:ascii="仿宋_GB2312" w:eastAsia="仿宋_GB2312" w:cs="仿宋_GB2312" w:hint="eastAsia"/>
                <w:color w:val="000000"/>
                <w:kern w:val="0"/>
                <w:sz w:val="18"/>
                <w:szCs w:val="18"/>
                <w:lang w:val="en-US" w:eastAsia="zh-CN"/>
              </w:rPr>
              <w:t>2861836</w:t>
            </w:r>
          </w:p>
          <w:p>
            <w:pPr>
              <w:widowControl/>
              <w:spacing w:line="240" w:lineRule="exact"/>
              <w:jc w:val="left"/>
              <w:textAlignment w:val="center"/>
              <w:rPr>
                <w:rFonts w:ascii="仿宋_GB2312" w:eastAsia="仿宋_GB2312" w:hAnsi="宋体" w:hint="eastAsia"/>
                <w:color w:val="000000"/>
                <w:kern w:val="0"/>
                <w:sz w:val="18"/>
                <w:szCs w:val="18"/>
              </w:rPr>
            </w:pPr>
            <w:r>
              <w:rPr>
                <w:rFonts w:ascii="仿宋_GB2312" w:eastAsia="仿宋_GB2312" w:cs="仿宋_GB2312" w:hint="eastAsia"/>
                <w:color w:val="000000"/>
                <w:kern w:val="0"/>
                <w:sz w:val="18"/>
                <w:szCs w:val="18"/>
                <w:lang w:val="en-US" w:eastAsia="zh-CN"/>
              </w:rPr>
              <w:t>2、</w:t>
            </w:r>
            <w:r>
              <w:rPr>
                <w:rFonts w:ascii="仿宋_GB2312" w:eastAsia="仿宋_GB2312" w:cs="仿宋_GB2312" w:hint="eastAsia"/>
                <w:color w:val="000000"/>
                <w:kern w:val="0"/>
                <w:sz w:val="18"/>
                <w:szCs w:val="18"/>
              </w:rPr>
              <w:t>投诉举报电话：</w:t>
            </w:r>
            <w:r>
              <w:rPr>
                <w:rFonts w:ascii="仿宋_GB2312" w:eastAsia="仿宋_GB2312" w:hAnsi="宋体" w:hint="eastAsia"/>
                <w:color w:val="000000"/>
                <w:kern w:val="0"/>
                <w:sz w:val="18"/>
                <w:szCs w:val="18"/>
              </w:rPr>
              <w:t>0335</w:t>
            </w:r>
            <w:r>
              <w:rPr>
                <w:rFonts w:ascii="仿宋_GB2312" w:eastAsia="仿宋_GB2312" w:hAnsi="宋体"/>
                <w:color w:val="000000"/>
                <w:kern w:val="0"/>
                <w:sz w:val="18"/>
                <w:szCs w:val="18"/>
              </w:rPr>
              <w:t>—</w:t>
            </w:r>
            <w:r>
              <w:rPr>
                <w:rFonts w:ascii="仿宋_GB2312" w:eastAsia="仿宋_GB2312" w:hAnsi="宋体" w:hint="eastAsia"/>
                <w:color w:val="000000"/>
                <w:kern w:val="0"/>
                <w:sz w:val="18"/>
                <w:szCs w:val="18"/>
              </w:rPr>
              <w:t>2022626</w:t>
            </w:r>
          </w:p>
          <w:p>
            <w:pPr>
              <w:widowControl/>
              <w:spacing w:line="240" w:lineRule="exact"/>
              <w:jc w:val="left"/>
              <w:textAlignment w:val="center"/>
              <w:rPr>
                <w:rFonts w:ascii="黑体" w:eastAsia="黑体" w:cs="黑体"/>
                <w:color w:val="000000"/>
                <w:sz w:val="24"/>
              </w:rPr>
            </w:pPr>
            <w:r>
              <w:rPr>
                <w:rFonts w:ascii="仿宋_GB2312" w:eastAsia="仿宋_GB2312" w:cs="仿宋_GB2312" w:hint="eastAsia"/>
                <w:color w:val="000000"/>
                <w:kern w:val="0"/>
                <w:sz w:val="18"/>
                <w:szCs w:val="18"/>
                <w:lang w:val="en-US" w:eastAsia="zh-CN"/>
              </w:rPr>
              <w:t>3、</w:t>
            </w:r>
            <w:r>
              <w:rPr>
                <w:rFonts w:ascii="仿宋_GB2312" w:eastAsia="仿宋_GB2312" w:cs="黑体" w:hAnsi="黑体" w:hint="eastAsia"/>
                <w:color w:val="000000"/>
                <w:kern w:val="0"/>
                <w:sz w:val="18"/>
                <w:szCs w:val="18"/>
              </w:rPr>
              <w:t>纪检监察投诉：县纪委第四派驻纪检监察组，电话：0335-2608801</w:t>
            </w:r>
          </w:p>
        </w:tc>
      </w:tr>
      <w:tr>
        <w:trPr>
          <w:trHeight w:val="644"/>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法定救济途径</w:t>
            </w:r>
          </w:p>
        </w:tc>
        <w:tc>
          <w:tcPr>
            <w:tcW w:w="8835" w:type="dxa"/>
            <w:gridSpan w:val="9"/>
            <w:tcBorders>
              <w:tl2br w:val="nil"/>
              <w:tr2bl w:val="nil"/>
            </w:tcBorders>
            <w:shd w:val="clear" w:color="auto" w:fill="auto"/>
            <w:vAlign w:val="center"/>
          </w:tcPr>
          <w:p>
            <w:pPr>
              <w:widowControl/>
              <w:jc w:val="left"/>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1.不服许可决定自知道该具体行政行为之日起六十日内向</w:t>
            </w:r>
            <w:r>
              <w:rPr>
                <w:rFonts w:ascii="仿宋_GB2312" w:eastAsia="仿宋_GB2312" w:cs="仿宋_GB2312" w:hint="eastAsia"/>
                <w:color w:val="000000"/>
                <w:kern w:val="0"/>
                <w:sz w:val="18"/>
                <w:szCs w:val="18"/>
                <w:lang w:eastAsia="zh-CN"/>
              </w:rPr>
              <w:t>县</w:t>
            </w:r>
            <w:r>
              <w:rPr>
                <w:rFonts w:ascii="仿宋_GB2312" w:eastAsia="仿宋_GB2312" w:cs="仿宋_GB2312" w:hint="eastAsia"/>
                <w:color w:val="000000"/>
                <w:kern w:val="0"/>
                <w:sz w:val="18"/>
                <w:szCs w:val="18"/>
              </w:rPr>
              <w:t>政府申请行政复议</w:t>
            </w:r>
          </w:p>
          <w:p>
            <w:pPr>
              <w:widowControl/>
              <w:jc w:val="left"/>
              <w:textAlignment w:val="center"/>
              <w:rPr>
                <w:rFonts w:ascii="黑体" w:eastAsia="黑体" w:cs="黑体"/>
                <w:b/>
                <w:bCs/>
                <w:color w:val="000000"/>
                <w:szCs w:val="21"/>
              </w:rPr>
            </w:pPr>
            <w:r>
              <w:rPr>
                <w:rFonts w:ascii="仿宋_GB2312" w:eastAsia="仿宋_GB2312" w:cs="仿宋_GB2312" w:hint="eastAsia"/>
                <w:color w:val="000000"/>
                <w:kern w:val="0"/>
                <w:sz w:val="18"/>
                <w:szCs w:val="18"/>
              </w:rPr>
              <w:t>2.不服许可决定应当自知道或者应当知道作出行政行为之日起六个月内提出向</w:t>
            </w:r>
            <w:r>
              <w:rPr>
                <w:rFonts w:ascii="仿宋_GB2312" w:eastAsia="仿宋_GB2312" w:cs="仿宋_GB2312" w:hint="eastAsia"/>
                <w:color w:val="000000"/>
                <w:kern w:val="0"/>
                <w:sz w:val="18"/>
                <w:szCs w:val="18"/>
                <w:lang w:eastAsia="zh-CN"/>
              </w:rPr>
              <w:t>昌黎县</w:t>
            </w:r>
            <w:r>
              <w:rPr>
                <w:rFonts w:ascii="仿宋_GB2312" w:eastAsia="仿宋_GB2312" w:cs="仿宋_GB2312" w:hint="eastAsia"/>
                <w:color w:val="000000"/>
                <w:kern w:val="0"/>
                <w:sz w:val="18"/>
                <w:szCs w:val="18"/>
              </w:rPr>
              <w:t>人民法院提起行政诉讼</w:t>
            </w:r>
          </w:p>
        </w:tc>
      </w:tr>
      <w:tr>
        <w:trPr>
          <w:trHeight w:val="537"/>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备注</w:t>
            </w:r>
          </w:p>
        </w:tc>
        <w:tc>
          <w:tcPr>
            <w:tcW w:w="8835" w:type="dxa"/>
            <w:gridSpan w:val="9"/>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sectPr>
      <w:pgSz w:w="11906" w:h="16838"/>
      <w:pgMar w:top="1440" w:right="1800" w:bottom="1440" w:left="1800" w:header="851" w:footer="992" w:gutter="0"/>
      <w:cols w:num="1" w:space="72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简体">
    <w:altName w:val="方正小标宋_GBK"/>
    <w:panose1 w:val="03000509000000000000"/>
    <w:charset w:val="86"/>
    <w:family w:val="auto"/>
    <w:pitch w:val="variable"/>
    <w:sig w:usb0="00000001" w:usb1="080E0000" w:usb2="00000000" w:usb3="00000000" w:csb0="00040000" w:csb1="00000000"/>
  </w:font>
  <w:font w:name="黑体">
    <w:panose1 w:val="02010609060101010101"/>
    <w:charset w:val="86"/>
    <w:family w:val="auto"/>
    <w:pitch w:val="variable"/>
    <w:sig w:usb0="800002BF" w:usb1="38CF7CFA" w:usb2="00000016" w:usb3="00000000" w:csb0="00040001" w:csb1="00000000"/>
  </w:font>
  <w:font w:name="仿宋_GB2312">
    <w:altName w:val="仿宋"/>
    <w:panose1 w:val="02010609030101010101"/>
    <w:charset w:val="86"/>
    <w:family w:val="modern"/>
    <w:pitch w:val="variable"/>
    <w:sig w:usb0="00000001" w:usb1="080E0000" w:usb2="00000000" w:usb3="00000000" w:csb0="00040000" w:csb1="00000000"/>
  </w:font>
  <w:font w:name="宋体">
    <w:panose1 w:val="02010600030101010101"/>
    <w:charset w:val="86"/>
    <w:family w:val="auto"/>
    <w:pitch w:val="variable"/>
    <w:sig w:usb0="00000003" w:usb1="288F0000" w:usb2="00000006" w:usb3="00000000" w:csb0="00040001" w:csb1="00000000"/>
  </w:font>
  <w:font w:name="Times New Roman">
    <w:panose1 w:val="02020603050405020304"/>
    <w:charset w:val="00"/>
    <w:family w:val="auto"/>
    <w:pitch w:val="variable"/>
    <w:sig w:usb0="00000A87" w:usb1="00000000" w:usb2="00000000" w:usb3="00000000" w:csb0="400001BF" w:csb1="DFF70000"/>
  </w:font>
  <w:font w:name="Arial">
    <w:panose1 w:val="020B0604020202020204"/>
    <w:charset w:val="01"/>
    <w:family w:val="swiss"/>
    <w:pitch w:val="variable"/>
    <w:sig w:usb0="E0002AFF" w:usb1="C0007843" w:usb2="00000009" w:usb3="00000000" w:csb0="400001FF" w:csb1="FFFF0000"/>
  </w:font>
  <w:font w:name="Calibri">
    <w:panose1 w:val="020F0502020204030204"/>
    <w:charset w:val="00"/>
    <w:family w:val="swiss"/>
    <w:pitch w:val="variable"/>
    <w:sig w:usb0="E00002FF" w:usb1="4000ACFF" w:usb2="00000001" w:usb3="00000000" w:csb0="2000019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20"/>
  <w:bordersDoNotSurroundHeader/>
  <w:bordersDoNotSurroundFooter/>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2"/>
  </w:compat>
  <w:docVars>
    <w:docVar w:name="commondata" w:val="eyJoZGlkIjoiMzhjZGM4NWU5YjQzMDRhODI2MDc4MjM4NWZhZjE0YjA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4"/>
      <w:lang w:val="en-US" w:eastAsia="zh-CN" w:bidi="ar-SA"/>
    </w:rPr>
  </w:style>
  <w:style w:type="paragraph" w:styleId="1">
    <w:name w:val="heading 1"/>
    <w:basedOn w:val="0"/>
    <w:next w:val="0"/>
    <w:pPr>
      <w:keepNext/>
      <w:keepLines/>
      <w:spacing w:before="340" w:after="330" w:line="578" w:lineRule="auto"/>
      <w:outlineLvl w:val="0"/>
    </w:pPr>
    <w:rPr>
      <w:b/>
      <w:bCs/>
      <w:kern w:val="44"/>
      <w:sz w:val="44"/>
      <w:szCs w:val="44"/>
    </w:rPr>
  </w:style>
  <w:style w:type="paragraph" w:styleId="2">
    <w:name w:val="heading 2"/>
    <w:basedOn w:val="0"/>
    <w:next w:val="0"/>
    <w:pPr>
      <w:keepNext/>
      <w:keepLines/>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spacing w:before="260" w:after="260" w:line="415" w:lineRule="auto"/>
      <w:outlineLvl w:val="2"/>
    </w:pPr>
    <w:rPr>
      <w:b/>
      <w:bCs/>
      <w:sz w:val="32"/>
      <w:szCs w:val="32"/>
    </w:rPr>
  </w:style>
  <w:style w:type="character" w:default="1" w:styleId="10">
    <w:name w:val="Default Paragraph Font"/>
  </w:style>
  <w:style w:type="paragraph" w:styleId="15">
    <w:name w:val="Balloon Text"/>
    <w:basedOn w:val="0"/>
    <w:rPr>
      <w:sz w:val="18"/>
      <w:szCs w:val="18"/>
    </w:rPr>
  </w:style>
  <w:style w:type="paragraph" w:styleId="16">
    <w:name w:val="footer"/>
    <w:basedOn w:val="0"/>
    <w:pPr>
      <w:tabs>
        <w:tab w:val="center" w:pos="4153"/>
        <w:tab w:val="right" w:pos="8306"/>
      </w:tabs>
      <w:snapToGrid w:val="0"/>
      <w:jc w:val="left"/>
    </w:pPr>
    <w:rPr>
      <w:sz w:val="18"/>
      <w:szCs w:val="18"/>
    </w:rPr>
  </w:style>
  <w:style w:type="paragraph" w:styleId="17">
    <w:name w:val="header"/>
    <w:basedOn w:val="0"/>
    <w:pPr>
      <w:pBdr>
        <w:bottom w:val="single" w:sz="6" w:space="1" w:color="auto"/>
      </w:pBdr>
      <w:tabs>
        <w:tab w:val="center" w:pos="4153"/>
        <w:tab w:val="right" w:pos="8306"/>
      </w:tabs>
      <w:snapToGrid w:val="0"/>
      <w:jc w:val="center"/>
    </w:pPr>
    <w:rPr>
      <w:sz w:val="18"/>
      <w:szCs w:val="18"/>
    </w:rPr>
  </w:style>
  <w:style w:type="character" w:customStyle="1" w:styleId="18">
    <w:name w:val="font112"/>
    <w:basedOn w:val="10"/>
    <w:rPr>
      <w:rFonts w:ascii="仿宋_GB2312" w:eastAsia="仿宋_GB2312" w:cs="仿宋_GB2312"/>
      <w:color w:val="000000"/>
      <w:sz w:val="18"/>
      <w:szCs w:val="18"/>
      <w:u w:val="none"/>
    </w:rPr>
  </w:style>
  <w:style w:type="paragraph" w:styleId="19">
    <w:name w:val="List Paragraph"/>
    <w:basedOn w:val="0"/>
    <w:pPr>
      <w:ind w:firstLineChars="200" w:firstLine="200"/>
    </w:p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3301BA9F-DD76-456A-B5E9-E0FDBAE8DC87}">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5</TotalTime>
  <Application>Yozo_Office27021597764231179</Application>
  <Pages>1</Pages>
  <Words>0</Words>
  <Characters>572</Characters>
  <Lines>0</Lines>
  <Paragraphs>3</Paragraphs>
  <CharactersWithSpaces>763</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xb21cn</dc:creator>
  <cp:lastModifiedBy>hp</cp:lastModifiedBy>
  <cp:revision>43</cp:revision>
  <cp:lastPrinted>2023-08-15T01:13:00Z</cp:lastPrinted>
  <dcterms:created xsi:type="dcterms:W3CDTF">2023-07-31T02:33:00Z</dcterms:created>
  <dcterms:modified xsi:type="dcterms:W3CDTF">2024-09-29T01:54:56Z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CB4BA6EDC2D4472C83256CA6575F9416_12</vt:lpwstr>
  </property>
</Properties>
</file>