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963"/>
        <w:gridCol w:w="1266"/>
        <w:gridCol w:w="293"/>
        <w:gridCol w:w="1931"/>
      </w:tblGrid>
      <w:tr>
        <w:trPr>
          <w:trHeight w:val="45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43"/>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 w:eastAsia="仿宋" w:cs="仿宋_GB2312" w:hAnsi="仿宋"/>
                <w:color w:val="000000"/>
                <w:kern w:val="0"/>
                <w:sz w:val="18"/>
                <w:szCs w:val="18"/>
              </w:rPr>
            </w:pPr>
            <w:r>
              <w:rPr>
                <w:rFonts w:ascii="仿宋" w:eastAsia="仿宋" w:cs="宋体" w:hAnsi="仿宋" w:hint="eastAsia"/>
                <w:color w:val="000000"/>
                <w:sz w:val="18"/>
                <w:szCs w:val="18"/>
              </w:rPr>
              <w:t>对地图编制、出版、展示、登载和互联网地图服务的监管</w:t>
            </w:r>
          </w:p>
        </w:tc>
      </w:tr>
      <w:tr>
        <w:trPr>
          <w:trHeight w:val="463"/>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ascii="黑体" w:eastAsia="黑体" w:cs="黑体" w:hAnsi="黑体" w:hint="eastAsia"/>
                <w:color w:val="000000"/>
                <w:kern w:val="0"/>
                <w:sz w:val="18"/>
                <w:szCs w:val="18"/>
                <w:lang w:eastAsia="zh-CN"/>
              </w:rPr>
            </w:pPr>
            <w:r>
              <w:rPr>
                <w:rFonts w:ascii="仿宋_GB2312" w:eastAsia="仿宋_GB2312" w:cs="仿宋_GB2312" w:hAnsi="仿宋_GB2312" w:hint="eastAsia"/>
                <w:kern w:val="0"/>
                <w:sz w:val="18"/>
                <w:szCs w:val="18"/>
                <w:lang w:eastAsia="zh-CN"/>
              </w:rPr>
              <w:t>昌黎县</w:t>
            </w:r>
          </w:p>
        </w:tc>
      </w:tr>
      <w:tr>
        <w:trPr>
          <w:trHeight w:val="238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1.《中华人民共和国测绘法》第三十八条 县级以上人民政府和测绘地理信息主管部门、网信部门等有关部门应当加强对地图编制、出版、展示、登载和互联网地图服务的监督管理，保证地图质量，维护国家主权、安全和利益。</w:t>
            </w:r>
          </w:p>
          <w:p>
            <w:pPr>
              <w:widowControl/>
              <w:spacing w:line="240" w:lineRule="exact"/>
              <w:jc w:val="left"/>
              <w:textAlignment w:val="center"/>
              <w:rPr>
                <w:rFonts w:ascii="仿宋_GB2312" w:eastAsia="仿宋_GB2312" w:cs="仿宋_GB2312" w:hAnsi="仿宋_GB2312"/>
                <w:kern w:val="0"/>
                <w:sz w:val="18"/>
                <w:szCs w:val="18"/>
              </w:rPr>
            </w:pPr>
            <w:r>
              <w:rPr>
                <w:rFonts w:ascii="仿宋_GB2312" w:eastAsia="仿宋_GB2312" w:cs="仿宋_GB2312" w:hAnsi="仿宋_GB2312" w:hint="eastAsia"/>
                <w:kern w:val="0"/>
                <w:sz w:val="18"/>
                <w:szCs w:val="18"/>
              </w:rPr>
              <w:t>2.《</w:t>
            </w:r>
            <w:r>
              <w:rPr>
                <w:rFonts w:ascii="仿宋_GB2312" w:eastAsia="仿宋_GB2312" w:cs="仿宋_GB2312" w:hAnsi="仿宋_GB2312"/>
                <w:kern w:val="0"/>
                <w:sz w:val="18"/>
                <w:szCs w:val="18"/>
              </w:rPr>
              <w:t>中华人民共和国</w:t>
            </w:r>
            <w:bookmarkStart w:id="0" w:name="_GoBack"/>
            <w:bookmarkEnd w:id="0"/>
            <w:r>
              <w:rPr>
                <w:rFonts w:ascii="仿宋_GB2312" w:eastAsia="仿宋_GB2312" w:cs="仿宋_GB2312" w:hAnsi="仿宋_GB2312" w:hint="eastAsia"/>
                <w:kern w:val="0"/>
                <w:sz w:val="18"/>
                <w:szCs w:val="18"/>
              </w:rPr>
              <w:t>地图管理条例》第四条国务院测绘地理信息行政主管部门负责全国地图工作的统一监督管理。县级以上地方人民政府负责管理测绘地理信息工作的行政部门（以下称测绘地理信息行政主管部门）负责本行政区域地图工作的统一监督管理。</w:t>
            </w:r>
          </w:p>
          <w:p>
            <w:pPr>
              <w:spacing w:line="240" w:lineRule="exact"/>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w:t>
            </w:r>
            <w:r>
              <w:rPr>
                <w:rFonts w:ascii="仿宋_GB2312" w:eastAsia="仿宋_GB2312" w:cs="仿宋_GB2312" w:hint="eastAsia"/>
                <w:kern w:val="0"/>
                <w:sz w:val="18"/>
                <w:szCs w:val="18"/>
                <w:lang w:eastAsia="zh-CN"/>
              </w:rPr>
              <w:t>三）国土空间规划</w:t>
            </w:r>
          </w:p>
        </w:tc>
      </w:tr>
      <w:tr>
        <w:trPr>
          <w:trHeight w:val="493"/>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4295"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2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828"/>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 w:val="18"/>
                <w:szCs w:val="18"/>
              </w:rPr>
            </w:pPr>
            <w:r>
              <w:rPr>
                <w:rFonts w:ascii="黑体" w:eastAsia="黑体" w:cs="黑体" w:hint="eastAsia"/>
                <w:b/>
                <w:bCs/>
                <w:color w:val="000000"/>
                <w:kern w:val="0"/>
                <w:sz w:val="18"/>
                <w:szCs w:val="18"/>
              </w:rPr>
              <w:t>计划</w:t>
            </w:r>
          </w:p>
        </w:tc>
        <w:tc>
          <w:tcPr>
            <w:tcW w:w="4295" w:type="dxa"/>
            <w:gridSpan w:val="3"/>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制定全国地图监管工作计划</w:t>
            </w:r>
          </w:p>
        </w:tc>
        <w:tc>
          <w:tcPr>
            <w:tcW w:w="1266" w:type="dxa"/>
            <w:vMerge w:val="restart"/>
            <w:tcBorders>
              <w:tl2br w:val="nil"/>
              <w:tr2bl w:val="nil"/>
            </w:tcBorders>
            <w:shd w:val="clear" w:color="auto" w:fill="auto"/>
            <w:vAlign w:val="center"/>
          </w:tcPr>
          <w:p>
            <w:pPr>
              <w:widowControl/>
              <w:jc w:val="center"/>
              <w:textAlignment w:val="center"/>
              <w:rPr>
                <w:rFonts w:ascii="仿宋" w:eastAsia="仿宋" w:cs="黑体" w:hAnsi="仿宋"/>
                <w:color w:val="000000"/>
                <w:sz w:val="18"/>
                <w:szCs w:val="18"/>
                <w:lang w:val="en-US" w:eastAsia="zh-CN"/>
              </w:rPr>
            </w:pPr>
            <w:r>
              <w:rPr>
                <w:rFonts w:ascii="仿宋" w:eastAsia="仿宋" w:cs="黑体" w:hAnsi="仿宋" w:hint="eastAsia"/>
                <w:color w:val="000000"/>
                <w:sz w:val="18"/>
                <w:szCs w:val="18"/>
                <w:lang w:val="en-US" w:eastAsia="zh-CN"/>
              </w:rPr>
              <w:t>依检查实际情况而定</w:t>
            </w:r>
          </w:p>
        </w:tc>
        <w:tc>
          <w:tcPr>
            <w:tcW w:w="2224"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地理信息</w:t>
            </w:r>
            <w:r>
              <w:rPr>
                <w:rFonts w:ascii="仿宋_GB2312" w:eastAsia="仿宋_GB2312" w:cs="仿宋_GB2312" w:hint="eastAsia"/>
                <w:color w:val="000000"/>
                <w:kern w:val="0"/>
                <w:sz w:val="18"/>
                <w:szCs w:val="18"/>
                <w:lang w:eastAsia="zh-CN"/>
              </w:rPr>
              <w:t>股</w:t>
            </w:r>
          </w:p>
        </w:tc>
      </w:tr>
      <w:tr>
        <w:trPr>
          <w:trHeight w:val="75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b/>
                <w:bCs/>
                <w:color w:val="000000"/>
                <w:sz w:val="18"/>
                <w:szCs w:val="18"/>
              </w:rPr>
            </w:pPr>
            <w:r>
              <w:rPr>
                <w:rFonts w:ascii="黑体" w:eastAsia="黑体" w:cs="黑体" w:hint="eastAsia"/>
                <w:b/>
                <w:bCs/>
                <w:color w:val="000000"/>
                <w:sz w:val="18"/>
                <w:szCs w:val="18"/>
              </w:rPr>
              <w:t>检查</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 xml:space="preserve">  </w:t>
            </w:r>
            <w:r>
              <w:rPr>
                <w:rFonts w:ascii="仿宋_GB2312" w:eastAsia="仿宋_GB2312" w:cs="仿宋_GB2312"/>
                <w:color w:val="000000"/>
                <w:kern w:val="0"/>
                <w:sz w:val="18"/>
                <w:szCs w:val="18"/>
              </w:rPr>
              <w:t>根据计划对送审地图开展审核，对地图市场进行日常监管</w:t>
            </w:r>
          </w:p>
        </w:tc>
        <w:tc>
          <w:tcPr>
            <w:tcW w:w="1266" w:type="dxa"/>
            <w:vMerge/>
            <w:tcBorders>
              <w:tl2br w:val="nil"/>
              <w:tr2bl w:val="nil"/>
            </w:tcBorders>
            <w:shd w:val="clear" w:color="auto" w:fill="auto"/>
            <w:vAlign w:val="center"/>
          </w:tcPr>
          <w:p/>
        </w:tc>
        <w:tc>
          <w:tcPr>
            <w:tcW w:w="2224" w:type="dxa"/>
            <w:gridSpan w:val="2"/>
            <w:tcBorders>
              <w:tl2br w:val="nil"/>
              <w:tr2bl w:val="nil"/>
            </w:tcBorders>
            <w:shd w:val="clear" w:color="auto" w:fill="auto"/>
            <w:vAlign w:val="center"/>
          </w:tcPr>
          <w:p>
            <w:pPr>
              <w:jc w:val="center"/>
              <w:rPr>
                <w:rFonts w:ascii="仿宋_GB2312" w:eastAsia="仿宋_GB2312" w:cs="仿宋_GB2312" w:hAnsi="仿宋"/>
                <w:color w:val="000000"/>
                <w:kern w:val="0"/>
                <w:sz w:val="18"/>
                <w:szCs w:val="18"/>
              </w:rPr>
            </w:pPr>
            <w:r>
              <w:rPr>
                <w:rFonts w:ascii="仿宋_GB2312" w:eastAsia="仿宋_GB2312" w:cs="仿宋_GB2312" w:hint="eastAsia"/>
                <w:color w:val="000000"/>
                <w:kern w:val="0"/>
                <w:sz w:val="18"/>
                <w:szCs w:val="18"/>
              </w:rPr>
              <w:t>地理信息</w:t>
            </w:r>
            <w:r>
              <w:rPr>
                <w:rFonts w:ascii="仿宋_GB2312" w:eastAsia="仿宋_GB2312" w:cs="仿宋_GB2312" w:hint="eastAsia"/>
                <w:color w:val="000000"/>
                <w:kern w:val="0"/>
                <w:sz w:val="18"/>
                <w:szCs w:val="18"/>
                <w:lang w:eastAsia="zh-CN"/>
              </w:rPr>
              <w:t>股</w:t>
            </w:r>
          </w:p>
        </w:tc>
      </w:tr>
      <w:tr>
        <w:trPr>
          <w:trHeight w:val="77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Helvetica" w:eastAsia="Helvetica" w:cs="Helvetica" w:hAnsi="Helvetica"/>
                <w:b/>
                <w:bCs/>
                <w:color w:val="333333"/>
                <w:sz w:val="18"/>
                <w:szCs w:val="18"/>
                <w:shd w:val="clear" w:color="auto" w:fill="FFFFFF"/>
              </w:rPr>
            </w:pPr>
            <w:r>
              <w:rPr>
                <w:rFonts w:ascii="黑体" w:eastAsia="黑体" w:cs="黑体" w:hint="eastAsia"/>
                <w:b/>
                <w:bCs/>
                <w:color w:val="000000"/>
                <w:sz w:val="18"/>
                <w:szCs w:val="18"/>
              </w:rPr>
              <w:t>处理</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对监管结果依法进行处理</w:t>
            </w:r>
          </w:p>
        </w:tc>
        <w:tc>
          <w:tcPr>
            <w:tcW w:w="1266" w:type="dxa"/>
            <w:vMerge/>
            <w:tcBorders>
              <w:tl2br w:val="nil"/>
              <w:tr2bl w:val="nil"/>
            </w:tcBorders>
            <w:shd w:val="clear" w:color="auto" w:fill="auto"/>
            <w:vAlign w:val="center"/>
          </w:tcPr>
          <w:p/>
        </w:tc>
        <w:tc>
          <w:tcPr>
            <w:tcW w:w="2224" w:type="dxa"/>
            <w:gridSpan w:val="2"/>
            <w:tcBorders>
              <w:tl2br w:val="nil"/>
              <w:tr2bl w:val="nil"/>
            </w:tcBorders>
            <w:shd w:val="clear" w:color="auto" w:fill="auto"/>
            <w:vAlign w:val="center"/>
          </w:tcPr>
          <w:p>
            <w:pPr>
              <w:jc w:val="center"/>
              <w:rPr>
                <w:rFonts w:ascii="仿宋_GB2312" w:eastAsia="仿宋_GB2312" w:cs="仿宋_GB2312" w:hAnsi="仿宋"/>
                <w:color w:val="000000"/>
                <w:kern w:val="0"/>
                <w:sz w:val="18"/>
                <w:szCs w:val="18"/>
              </w:rPr>
            </w:pPr>
            <w:r>
              <w:rPr>
                <w:rFonts w:ascii="仿宋_GB2312" w:eastAsia="仿宋_GB2312" w:cs="仿宋_GB2312" w:hint="eastAsia"/>
                <w:color w:val="000000"/>
                <w:kern w:val="0"/>
                <w:sz w:val="18"/>
                <w:szCs w:val="18"/>
              </w:rPr>
              <w:t>地理信息</w:t>
            </w:r>
            <w:r>
              <w:rPr>
                <w:rFonts w:ascii="仿宋_GB2312" w:eastAsia="仿宋_GB2312" w:cs="仿宋_GB2312" w:hint="eastAsia"/>
                <w:color w:val="000000"/>
                <w:kern w:val="0"/>
                <w:sz w:val="18"/>
                <w:szCs w:val="18"/>
                <w:lang w:eastAsia="zh-CN"/>
              </w:rPr>
              <w:t>股</w:t>
            </w:r>
          </w:p>
        </w:tc>
      </w:tr>
      <w:tr>
        <w:trPr>
          <w:trHeight w:val="2455"/>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7"/>
            <w:tcBorders>
              <w:tl2br w:val="nil"/>
              <w:tr2bl w:val="nil"/>
            </w:tcBorders>
            <w:shd w:val="clear" w:color="auto" w:fill="auto"/>
            <w:vAlign w:val="center"/>
          </w:tcPr>
          <w:p>
            <w:pPr>
              <w:spacing w:line="240" w:lineRule="exact"/>
              <w:rPr>
                <w:rFonts w:ascii="黑体" w:eastAsia="黑体" w:cs="黑体"/>
                <w:color w:val="000000"/>
                <w:szCs w:val="21"/>
              </w:rPr>
            </w:pPr>
            <w:r>
              <w:rPr>
                <w:rFonts w:ascii="仿宋_GB2312" w:eastAsia="仿宋_GB2312" w:cs="仿宋_GB2312" w:hAnsi="仿宋_GB2312" w:hint="eastAsia"/>
                <w:kern w:val="0"/>
                <w:sz w:val="18"/>
                <w:szCs w:val="18"/>
              </w:rPr>
              <w:t>因不履行或不正确履行行政职责，有下列情形的，行政机关及相关工作人员应承担相应责任：</w:t>
              <w:br/>
              <w:t>1.不对本辖区内卫星导航定位基准站建设及其工作情况组织监督检查；</w:t>
              <w:br/>
              <w:t>2.对在检查中发现的问题，不责令限期整改、不依法实施处罚；</w:t>
              <w:br/>
              <w:t>3.不及时予以公告，对构成违法犯罪的不移交司法机关；</w:t>
              <w:br/>
              <w:t>4.对监督检查发现的问题整改完成后，不对整改情况组织进行核查；</w:t>
              <w:br/>
              <w:t>5.其他违反法律法规规章文件规定的行为。</w:t>
            </w:r>
          </w:p>
        </w:tc>
      </w:tr>
      <w:tr>
        <w:trPr>
          <w:trHeight w:val="96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2861602</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黑体" w:eastAsia="仿宋_GB2312" w:cs="黑体" w:hAnsi="黑体"/>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94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b/>
                <w:bCs/>
                <w:color w:val="000000"/>
                <w:szCs w:val="21"/>
              </w:rPr>
            </w:pPr>
            <w:r>
              <w:rPr>
                <w:rFonts w:ascii="仿宋_GB2312" w:eastAsia="仿宋_GB2312" w:cs="仿宋_GB2312" w:hint="eastAsia"/>
                <w:color w:val="000000"/>
                <w:kern w:val="0"/>
                <w:sz w:val="18"/>
                <w:szCs w:val="18"/>
              </w:rPr>
              <w:t>公民、法人或者其他组织认为具体行政行为侵犯其合法权益，向行政机关提出</w:t>
            </w:r>
            <w:r>
              <w:rPr>
                <w:rFonts w:ascii="仿宋_GB2312" w:eastAsia="仿宋_GB2312" w:cs="仿宋_GB2312"/>
                <w:color w:val="000000"/>
                <w:kern w:val="0"/>
                <w:sz w:val="18"/>
                <w:szCs w:val="18"/>
              </w:rPr>
              <w:fldChar w:fldCharType="begin"/>
            </w:r>
            <w:r>
              <w:instrText>HYPERLINK "https://www.66law.cn/special/xzfy/" \o "行政复议申请"</w:instrText>
            </w:r>
            <w:r>
              <w:rPr>
                <w:rFonts w:ascii="仿宋_GB2312" w:eastAsia="仿宋_GB2312" w:cs="仿宋_GB2312"/>
                <w:color w:val="000000"/>
                <w:kern w:val="0"/>
                <w:sz w:val="18"/>
                <w:szCs w:val="18"/>
              </w:rPr>
              <w:fldChar w:fldCharType="separate"/>
            </w:r>
            <w:r>
              <w:rPr>
                <w:rFonts w:ascii="仿宋_GB2312" w:eastAsia="仿宋_GB2312" w:cs="仿宋_GB2312"/>
                <w:color w:val="000000"/>
                <w:kern w:val="0"/>
                <w:sz w:val="18"/>
                <w:szCs w:val="18"/>
              </w:rPr>
              <w:t>行政复议申请</w:t>
            </w:r>
            <w:r>
              <w:rPr>
                <w:rFonts w:ascii="仿宋_GB2312" w:eastAsia="仿宋_GB2312" w:cs="仿宋_GB2312"/>
                <w:color w:val="000000"/>
                <w:kern w:val="0"/>
                <w:sz w:val="18"/>
                <w:szCs w:val="18"/>
              </w:rPr>
              <w:fldChar w:fldCharType="end"/>
            </w:r>
            <w:r>
              <w:rPr>
                <w:rFonts w:ascii="仿宋_GB2312" w:eastAsia="仿宋_GB2312" w:cs="仿宋_GB2312"/>
                <w:color w:val="000000"/>
                <w:kern w:val="0"/>
                <w:sz w:val="18"/>
                <w:szCs w:val="18"/>
              </w:rPr>
              <w:t>，行政机关受理行政复议申请、作出行政复议决定</w:t>
            </w:r>
            <w:r>
              <w:rPr>
                <w:rFonts w:ascii="仿宋_GB2312" w:eastAsia="仿宋_GB2312" w:cs="仿宋_GB2312" w:hint="eastAsia"/>
                <w:color w:val="000000"/>
                <w:kern w:val="0"/>
                <w:sz w:val="18"/>
                <w:szCs w:val="18"/>
              </w:rPr>
              <w:t>。</w:t>
            </w:r>
          </w:p>
        </w:tc>
      </w:tr>
      <w:tr>
        <w:trPr>
          <w:trHeight w:val="64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
    <w:sectPr>
      <w:pgSz w:w="11906" w:h="16838"/>
      <w:pgMar w:top="1440" w:right="1800" w:bottom="1440" w:left="1800" w:header="851" w:footer="992" w:gutter="0"/>
      <w:cols w:num="1" w:space="425"/>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仿宋">
    <w:panose1 w:val="02010609060101010101"/>
    <w:charset w:val="86"/>
    <w:family w:val="modern"/>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Helvetica">
    <w:altName w:val="Arial"/>
    <w:panose1 w:val="020B0604020202020204"/>
    <w:charset w:val="00"/>
    <w:family w:val="swiss"/>
    <w:pitch w:val="variable"/>
    <w:sig w:usb0="00000000" w:usb1="00000000" w:usb2="00000009" w:usb3="00000000" w:csb0="000001F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950C946F-0027-4A23-9C54-A5F6BC941B12}">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611</Characters>
  <Lines>0</Lines>
  <Paragraphs>4</Paragraphs>
  <CharactersWithSpaces>815</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5</cp:revision>
  <dcterms:created xsi:type="dcterms:W3CDTF">2023-10-17T02:02:00Z</dcterms:created>
  <dcterms:modified xsi:type="dcterms:W3CDTF">2024-09-29T02:03:21Z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3CCCC09566AD47409C1B75C30883DC1B_12</vt:lpwstr>
  </property>
</Properties>
</file>