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6"/>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652"/>
        <w:gridCol w:w="12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其他类</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 w:val="18"/>
                <w:szCs w:val="18"/>
              </w:rPr>
            </w:pPr>
            <w:r>
              <w:rPr>
                <w:rFonts w:hint="eastAsia" w:ascii="华文仿宋" w:hAnsi="华文仿宋" w:eastAsia="华文仿宋" w:cs="华文仿宋"/>
                <w:color w:val="000000"/>
                <w:sz w:val="18"/>
                <w:szCs w:val="18"/>
              </w:rPr>
              <w:t>规划设计条件核定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13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pStyle w:val="5"/>
              <w:widowControl/>
              <w:shd w:val="clear" w:color="auto" w:fill="FFFFFF"/>
              <w:spacing w:beforeAutospacing="0" w:afterAutospacing="0" w:line="240" w:lineRule="exact"/>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1.《中华人民共和国城乡规划法》第三十八条规定：</w:t>
            </w:r>
            <w:r>
              <w:rPr>
                <w:rFonts w:hint="eastAsia" w:ascii="华文仿宋" w:hAnsi="华文仿宋" w:eastAsia="华文仿宋" w:cs="华文仿宋"/>
                <w:color w:val="333333"/>
                <w:sz w:val="18"/>
                <w:szCs w:val="18"/>
                <w:shd w:val="clear" w:color="auto" w:fill="FFFFFF"/>
              </w:rPr>
              <w:t>在城市、镇规划区内以出让方式提供国有土地使用权的，在国有土地使用权出让前，城市、县人民政府城乡规划主管部门应当依据控制性详细规划，提出出让地块的位置、使用性质、开发强度等规划条件，作为国有土地</w:t>
            </w:r>
            <w:bookmarkStart w:id="0" w:name="_GoBack"/>
            <w:bookmarkEnd w:id="0"/>
            <w:r>
              <w:rPr>
                <w:rFonts w:hint="eastAsia" w:ascii="华文仿宋" w:hAnsi="华文仿宋" w:eastAsia="华文仿宋" w:cs="华文仿宋"/>
                <w:color w:val="333333"/>
                <w:sz w:val="18"/>
                <w:szCs w:val="18"/>
                <w:shd w:val="clear" w:color="auto" w:fill="FFFFFF"/>
              </w:rPr>
              <w:t>使用权出让</w:t>
            </w:r>
            <w:r>
              <w:fldChar w:fldCharType="begin"/>
            </w:r>
            <w:r>
              <w:instrText xml:space="preserve"> HYPERLINK "https://www.ruilaw.cn/zhishi/hetongjiufen/" \t "/home/ht706/文档\x/_blank" </w:instrText>
            </w:r>
            <w:r>
              <w:fldChar w:fldCharType="separate"/>
            </w:r>
            <w:r>
              <w:rPr>
                <w:rStyle w:val="8"/>
                <w:rFonts w:hint="eastAsia" w:ascii="华文仿宋" w:hAnsi="华文仿宋" w:eastAsia="华文仿宋" w:cs="华文仿宋"/>
                <w:color w:val="333333"/>
                <w:sz w:val="18"/>
                <w:szCs w:val="18"/>
                <w:u w:val="none"/>
                <w:shd w:val="clear" w:color="auto" w:fill="FFFFFF"/>
              </w:rPr>
              <w:t>合同</w:t>
            </w:r>
            <w:r>
              <w:rPr>
                <w:rStyle w:val="8"/>
                <w:rFonts w:hint="eastAsia" w:ascii="华文仿宋" w:hAnsi="华文仿宋" w:eastAsia="华文仿宋" w:cs="华文仿宋"/>
                <w:color w:val="333333"/>
                <w:sz w:val="18"/>
                <w:szCs w:val="18"/>
                <w:u w:val="none"/>
                <w:shd w:val="clear" w:color="auto" w:fill="FFFFFF"/>
              </w:rPr>
              <w:fldChar w:fldCharType="end"/>
            </w:r>
            <w:r>
              <w:rPr>
                <w:rFonts w:hint="eastAsia" w:ascii="华文仿宋" w:hAnsi="华文仿宋" w:eastAsia="华文仿宋" w:cs="华文仿宋"/>
                <w:color w:val="333333"/>
                <w:sz w:val="18"/>
                <w:szCs w:val="18"/>
                <w:shd w:val="clear" w:color="auto" w:fill="FFFFFF"/>
              </w:rPr>
              <w:t>的组成部分。未确定规划条件的地块，不得出让国有土地使用权。</w:t>
            </w:r>
            <w:r>
              <w:rPr>
                <w:rFonts w:hint="eastAsia" w:ascii="华文仿宋" w:hAnsi="华文仿宋" w:eastAsia="华文仿宋" w:cs="华文仿宋"/>
                <w:sz w:val="18"/>
                <w:szCs w:val="18"/>
              </w:rPr>
              <w:t>以出让方式取得国有土地使用权的建设项目，建设单位在取得建设项目的批准、核准、备案文件和签订国有土地使用权出让合同后，向城市、县人民政府城乡规划主管部门领取建设用地规划许可证。</w:t>
            </w:r>
            <w:r>
              <w:rPr>
                <w:rFonts w:hint="eastAsia" w:ascii="华文仿宋" w:hAnsi="华文仿宋" w:eastAsia="华文仿宋" w:cs="华文仿宋"/>
                <w:color w:val="333333"/>
                <w:sz w:val="18"/>
                <w:szCs w:val="18"/>
                <w:shd w:val="clear" w:color="auto" w:fill="FFFFFF"/>
              </w:rPr>
              <w:t>城市、县人民政府城乡规划主管部门不得在建设用地规划许可证中，擅自改变作为国有土地使用权出让</w:t>
            </w:r>
            <w:r>
              <w:fldChar w:fldCharType="begin"/>
            </w:r>
            <w:r>
              <w:instrText xml:space="preserve"> HYPERLINK "https://www.ruilaw.cn/zhishi/hetongjiufen/" \t "/home/ht706/文档\x/_blank" </w:instrText>
            </w:r>
            <w:r>
              <w:fldChar w:fldCharType="separate"/>
            </w:r>
            <w:r>
              <w:rPr>
                <w:rStyle w:val="8"/>
                <w:rFonts w:hint="eastAsia" w:ascii="华文仿宋" w:hAnsi="华文仿宋" w:eastAsia="华文仿宋" w:cs="华文仿宋"/>
                <w:color w:val="333333"/>
                <w:sz w:val="18"/>
                <w:szCs w:val="18"/>
                <w:u w:val="none"/>
                <w:shd w:val="clear" w:color="auto" w:fill="FFFFFF"/>
              </w:rPr>
              <w:t>合同</w:t>
            </w:r>
            <w:r>
              <w:rPr>
                <w:rStyle w:val="8"/>
                <w:rFonts w:hint="eastAsia" w:ascii="华文仿宋" w:hAnsi="华文仿宋" w:eastAsia="华文仿宋" w:cs="华文仿宋"/>
                <w:color w:val="333333"/>
                <w:sz w:val="18"/>
                <w:szCs w:val="18"/>
                <w:u w:val="none"/>
                <w:shd w:val="clear" w:color="auto" w:fill="FFFFFF"/>
              </w:rPr>
              <w:fldChar w:fldCharType="end"/>
            </w:r>
            <w:r>
              <w:rPr>
                <w:rFonts w:hint="eastAsia" w:ascii="华文仿宋" w:hAnsi="华文仿宋" w:eastAsia="华文仿宋" w:cs="华文仿宋"/>
                <w:color w:val="333333"/>
                <w:sz w:val="18"/>
                <w:szCs w:val="18"/>
                <w:shd w:val="clear" w:color="auto" w:fill="FFFFFF"/>
              </w:rPr>
              <w:t>组成部分的规划条件。</w:t>
            </w:r>
            <w:r>
              <w:rPr>
                <w:rFonts w:hint="eastAsia" w:ascii="仿宋_GB2312" w:hAnsi="仿宋_GB2312" w:eastAsia="仿宋_GB2312" w:cs="仿宋_GB2312"/>
                <w:sz w:val="18"/>
                <w:szCs w:val="18"/>
              </w:rPr>
              <w:br w:type="textWrapping"/>
            </w:r>
            <w:r>
              <w:rPr>
                <w:rFonts w:hint="eastAsia" w:ascii="仿宋_GB2312" w:hAnsi="仿宋_GB2312" w:eastAsia="仿宋_GB2312" w:cs="仿宋_GB2312"/>
                <w:sz w:val="18"/>
                <w:szCs w:val="18"/>
              </w:rPr>
              <w:t>2.《河北省城乡规划条例》等相关法律法规规章等。</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黑体" w:eastAsia="仿宋_GB2312" w:cs="黑体"/>
                <w:b/>
                <w:bCs/>
                <w:color w:val="000000"/>
                <w:szCs w:val="21"/>
              </w:rPr>
            </w:pPr>
            <w:r>
              <w:rPr>
                <w:rFonts w:hint="eastAsia" w:ascii="仿宋_GB2312" w:eastAsia="仿宋_GB2312" w:cs="仿宋_GB2312"/>
                <w:kern w:val="0"/>
                <w:sz w:val="18"/>
                <w:szCs w:val="18"/>
                <w:lang w:eastAsia="zh-CN"/>
              </w:rPr>
              <w:t>昌</w:t>
            </w:r>
            <w:r>
              <w:rPr>
                <w:rFonts w:hint="eastAsia" w:ascii="仿宋_GB2312" w:eastAsia="仿宋_GB2312" w:cs="仿宋_GB2312"/>
                <w:kern w:val="0"/>
                <w:sz w:val="18"/>
                <w:szCs w:val="18"/>
              </w:rPr>
              <w:t>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w:t>
            </w:r>
            <w:r>
              <w:rPr>
                <w:rFonts w:hint="eastAsia" w:ascii="宋体" w:hAnsi="宋体" w:cs="仿宋_GB2312"/>
                <w:kern w:val="0"/>
                <w:sz w:val="18"/>
                <w:szCs w:val="18"/>
                <w:lang w:val="en-US" w:eastAsia="zh-CN"/>
              </w:rPr>
              <w:t>3</w:t>
            </w:r>
            <w:r>
              <w:rPr>
                <w:rFonts w:hint="eastAsia" w:ascii="仿宋_GB2312" w:eastAsia="仿宋_GB2312" w:cs="仿宋_GB2312"/>
                <w:kern w:val="0"/>
                <w:sz w:val="18"/>
                <w:szCs w:val="18"/>
              </w:rPr>
              <w:t>9号  第</w:t>
            </w:r>
            <w:r>
              <w:rPr>
                <w:rFonts w:hint="eastAsia" w:ascii="仿宋_GB2312" w:eastAsia="仿宋_GB2312" w:cs="仿宋_GB2312"/>
                <w:kern w:val="0"/>
                <w:sz w:val="18"/>
                <w:szCs w:val="18"/>
                <w:lang w:eastAsia="zh-CN"/>
              </w:rPr>
              <w:t>六</w:t>
            </w:r>
            <w:r>
              <w:rPr>
                <w:rFonts w:hint="eastAsia" w:ascii="仿宋_GB2312" w:eastAsia="仿宋_GB2312" w:cs="仿宋_GB2312"/>
                <w:kern w:val="0"/>
                <w:sz w:val="18"/>
                <w:szCs w:val="18"/>
              </w:rPr>
              <w:t>条</w:t>
            </w:r>
            <w:r>
              <w:rPr>
                <w:rFonts w:hint="eastAsia" w:ascii="仿宋_GB2312" w:eastAsia="仿宋_GB2312" w:cs="仿宋_GB2312"/>
                <w:kern w:val="0"/>
                <w:sz w:val="18"/>
                <w:szCs w:val="18"/>
                <w:lang w:eastAsia="zh-CN"/>
              </w:rPr>
              <w:t>（三）项国土空间规划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21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27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华文仿宋" w:hAnsi="华文仿宋" w:eastAsia="华文仿宋" w:cs="华文仿宋"/>
                <w:color w:val="000000"/>
                <w:sz w:val="18"/>
                <w:szCs w:val="18"/>
              </w:rPr>
            </w:pPr>
            <w:r>
              <w:rPr>
                <w:rFonts w:hint="eastAsia" w:ascii="华文仿宋" w:hAnsi="华文仿宋" w:eastAsia="华文仿宋" w:cs="华文仿宋"/>
                <w:color w:val="000000"/>
                <w:sz w:val="18"/>
                <w:szCs w:val="18"/>
              </w:rPr>
              <w:t>受理</w:t>
            </w:r>
          </w:p>
        </w:tc>
        <w:tc>
          <w:tcPr>
            <w:tcW w:w="5287" w:type="dxa"/>
            <w:gridSpan w:val="5"/>
            <w:tcBorders>
              <w:tl2br w:val="nil"/>
              <w:tr2bl w:val="nil"/>
            </w:tcBorders>
            <w:shd w:val="clear" w:color="auto" w:fill="auto"/>
            <w:vAlign w:val="center"/>
          </w:tcPr>
          <w:p>
            <w:pPr>
              <w:spacing w:line="240" w:lineRule="exact"/>
              <w:rPr>
                <w:rFonts w:ascii="华文仿宋" w:hAnsi="华文仿宋" w:eastAsia="华文仿宋" w:cs="华文仿宋"/>
                <w:color w:val="000000"/>
                <w:sz w:val="18"/>
                <w:szCs w:val="18"/>
              </w:rPr>
            </w:pPr>
            <w:r>
              <w:rPr>
                <w:rFonts w:hint="eastAsia" w:ascii="华文仿宋" w:hAnsi="华文仿宋" w:eastAsia="华文仿宋" w:cs="华文仿宋"/>
                <w:color w:val="000000"/>
                <w:sz w:val="18"/>
                <w:szCs w:val="18"/>
              </w:rPr>
              <w:t>依据有关法律法规对申报材料进行审核，作出是否受理的决定。</w:t>
            </w:r>
          </w:p>
        </w:tc>
        <w:tc>
          <w:tcPr>
            <w:tcW w:w="1219" w:type="dxa"/>
            <w:gridSpan w:val="2"/>
            <w:vMerge w:val="restart"/>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1个工作日</w:t>
            </w:r>
          </w:p>
        </w:tc>
        <w:tc>
          <w:tcPr>
            <w:tcW w:w="127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eastAsia="zh-CN"/>
              </w:rPr>
              <w:t>市政（用地）股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华文仿宋" w:hAnsi="华文仿宋" w:eastAsia="华文仿宋" w:cs="华文仿宋"/>
                <w:color w:val="000000"/>
                <w:sz w:val="18"/>
                <w:szCs w:val="18"/>
              </w:rPr>
            </w:pPr>
            <w:r>
              <w:rPr>
                <w:rFonts w:hint="eastAsia" w:ascii="华文仿宋" w:hAnsi="华文仿宋" w:eastAsia="华文仿宋" w:cs="华文仿宋"/>
                <w:color w:val="000000"/>
                <w:sz w:val="18"/>
                <w:szCs w:val="18"/>
              </w:rPr>
              <w:t>审查</w:t>
            </w:r>
          </w:p>
        </w:tc>
        <w:tc>
          <w:tcPr>
            <w:tcW w:w="5287" w:type="dxa"/>
            <w:gridSpan w:val="5"/>
            <w:tcBorders>
              <w:tl2br w:val="nil"/>
              <w:tr2bl w:val="nil"/>
            </w:tcBorders>
            <w:shd w:val="clear" w:color="auto" w:fill="auto"/>
            <w:vAlign w:val="center"/>
          </w:tcPr>
          <w:p>
            <w:pPr>
              <w:rPr>
                <w:rFonts w:ascii="华文仿宋" w:hAnsi="华文仿宋" w:eastAsia="华文仿宋" w:cs="华文仿宋"/>
                <w:color w:val="000000"/>
                <w:kern w:val="0"/>
                <w:sz w:val="18"/>
                <w:szCs w:val="18"/>
              </w:rPr>
            </w:pPr>
            <w:r>
              <w:rPr>
                <w:rFonts w:hint="eastAsia" w:ascii="华文仿宋" w:hAnsi="华文仿宋" w:eastAsia="华文仿宋" w:cs="华文仿宋"/>
                <w:color w:val="000000"/>
                <w:sz w:val="18"/>
                <w:szCs w:val="18"/>
              </w:rPr>
              <w:t>依据城市规划、法律法规和规范标准核提规划设计条件。</w:t>
            </w:r>
          </w:p>
        </w:tc>
        <w:tc>
          <w:tcPr>
            <w:tcW w:w="1219" w:type="dxa"/>
            <w:gridSpan w:val="2"/>
            <w:vMerge w:val="continue"/>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127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市政（用地）股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华文仿宋" w:hAnsi="华文仿宋" w:eastAsia="华文仿宋" w:cs="华文仿宋"/>
                <w:color w:val="000000"/>
                <w:sz w:val="18"/>
                <w:szCs w:val="18"/>
              </w:rPr>
            </w:pPr>
            <w:r>
              <w:rPr>
                <w:rFonts w:hint="eastAsia" w:ascii="华文仿宋" w:hAnsi="华文仿宋" w:eastAsia="华文仿宋" w:cs="华文仿宋"/>
                <w:color w:val="000000"/>
                <w:sz w:val="18"/>
                <w:szCs w:val="18"/>
              </w:rPr>
              <w:t>核定</w:t>
            </w:r>
          </w:p>
        </w:tc>
        <w:tc>
          <w:tcPr>
            <w:tcW w:w="5287" w:type="dxa"/>
            <w:gridSpan w:val="5"/>
            <w:tcBorders>
              <w:tl2br w:val="nil"/>
              <w:tr2bl w:val="nil"/>
            </w:tcBorders>
            <w:shd w:val="clear" w:color="auto" w:fill="auto"/>
            <w:vAlign w:val="center"/>
          </w:tcPr>
          <w:p>
            <w:pPr>
              <w:rPr>
                <w:rFonts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核定规划条件，并告知申请单位。</w:t>
            </w:r>
          </w:p>
        </w:tc>
        <w:tc>
          <w:tcPr>
            <w:tcW w:w="1219" w:type="dxa"/>
            <w:gridSpan w:val="2"/>
            <w:vMerge w:val="continue"/>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127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市政（用地）股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6"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9"/>
                <w:color w:val="auto"/>
              </w:rPr>
            </w:pPr>
            <w:r>
              <w:rPr>
                <w:rStyle w:val="9"/>
                <w:rFonts w:hint="eastAsia"/>
                <w:color w:val="auto"/>
              </w:rPr>
              <w:t>1.</w:t>
            </w:r>
            <w:r>
              <w:rPr>
                <w:rStyle w:val="9"/>
                <w:color w:val="auto"/>
              </w:rPr>
              <w:t>规划设计条件核定申请</w:t>
            </w:r>
          </w:p>
          <w:p>
            <w:pPr>
              <w:widowControl/>
              <w:spacing w:line="240" w:lineRule="exact"/>
              <w:jc w:val="left"/>
              <w:textAlignment w:val="center"/>
              <w:rPr>
                <w:rStyle w:val="9"/>
                <w:color w:val="auto"/>
              </w:rPr>
            </w:pPr>
            <w:r>
              <w:rPr>
                <w:rStyle w:val="9"/>
                <w:rFonts w:hint="eastAsia"/>
                <w:color w:val="auto"/>
              </w:rPr>
              <w:t>2.</w:t>
            </w:r>
            <w:r>
              <w:rPr>
                <w:rStyle w:val="9"/>
                <w:color w:val="auto"/>
              </w:rPr>
              <w:t>标示拟用地范围的1：1000或1：500的现状地形图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1.超越职权或者违法核定规划设计条件的；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2.对不符合法定条件的申请人准予核定或者超越法定职权作出准予核定的；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3.对符合法定条件的申请人不予核定或者不在法定期限内作出准予核定的；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4.违反法定程序实施职权的；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5.工作中玩忽职守、滥用职权的；</w:t>
            </w:r>
          </w:p>
          <w:p>
            <w:pPr>
              <w:spacing w:line="240" w:lineRule="exact"/>
              <w:rPr>
                <w:rFonts w:ascii="黑体" w:eastAsia="黑体" w:cs="黑体"/>
                <w:color w:val="000000"/>
                <w:szCs w:val="21"/>
              </w:rPr>
            </w:pPr>
            <w:r>
              <w:rPr>
                <w:rFonts w:hint="eastAsia" w:ascii="仿宋_GB2312" w:hAnsi="仿宋_GB2312" w:eastAsia="仿宋_GB2312" w:cs="仿宋_GB2312"/>
                <w:kern w:val="0"/>
                <w:sz w:val="18"/>
                <w:szCs w:val="18"/>
              </w:rPr>
              <w:t>6.其他违反法律法规规章文件规定的行为。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2883997</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2022626</w:t>
            </w:r>
          </w:p>
          <w:p>
            <w:pPr>
              <w:widowControl/>
              <w:spacing w:line="240" w:lineRule="exact"/>
              <w:jc w:val="left"/>
              <w:textAlignment w:val="center"/>
              <w:rPr>
                <w:rFonts w:ascii="黑体" w:eastAsia="仿宋_GB2312"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spacing w:line="240" w:lineRule="exact"/>
              <w:textAlignment w:val="center"/>
              <w:rPr>
                <w:rFonts w:ascii="华文仿宋" w:hAnsi="华文仿宋" w:eastAsia="华文仿宋" w:cs="华文仿宋"/>
                <w:color w:val="000000"/>
                <w:kern w:val="0"/>
                <w:sz w:val="18"/>
                <w:szCs w:val="18"/>
              </w:rPr>
            </w:pPr>
            <w:r>
              <w:rPr>
                <w:rFonts w:hint="eastAsia" w:ascii="华文仿宋" w:hAnsi="华文仿宋" w:eastAsia="华文仿宋" w:cs="华文仿宋"/>
                <w:color w:val="000000"/>
                <w:kern w:val="0"/>
                <w:sz w:val="18"/>
                <w:szCs w:val="18"/>
              </w:rPr>
              <w:t>1.公民、法人或其他组织认为该行政</w:t>
            </w:r>
            <w:r>
              <w:rPr>
                <w:rFonts w:hint="eastAsia" w:ascii="华文仿宋" w:hAnsi="华文仿宋" w:eastAsia="华文仿宋" w:cs="华文仿宋"/>
                <w:sz w:val="18"/>
                <w:szCs w:val="18"/>
              </w:rPr>
              <w:t>行为侵犯其合法权益的，可以</w:t>
            </w:r>
            <w:r>
              <w:rPr>
                <w:rFonts w:hint="eastAsia" w:ascii="华文仿宋" w:hAnsi="华文仿宋" w:eastAsia="华文仿宋" w:cs="华文仿宋"/>
                <w:color w:val="000000"/>
                <w:kern w:val="0"/>
                <w:sz w:val="18"/>
                <w:szCs w:val="18"/>
              </w:rPr>
              <w:t>自知道该行政行为之日起六十日内向</w:t>
            </w:r>
            <w:r>
              <w:rPr>
                <w:rFonts w:hint="eastAsia" w:ascii="华文仿宋" w:hAnsi="华文仿宋" w:eastAsia="华文仿宋" w:cs="华文仿宋"/>
                <w:color w:val="000000"/>
                <w:kern w:val="0"/>
                <w:sz w:val="18"/>
                <w:szCs w:val="18"/>
                <w:lang w:eastAsia="zh-CN"/>
              </w:rPr>
              <w:t>县</w:t>
            </w:r>
            <w:r>
              <w:rPr>
                <w:rFonts w:hint="eastAsia" w:ascii="华文仿宋" w:hAnsi="华文仿宋" w:eastAsia="华文仿宋" w:cs="华文仿宋"/>
                <w:color w:val="000000"/>
                <w:kern w:val="0"/>
                <w:sz w:val="18"/>
                <w:szCs w:val="18"/>
              </w:rPr>
              <w:t>人民政府提出行政复议。</w:t>
            </w:r>
          </w:p>
          <w:p>
            <w:pPr>
              <w:widowControl/>
              <w:spacing w:line="240" w:lineRule="exact"/>
              <w:textAlignment w:val="center"/>
              <w:rPr>
                <w:rFonts w:ascii="黑体" w:eastAsia="黑体" w:cs="黑体"/>
                <w:b/>
                <w:bCs/>
                <w:color w:val="000000"/>
                <w:szCs w:val="21"/>
              </w:rPr>
            </w:pPr>
            <w:r>
              <w:rPr>
                <w:rFonts w:hint="eastAsia" w:ascii="华文仿宋" w:hAnsi="华文仿宋" w:eastAsia="华文仿宋" w:cs="华文仿宋"/>
                <w:color w:val="000000"/>
                <w:kern w:val="0"/>
                <w:sz w:val="18"/>
                <w:szCs w:val="18"/>
              </w:rPr>
              <w:t>2.公民、法人或其他组织认为该行政</w:t>
            </w:r>
            <w:r>
              <w:rPr>
                <w:rFonts w:hint="eastAsia" w:ascii="华文仿宋" w:hAnsi="华文仿宋" w:eastAsia="华文仿宋" w:cs="华文仿宋"/>
                <w:sz w:val="18"/>
                <w:szCs w:val="18"/>
              </w:rPr>
              <w:t>行为侵犯其合法权益的，可以</w:t>
            </w:r>
            <w:r>
              <w:rPr>
                <w:rFonts w:hint="eastAsia" w:ascii="华文仿宋" w:hAnsi="华文仿宋" w:eastAsia="华文仿宋" w:cs="华文仿宋"/>
                <w:color w:val="000000"/>
                <w:kern w:val="0"/>
                <w:sz w:val="18"/>
                <w:szCs w:val="18"/>
              </w:rPr>
              <w:t>自知道该行政行为之日起六个月内向</w:t>
            </w:r>
            <w:r>
              <w:rPr>
                <w:rFonts w:hint="eastAsia" w:ascii="华文仿宋" w:hAnsi="华文仿宋" w:eastAsia="华文仿宋" w:cs="华文仿宋"/>
                <w:color w:val="000000"/>
                <w:kern w:val="0"/>
                <w:sz w:val="18"/>
                <w:szCs w:val="18"/>
                <w:lang w:eastAsia="zh-CN"/>
              </w:rPr>
              <w:t>昌黎县</w:t>
            </w:r>
            <w:r>
              <w:rPr>
                <w:rFonts w:hint="eastAsia" w:ascii="华文仿宋" w:hAnsi="华文仿宋" w:eastAsia="华文仿宋" w:cs="华文仿宋"/>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hjZGM4NWU5YjQzMDRhODI2MDc4MjM4NWZhZjE0YjAifQ=="/>
  </w:docVars>
  <w:rsids>
    <w:rsidRoot w:val="00F35FED"/>
    <w:rsid w:val="000C0BFD"/>
    <w:rsid w:val="001F540B"/>
    <w:rsid w:val="002455E6"/>
    <w:rsid w:val="00252F81"/>
    <w:rsid w:val="002F371C"/>
    <w:rsid w:val="003E269F"/>
    <w:rsid w:val="004646A2"/>
    <w:rsid w:val="00526E1F"/>
    <w:rsid w:val="00646AB2"/>
    <w:rsid w:val="00657C12"/>
    <w:rsid w:val="00682557"/>
    <w:rsid w:val="006A7DFC"/>
    <w:rsid w:val="0073198C"/>
    <w:rsid w:val="007B3AB4"/>
    <w:rsid w:val="00814D04"/>
    <w:rsid w:val="009A0D43"/>
    <w:rsid w:val="00A52FD2"/>
    <w:rsid w:val="00AF70B8"/>
    <w:rsid w:val="00C14146"/>
    <w:rsid w:val="00CA20EC"/>
    <w:rsid w:val="00D24BC2"/>
    <w:rsid w:val="00DB558F"/>
    <w:rsid w:val="00E454F1"/>
    <w:rsid w:val="00EF269E"/>
    <w:rsid w:val="00F03CB5"/>
    <w:rsid w:val="00F35FED"/>
    <w:rsid w:val="00F81182"/>
    <w:rsid w:val="1E6F4442"/>
    <w:rsid w:val="1FFE19FE"/>
    <w:rsid w:val="2FB9D072"/>
    <w:rsid w:val="3DA917BC"/>
    <w:rsid w:val="3EFE8B7E"/>
    <w:rsid w:val="3FBC1725"/>
    <w:rsid w:val="4DFCF698"/>
    <w:rsid w:val="4FFA8C9A"/>
    <w:rsid w:val="555B1782"/>
    <w:rsid w:val="5677066F"/>
    <w:rsid w:val="57FB1202"/>
    <w:rsid w:val="5EF7883A"/>
    <w:rsid w:val="5F1FEE9F"/>
    <w:rsid w:val="65DF47EF"/>
    <w:rsid w:val="6F4F527C"/>
    <w:rsid w:val="6F6706AE"/>
    <w:rsid w:val="6FAB8CA9"/>
    <w:rsid w:val="77F6FF33"/>
    <w:rsid w:val="7AD25AA1"/>
    <w:rsid w:val="7BFD3774"/>
    <w:rsid w:val="7EDE3860"/>
    <w:rsid w:val="7F7EA1D4"/>
    <w:rsid w:val="7F9A3315"/>
    <w:rsid w:val="7FDB910D"/>
    <w:rsid w:val="7FED62EE"/>
    <w:rsid w:val="7FFED4C6"/>
    <w:rsid w:val="9B373B5B"/>
    <w:rsid w:val="A74ED882"/>
    <w:rsid w:val="BDE8C3DF"/>
    <w:rsid w:val="BFDF7913"/>
    <w:rsid w:val="BFF5410B"/>
    <w:rsid w:val="CB4F749B"/>
    <w:rsid w:val="CCFE9680"/>
    <w:rsid w:val="CFBB7460"/>
    <w:rsid w:val="DAFFCAF5"/>
    <w:rsid w:val="DDFFD766"/>
    <w:rsid w:val="DFF565AF"/>
    <w:rsid w:val="DFFE9515"/>
    <w:rsid w:val="DFFFC685"/>
    <w:rsid w:val="EBEF0BE4"/>
    <w:rsid w:val="EFFDD329"/>
    <w:rsid w:val="F19DE533"/>
    <w:rsid w:val="F2B7883E"/>
    <w:rsid w:val="F737B9BD"/>
    <w:rsid w:val="F7A75A95"/>
    <w:rsid w:val="F7AFB17C"/>
    <w:rsid w:val="FA0FB9C2"/>
    <w:rsid w:val="FCDE1763"/>
    <w:rsid w:val="FDFF2D5D"/>
    <w:rsid w:val="FE7EE8B2"/>
    <w:rsid w:val="FEF674A8"/>
    <w:rsid w:val="FFB73D78"/>
    <w:rsid w:val="FFD6AAFB"/>
    <w:rsid w:val="FFEBB9B9"/>
    <w:rsid w:val="FFFA79BD"/>
    <w:rsid w:val="FFFFFA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semiHidden/>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character" w:styleId="8">
    <w:name w:val="Hyperlink"/>
    <w:basedOn w:val="7"/>
    <w:semiHidden/>
    <w:unhideWhenUsed/>
    <w:qFormat/>
    <w:uiPriority w:val="99"/>
    <w:rPr>
      <w:color w:val="0000FF"/>
      <w:u w:val="single"/>
    </w:rPr>
  </w:style>
  <w:style w:type="character" w:customStyle="1" w:styleId="9">
    <w:name w:val="font112"/>
    <w:basedOn w:val="7"/>
    <w:qFormat/>
    <w:uiPriority w:val="0"/>
    <w:rPr>
      <w:rFonts w:ascii="仿宋_GB2312" w:eastAsia="仿宋_GB2312" w:cs="仿宋_GB2312"/>
      <w:color w:val="000000"/>
      <w:sz w:val="18"/>
      <w:szCs w:val="18"/>
      <w:u w:val="none"/>
    </w:rPr>
  </w:style>
  <w:style w:type="character" w:customStyle="1" w:styleId="10">
    <w:name w:val="批注框文本 Char"/>
    <w:basedOn w:val="7"/>
    <w:link w:val="2"/>
    <w:semiHidden/>
    <w:qFormat/>
    <w:uiPriority w:val="99"/>
    <w:rPr>
      <w:rFonts w:ascii="Calibri" w:hAnsi="Calibri" w:eastAsia="宋体" w:cs="Arial"/>
      <w:sz w:val="18"/>
      <w:szCs w:val="18"/>
    </w:rPr>
  </w:style>
  <w:style w:type="character" w:customStyle="1" w:styleId="11">
    <w:name w:val="页眉 Char"/>
    <w:basedOn w:val="7"/>
    <w:link w:val="4"/>
    <w:semiHidden/>
    <w:qFormat/>
    <w:uiPriority w:val="99"/>
    <w:rPr>
      <w:rFonts w:ascii="Calibri" w:hAnsi="Calibri" w:cs="Arial"/>
      <w:kern w:val="2"/>
      <w:sz w:val="18"/>
      <w:szCs w:val="18"/>
    </w:rPr>
  </w:style>
  <w:style w:type="character" w:customStyle="1" w:styleId="12">
    <w:name w:val="页脚 Char"/>
    <w:basedOn w:val="7"/>
    <w:link w:val="3"/>
    <w:semiHidden/>
    <w:uiPriority w:val="99"/>
    <w:rPr>
      <w:rFonts w:ascii="Calibri" w:hAnsi="Calibri"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903</Words>
  <Characters>966</Characters>
  <Lines>8</Lines>
  <Paragraphs>2</Paragraphs>
  <TotalTime>0</TotalTime>
  <ScaleCrop>false</ScaleCrop>
  <LinksUpToDate>false</LinksUpToDate>
  <CharactersWithSpaces>969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2023-08-05T10:33:00Z</dcterms:created>
  <dc:creator>xb21cn</dc:creator>
  <cp:lastModifiedBy>旭日东升</cp:lastModifiedBy>
  <cp:lastPrinted>2023-08-20T09:13:00Z</cp:lastPrinted>
  <dcterms:modified xsi:type="dcterms:W3CDTF">2024-07-12T08:34:34Z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04C0A074AF7E4AA480D7E5F56A040128_12</vt:lpwstr>
  </property>
</Properties>
</file>