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widowControl/>
        <w:jc w:val="center"/>
        <w:textAlignment w:val="center"/>
        <w:rPr>
          <w:rFonts w:ascii="方正小标宋简体" w:eastAsia="方正小标宋简体" w:cs="方正小标宋简体"/>
          <w:color w:val="000000"/>
          <w:kern w:val="0"/>
          <w:sz w:val="44"/>
          <w:szCs w:val="44"/>
        </w:rPr>
      </w:pPr>
      <w:r>
        <w:rPr>
          <w:rFonts w:ascii="方正小标宋简体" w:eastAsia="方正小标宋简体" w:cs="方正小标宋简体" w:hint="eastAsia"/>
          <w:color w:val="000000"/>
          <w:kern w:val="0"/>
          <w:sz w:val="44"/>
          <w:szCs w:val="44"/>
        </w:rPr>
        <w:t>履职行权规程（政务服务类）</w:t>
      </w:r>
    </w:p>
    <w:tbl>
      <w:tblPr>
        <w:jc w:val="center"/>
        <w:tblW w:w="102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Pr>
      <w:tblGrid>
        <w:gridCol w:w="1463"/>
        <w:gridCol w:w="1050"/>
        <w:gridCol w:w="641"/>
        <w:gridCol w:w="1691"/>
        <w:gridCol w:w="1254"/>
        <w:gridCol w:w="709"/>
        <w:gridCol w:w="992"/>
        <w:gridCol w:w="567"/>
        <w:gridCol w:w="772"/>
        <w:gridCol w:w="1159"/>
      </w:tblGrid>
      <w:tr>
        <w:trPr>
          <w:trHeight w:val="424"/>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ascii="黑体" w:eastAsia="黑体" w:cs="黑体" w:hint="eastAsia"/>
                <w:b/>
                <w:bCs/>
                <w:color w:val="000000"/>
                <w:kern w:val="0"/>
                <w:szCs w:val="21"/>
              </w:rPr>
              <w:t>权力类型</w:t>
            </w:r>
          </w:p>
        </w:tc>
        <w:tc>
          <w:tcPr>
            <w:tcW w:w="1963" w:type="dxa"/>
            <w:gridSpan w:val="2"/>
            <w:tcBorders>
              <w:tl2br w:val="nil"/>
              <w:tr2bl w:val="nil"/>
            </w:tcBorders>
            <w:shd w:val="clear" w:color="auto" w:fill="auto"/>
            <w:vAlign w:val="center"/>
          </w:tcPr>
          <w:p>
            <w:pPr>
              <w:widowControl/>
              <w:jc w:val="center"/>
              <w:textAlignment w:val="center"/>
              <w:rPr>
                <w:rFonts w:ascii="仿宋_GB2312" w:eastAsia="仿宋_GB2312" w:cs="仿宋_GB2312" w:hint="eastAsia"/>
                <w:color w:val="000000"/>
                <w:kern w:val="0"/>
                <w:sz w:val="18"/>
                <w:szCs w:val="18"/>
                <w:lang w:eastAsia="zh-CN"/>
              </w:rPr>
            </w:pPr>
            <w:r>
              <w:rPr>
                <w:rFonts w:ascii="仿宋_GB2312" w:eastAsia="仿宋_GB2312" w:cs="仿宋_GB2312" w:hint="eastAsia"/>
                <w:color w:val="000000"/>
                <w:kern w:val="0"/>
                <w:sz w:val="18"/>
                <w:szCs w:val="18"/>
                <w:lang w:eastAsia="zh-CN"/>
              </w:rPr>
              <w:t>其他类</w:t>
            </w:r>
          </w:p>
        </w:tc>
        <w:tc>
          <w:tcPr>
            <w:tcW w:w="155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实施主体</w:t>
            </w:r>
          </w:p>
        </w:tc>
        <w:tc>
          <w:tcPr>
            <w:tcW w:w="1931" w:type="dxa"/>
            <w:gridSpan w:val="2"/>
            <w:tcBorders>
              <w:tl2br w:val="nil"/>
              <w:tr2bl w:val="nil"/>
            </w:tcBorders>
            <w:shd w:val="clear" w:color="auto" w:fill="auto"/>
            <w:vAlign w:val="center"/>
          </w:tcPr>
          <w:p>
            <w:pPr>
              <w:widowControl/>
              <w:jc w:val="center"/>
              <w:textAlignment w:val="center"/>
              <w:rPr>
                <w:rFonts w:ascii="仿宋_GB2312" w:eastAsia="仿宋_GB2312" w:cs="仿宋_GB2312" w:hint="eastAsia"/>
                <w:color w:val="000000"/>
                <w:kern w:val="0"/>
                <w:sz w:val="18"/>
                <w:szCs w:val="18"/>
                <w:lang w:eastAsia="zh-CN"/>
              </w:rPr>
            </w:pPr>
            <w:r>
              <w:rPr>
                <w:rFonts w:ascii="仿宋_GB2312" w:eastAsia="仿宋_GB2312" w:cs="仿宋_GB2312" w:hint="eastAsia"/>
                <w:color w:val="000000"/>
                <w:kern w:val="0"/>
                <w:sz w:val="18"/>
                <w:szCs w:val="18"/>
                <w:lang w:eastAsia="zh-CN"/>
              </w:rPr>
              <w:t>县自然资源和规划局</w:t>
            </w:r>
          </w:p>
        </w:tc>
      </w:tr>
      <w:tr>
        <w:trPr>
          <w:trHeight w:val="405"/>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事项名称</w:t>
            </w:r>
          </w:p>
        </w:tc>
        <w:tc>
          <w:tcPr>
            <w:tcW w:w="8835" w:type="dxa"/>
            <w:gridSpan w:val="9"/>
            <w:tcBorders>
              <w:tl2br w:val="nil"/>
              <w:tr2bl w:val="nil"/>
            </w:tcBorders>
            <w:shd w:val="clear" w:color="auto" w:fill="auto"/>
            <w:vAlign w:val="center"/>
          </w:tcPr>
          <w:p>
            <w:pPr>
              <w:jc w:val="center"/>
              <w:rPr>
                <w:rFonts w:ascii="黑体" w:eastAsia="仿宋_GB2312" w:cs="黑体" w:hAnsi="黑体" w:hint="eastAsia"/>
                <w:b/>
                <w:bCs/>
                <w:color w:val="000000"/>
                <w:szCs w:val="21"/>
                <w:lang w:eastAsia="zh-CN"/>
              </w:rPr>
            </w:pPr>
            <w:r>
              <w:rPr>
                <w:rFonts w:ascii="仿宋_GB2312" w:eastAsia="仿宋_GB2312" w:cs="仿宋_GB2312" w:hint="eastAsia"/>
                <w:color w:val="000000"/>
                <w:kern w:val="0"/>
                <w:sz w:val="18"/>
                <w:szCs w:val="18"/>
              </w:rPr>
              <w:t>修建性详细规划、建设工程设计方案总平面图的修改</w:t>
            </w:r>
          </w:p>
        </w:tc>
      </w:tr>
      <w:tr>
        <w:trPr>
          <w:trHeight w:val="2132"/>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履职依据</w:t>
            </w:r>
          </w:p>
        </w:tc>
        <w:tc>
          <w:tcPr>
            <w:tcW w:w="8835" w:type="dxa"/>
            <w:gridSpan w:val="9"/>
            <w:tcBorders>
              <w:tl2br w:val="nil"/>
              <w:tr2bl w:val="nil"/>
            </w:tcBorders>
            <w:shd w:val="clear" w:color="auto" w:fill="auto"/>
            <w:vAlign w:val="center"/>
          </w:tcPr>
          <w:p>
            <w:pPr>
              <w:spacing w:line="240" w:lineRule="exact"/>
              <w:rPr>
                <w:rFonts w:ascii="黑体" w:eastAsia="黑体" w:cs="仿宋_GB2312" w:hAnsi="黑体"/>
                <w:kern w:val="0"/>
                <w:sz w:val="18"/>
                <w:szCs w:val="18"/>
              </w:rPr>
            </w:pPr>
            <w:r>
              <w:rPr>
                <w:rFonts w:ascii="黑体" w:eastAsia="黑体" w:cs="仿宋_GB2312" w:hAnsi="黑体" w:hint="eastAsia"/>
                <w:kern w:val="0"/>
                <w:sz w:val="18"/>
                <w:szCs w:val="18"/>
              </w:rPr>
              <w:t>【法律法规】</w:t>
            </w:r>
          </w:p>
          <w:p>
            <w:pPr>
              <w:widowControl/>
              <w:shd w:val="clear" w:color="auto" w:fill="FFFFFF"/>
              <w:spacing w:line="240" w:lineRule="exact"/>
              <w:ind w:firstLine="420"/>
              <w:rPr>
                <w:rFonts w:ascii="华文仿宋" w:eastAsia="华文仿宋" w:cs="华文仿宋" w:hAnsi="华文仿宋"/>
                <w:kern w:val="0"/>
                <w:sz w:val="18"/>
                <w:szCs w:val="18"/>
              </w:rPr>
            </w:pPr>
            <w:r>
              <w:rPr>
                <w:rFonts w:ascii="华文仿宋" w:eastAsia="华文仿宋" w:cs="华文仿宋" w:hAnsi="华文仿宋" w:hint="eastAsia"/>
                <w:kern w:val="0"/>
                <w:sz w:val="18"/>
                <w:szCs w:val="18"/>
              </w:rPr>
              <w:t>《河北省城乡规划条例》第六十八条规定：修建性详细规划、建设工程设计方案的总平面图有下列情形之一的，组织编制机关应当依法修改，并依照本条例规定的审批程序报批：</w:t>
            </w:r>
          </w:p>
          <w:p>
            <w:pPr>
              <w:widowControl/>
              <w:shd w:val="clear" w:color="auto" w:fill="FFFFFF"/>
              <w:spacing w:line="240" w:lineRule="exact"/>
              <w:ind w:firstLineChars="200" w:firstLine="360"/>
              <w:rPr>
                <w:rFonts w:ascii="华文仿宋" w:eastAsia="华文仿宋" w:cs="华文仿宋" w:hAnsi="华文仿宋"/>
                <w:sz w:val="18"/>
                <w:szCs w:val="18"/>
              </w:rPr>
            </w:pPr>
            <w:r>
              <w:rPr>
                <w:rFonts w:ascii="华文仿宋" w:eastAsia="华文仿宋" w:cs="华文仿宋" w:hAnsi="华文仿宋" w:hint="eastAsia"/>
                <w:kern w:val="0"/>
                <w:sz w:val="18"/>
                <w:szCs w:val="18"/>
              </w:rPr>
              <w:t>一、因控制性详细规划的修改导致无法按照修建性详细规划、建设工程设计方案的总平面图建设的；</w:t>
            </w:r>
          </w:p>
          <w:p>
            <w:pPr>
              <w:widowControl/>
              <w:shd w:val="clear" w:color="auto" w:fill="FFFFFF"/>
              <w:spacing w:line="240" w:lineRule="exact"/>
              <w:ind w:firstLineChars="200" w:firstLine="360"/>
              <w:rPr>
                <w:rFonts w:ascii="华文仿宋" w:eastAsia="华文仿宋" w:cs="华文仿宋" w:hAnsi="华文仿宋"/>
                <w:sz w:val="18"/>
                <w:szCs w:val="18"/>
              </w:rPr>
            </w:pPr>
            <w:r>
              <w:rPr>
                <w:rFonts w:ascii="华文仿宋" w:eastAsia="华文仿宋" w:cs="华文仿宋" w:hAnsi="华文仿宋" w:hint="eastAsia"/>
                <w:kern w:val="0"/>
                <w:sz w:val="18"/>
                <w:szCs w:val="18"/>
              </w:rPr>
              <w:t>二、因文物保护、地质灾害和其他涉及公共利益原因致使无法按照修建性详细规划、建设工程设计方案的总平面图建设的；</w:t>
            </w:r>
          </w:p>
          <w:p>
            <w:pPr>
              <w:widowControl/>
              <w:shd w:val="clear" w:color="auto" w:fill="FFFFFF"/>
              <w:spacing w:line="240" w:lineRule="exact"/>
              <w:ind w:firstLineChars="200" w:firstLine="360"/>
              <w:rPr>
                <w:rFonts w:ascii="华文仿宋" w:eastAsia="华文仿宋" w:cs="华文仿宋" w:hAnsi="华文仿宋"/>
                <w:kern w:val="0"/>
                <w:sz w:val="18"/>
                <w:szCs w:val="18"/>
              </w:rPr>
            </w:pPr>
            <w:r>
              <w:rPr>
                <w:rFonts w:ascii="华文仿宋" w:eastAsia="华文仿宋" w:cs="华文仿宋" w:hAnsi="华文仿宋" w:hint="eastAsia"/>
                <w:kern w:val="0"/>
                <w:sz w:val="18"/>
                <w:szCs w:val="18"/>
              </w:rPr>
              <w:t>三、法律、行政法规规定的其他情形。</w:t>
            </w:r>
          </w:p>
          <w:p>
            <w:pPr>
              <w:widowControl/>
              <w:shd w:val="clear" w:color="auto" w:fill="FFFFFF"/>
              <w:spacing w:line="240" w:lineRule="exact"/>
              <w:ind w:firstLineChars="200" w:firstLine="360"/>
              <w:rPr>
                <w:rFonts w:ascii="华文仿宋" w:eastAsia="华文仿宋" w:cs="华文仿宋" w:hAnsi="华文仿宋"/>
                <w:sz w:val="18"/>
                <w:szCs w:val="18"/>
              </w:rPr>
            </w:pPr>
            <w:r>
              <w:rPr>
                <w:rFonts w:ascii="华文仿宋" w:eastAsia="华文仿宋" w:cs="华文仿宋" w:hAnsi="华文仿宋" w:hint="eastAsia"/>
                <w:kern w:val="0"/>
                <w:sz w:val="18"/>
                <w:szCs w:val="18"/>
              </w:rPr>
              <w:t>按照前款规定确实需要修改的，审判机关应当将修建性详细规划、建设工程设计方案的总平面图的修改原因、修改草案予以公示，并采取听证会、座谈会等形式，听取利害关系人的意见，公示时间不得少于十日；因修改修建性详细规划、建设工程设计方案的总平面图给利害关系人合法权益造成损失的，应当依法给予补偿。</w:t>
            </w:r>
          </w:p>
          <w:p>
            <w:pPr>
              <w:spacing w:line="240" w:lineRule="exact"/>
              <w:rPr>
                <w:rFonts w:ascii="黑体" w:eastAsia="黑体" w:cs="仿宋_GB2312" w:hAnsi="黑体"/>
                <w:kern w:val="0"/>
                <w:sz w:val="18"/>
                <w:szCs w:val="18"/>
              </w:rPr>
            </w:pPr>
            <w:r>
              <w:rPr>
                <w:rFonts w:ascii="黑体" w:eastAsia="黑体" w:cs="仿宋_GB2312" w:hAnsi="黑体" w:hint="eastAsia"/>
                <w:kern w:val="0"/>
                <w:sz w:val="18"/>
                <w:szCs w:val="18"/>
              </w:rPr>
              <w:t>【三定规定】</w:t>
            </w:r>
          </w:p>
          <w:p>
            <w:pPr>
              <w:spacing w:line="240" w:lineRule="exact"/>
              <w:rPr>
                <w:rFonts w:ascii="黑体" w:eastAsia="黑体" w:cs="黑体"/>
                <w:b/>
                <w:bCs/>
                <w:color w:val="000000"/>
                <w:szCs w:val="21"/>
              </w:rPr>
            </w:pPr>
            <w:r>
              <w:rPr>
                <w:rFonts w:ascii="仿宋_GB2312" w:eastAsia="仿宋_GB2312" w:cs="仿宋_GB2312" w:hint="eastAsia"/>
                <w:kern w:val="0"/>
                <w:sz w:val="18"/>
                <w:szCs w:val="18"/>
                <w:lang w:eastAsia="zh-CN"/>
              </w:rPr>
              <w:t>昌</w:t>
            </w:r>
            <w:r>
              <w:rPr>
                <w:rFonts w:ascii="仿宋_GB2312" w:eastAsia="仿宋_GB2312" w:cs="仿宋_GB2312" w:hint="eastAsia"/>
                <w:kern w:val="0"/>
                <w:sz w:val="18"/>
                <w:szCs w:val="18"/>
              </w:rPr>
              <w:t>办字</w:t>
            </w:r>
            <w:r>
              <w:rPr>
                <w:rFonts w:ascii="宋体" w:cs="仿宋_GB2312" w:hAnsi="宋体" w:hint="eastAsia"/>
                <w:kern w:val="0"/>
                <w:sz w:val="18"/>
                <w:szCs w:val="18"/>
              </w:rPr>
              <w:t>﹝</w:t>
            </w:r>
            <w:r>
              <w:rPr>
                <w:rFonts w:ascii="仿宋_GB2312" w:eastAsia="仿宋_GB2312" w:cs="仿宋_GB2312" w:hint="eastAsia"/>
                <w:kern w:val="0"/>
                <w:sz w:val="18"/>
                <w:szCs w:val="18"/>
              </w:rPr>
              <w:t>2019</w:t>
            </w:r>
            <w:r>
              <w:rPr>
                <w:rFonts w:ascii="宋体" w:cs="仿宋_GB2312" w:hAnsi="宋体" w:hint="eastAsia"/>
                <w:kern w:val="0"/>
                <w:sz w:val="18"/>
                <w:szCs w:val="18"/>
              </w:rPr>
              <w:t>﹞</w:t>
            </w:r>
            <w:r>
              <w:rPr>
                <w:rFonts w:ascii="宋体" w:cs="仿宋_GB2312" w:hAnsi="宋体" w:hint="eastAsia"/>
                <w:kern w:val="0"/>
                <w:sz w:val="18"/>
                <w:szCs w:val="18"/>
                <w:lang w:val="en-US" w:eastAsia="zh-CN"/>
              </w:rPr>
              <w:t>3</w:t>
            </w:r>
            <w:r>
              <w:rPr>
                <w:rFonts w:ascii="仿宋_GB2312" w:eastAsia="仿宋_GB2312" w:cs="仿宋_GB2312" w:hint="eastAsia"/>
                <w:kern w:val="0"/>
                <w:sz w:val="18"/>
                <w:szCs w:val="18"/>
              </w:rPr>
              <w:t>9号  第</w:t>
            </w:r>
            <w:r>
              <w:rPr>
                <w:rFonts w:ascii="仿宋_GB2312" w:eastAsia="仿宋_GB2312" w:cs="仿宋_GB2312" w:hint="eastAsia"/>
                <w:kern w:val="0"/>
                <w:sz w:val="18"/>
                <w:szCs w:val="18"/>
                <w:lang w:eastAsia="zh-CN"/>
              </w:rPr>
              <w:t>六</w:t>
            </w:r>
            <w:r>
              <w:rPr>
                <w:rFonts w:ascii="仿宋_GB2312" w:eastAsia="仿宋_GB2312" w:cs="仿宋_GB2312" w:hint="eastAsia"/>
                <w:kern w:val="0"/>
                <w:sz w:val="18"/>
                <w:szCs w:val="18"/>
              </w:rPr>
              <w:t>条</w:t>
            </w:r>
            <w:r>
              <w:rPr>
                <w:rFonts w:ascii="仿宋_GB2312" w:eastAsia="仿宋_GB2312" w:cs="仿宋_GB2312" w:hint="eastAsia"/>
                <w:kern w:val="0"/>
                <w:sz w:val="18"/>
                <w:szCs w:val="18"/>
                <w:lang w:eastAsia="zh-CN"/>
              </w:rPr>
              <w:t>（三）项国土空间规划</w:t>
            </w:r>
          </w:p>
        </w:tc>
      </w:tr>
      <w:tr>
        <w:trPr>
          <w:trHeight w:val="420"/>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履职流程</w:t>
            </w:r>
          </w:p>
        </w:tc>
        <w:tc>
          <w:tcPr>
            <w:tcW w:w="105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办理环节</w:t>
            </w:r>
          </w:p>
        </w:tc>
        <w:tc>
          <w:tcPr>
            <w:tcW w:w="5287" w:type="dxa"/>
            <w:gridSpan w:val="5"/>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办理内容</w:t>
            </w:r>
          </w:p>
        </w:tc>
        <w:tc>
          <w:tcPr>
            <w:tcW w:w="133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办理时限</w:t>
            </w:r>
          </w:p>
        </w:tc>
        <w:tc>
          <w:tcPr>
            <w:tcW w:w="1159"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责任科室</w:t>
            </w:r>
          </w:p>
        </w:tc>
      </w:tr>
      <w:tr>
        <w:trPr>
          <w:trHeight w:val="540"/>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ascii="黑体" w:eastAsia="黑体" w:cs="黑体" w:hint="eastAsia"/>
                <w:color w:val="000000"/>
                <w:sz w:val="18"/>
                <w:szCs w:val="18"/>
              </w:rPr>
              <w:t>受理</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ascii="仿宋_GB2312" w:eastAsia="仿宋_GB2312" w:cs="仿宋_GB2312" w:hint="eastAsia"/>
                <w:color w:val="000000"/>
                <w:kern w:val="0"/>
                <w:sz w:val="18"/>
                <w:szCs w:val="18"/>
              </w:rPr>
              <w:t>依法受理或不予受理，并一次性告之不予受理理由或需补充提供的相关材料目录</w:t>
            </w:r>
          </w:p>
        </w:tc>
        <w:tc>
          <w:tcPr>
            <w:tcW w:w="1339" w:type="dxa"/>
            <w:gridSpan w:val="2"/>
            <w:tcBorders>
              <w:tl2br w:val="nil"/>
              <w:tr2bl w:val="nil"/>
            </w:tcBorders>
            <w:shd w:val="clear" w:color="auto" w:fill="auto"/>
            <w:vAlign w:val="center"/>
          </w:tcPr>
          <w:p>
            <w:pPr>
              <w:rPr>
                <w:rFonts w:ascii="黑体" w:eastAsia="黑体" w:cs="黑体"/>
                <w:color w:val="000000"/>
                <w:sz w:val="18"/>
                <w:szCs w:val="18"/>
              </w:rPr>
            </w:pPr>
          </w:p>
        </w:tc>
        <w:tc>
          <w:tcPr>
            <w:tcW w:w="1159" w:type="dxa"/>
            <w:tcBorders>
              <w:tl2br w:val="nil"/>
              <w:tr2bl w:val="nil"/>
            </w:tcBorders>
            <w:shd w:val="clear" w:color="auto" w:fill="auto"/>
            <w:vAlign w:val="center"/>
          </w:tcPr>
          <w:p>
            <w:pPr>
              <w:jc w:val="center"/>
              <w:rPr>
                <w:rFonts w:ascii="仿宋_GB2312" w:eastAsia="仿宋_GB2312" w:cs="仿宋_GB2312" w:hint="eastAsia"/>
                <w:color w:val="000000"/>
                <w:kern w:val="0"/>
                <w:sz w:val="18"/>
                <w:szCs w:val="18"/>
                <w:lang w:eastAsia="zh-CN"/>
              </w:rPr>
            </w:pPr>
            <w:r>
              <w:rPr>
                <w:rFonts w:ascii="仿宋_GB2312" w:eastAsia="仿宋_GB2312" w:cs="仿宋_GB2312" w:hint="eastAsia"/>
                <w:color w:val="000000"/>
                <w:kern w:val="0"/>
                <w:sz w:val="18"/>
                <w:szCs w:val="18"/>
                <w:lang w:eastAsia="zh-CN"/>
              </w:rPr>
              <w:t>规划窗口</w:t>
            </w:r>
          </w:p>
        </w:tc>
      </w:tr>
      <w:tr>
        <w:trPr>
          <w:trHeight w:val="335"/>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ascii="黑体" w:eastAsia="黑体" w:cs="黑体" w:hint="eastAsia"/>
                <w:color w:val="000000"/>
                <w:sz w:val="18"/>
                <w:szCs w:val="18"/>
              </w:rPr>
              <w:t>审查</w:t>
            </w:r>
          </w:p>
        </w:tc>
        <w:tc>
          <w:tcPr>
            <w:tcW w:w="5287" w:type="dxa"/>
            <w:gridSpan w:val="5"/>
            <w:tcBorders>
              <w:tl2br w:val="nil"/>
              <w:tr2bl w:val="nil"/>
            </w:tcBorders>
            <w:shd w:val="clear" w:color="auto" w:fill="auto"/>
            <w:vAlign w:val="center"/>
          </w:tcPr>
          <w:p>
            <w:pPr>
              <w:rPr>
                <w:rFonts w:ascii="黑体" w:eastAsia="黑体" w:cs="黑体" w:hint="eastAsia"/>
                <w:color w:val="000000"/>
                <w:sz w:val="18"/>
                <w:szCs w:val="18"/>
                <w:lang w:eastAsia="zh-CN"/>
              </w:rPr>
            </w:pPr>
            <w:r>
              <w:rPr>
                <w:rFonts w:ascii="仿宋_GB2312" w:eastAsia="仿宋_GB2312" w:cs="仿宋_GB2312" w:hint="eastAsia"/>
                <w:color w:val="000000"/>
                <w:kern w:val="0"/>
                <w:sz w:val="18"/>
                <w:szCs w:val="18"/>
                <w:lang w:eastAsia="zh-CN"/>
              </w:rPr>
              <w:t>审查申请对象提交的修改后修建性详细规划、建设工程设计方案</w:t>
            </w:r>
          </w:p>
        </w:tc>
        <w:tc>
          <w:tcPr>
            <w:tcW w:w="1339" w:type="dxa"/>
            <w:gridSpan w:val="2"/>
            <w:tcBorders>
              <w:tl2br w:val="nil"/>
              <w:tr2bl w:val="nil"/>
            </w:tcBorders>
            <w:shd w:val="clear" w:color="auto" w:fill="auto"/>
            <w:vAlign w:val="center"/>
          </w:tcPr>
          <w:p>
            <w:pPr>
              <w:rPr>
                <w:rFonts w:ascii="黑体" w:eastAsia="黑体" w:cs="黑体"/>
                <w:color w:val="000000"/>
                <w:sz w:val="18"/>
                <w:szCs w:val="18"/>
              </w:rPr>
            </w:pPr>
          </w:p>
        </w:tc>
        <w:tc>
          <w:tcPr>
            <w:tcW w:w="1159" w:type="dxa"/>
            <w:tcBorders>
              <w:tl2br w:val="nil"/>
              <w:tr2bl w:val="nil"/>
            </w:tcBorders>
            <w:shd w:val="clear" w:color="auto" w:fill="auto"/>
            <w:vAlign w:val="center"/>
          </w:tcPr>
          <w:p>
            <w:pPr>
              <w:jc w:val="center"/>
              <w:rPr>
                <w:rFonts w:ascii="仿宋_GB2312" w:eastAsia="仿宋_GB2312" w:cs="仿宋_GB2312" w:hint="eastAsia"/>
                <w:color w:val="000000"/>
                <w:kern w:val="0"/>
                <w:sz w:val="18"/>
                <w:szCs w:val="18"/>
                <w:lang w:eastAsia="zh-CN"/>
              </w:rPr>
            </w:pPr>
            <w:r>
              <w:rPr>
                <w:rFonts w:ascii="仿宋_GB2312" w:eastAsia="仿宋_GB2312" w:cs="仿宋_GB2312" w:hint="eastAsia"/>
                <w:color w:val="000000"/>
                <w:kern w:val="0"/>
                <w:sz w:val="18"/>
                <w:szCs w:val="18"/>
                <w:lang w:eastAsia="zh-CN"/>
              </w:rPr>
              <w:t>工程规划股</w:t>
            </w:r>
          </w:p>
        </w:tc>
      </w:tr>
      <w:tr>
        <w:trPr>
          <w:trHeight w:val="489"/>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hint="eastAsia"/>
                <w:color w:val="000000"/>
                <w:sz w:val="18"/>
                <w:szCs w:val="18"/>
                <w:lang w:eastAsia="zh-CN"/>
              </w:rPr>
            </w:pPr>
            <w:r>
              <w:rPr>
                <w:rFonts w:ascii="黑体" w:eastAsia="黑体" w:cs="黑体" w:hint="eastAsia"/>
                <w:color w:val="000000"/>
                <w:sz w:val="18"/>
                <w:szCs w:val="18"/>
                <w:lang w:eastAsia="zh-CN"/>
              </w:rPr>
              <w:t>会审</w:t>
            </w:r>
          </w:p>
        </w:tc>
        <w:tc>
          <w:tcPr>
            <w:tcW w:w="5287" w:type="dxa"/>
            <w:gridSpan w:val="5"/>
            <w:tcBorders>
              <w:tl2br w:val="nil"/>
              <w:tr2bl w:val="nil"/>
            </w:tcBorders>
            <w:shd w:val="clear" w:color="auto" w:fill="auto"/>
            <w:vAlign w:val="center"/>
          </w:tcPr>
          <w:p>
            <w:pPr>
              <w:rPr>
                <w:rFonts w:ascii="黑体" w:eastAsia="黑体" w:cs="黑体" w:hint="eastAsia"/>
                <w:color w:val="000000"/>
                <w:sz w:val="18"/>
                <w:szCs w:val="18"/>
                <w:lang w:eastAsia="zh-CN"/>
              </w:rPr>
            </w:pPr>
            <w:r>
              <w:rPr>
                <w:rFonts w:ascii="仿宋_GB2312" w:eastAsia="仿宋_GB2312" w:cs="仿宋_GB2312" w:hint="eastAsia"/>
                <w:color w:val="000000"/>
                <w:kern w:val="0"/>
                <w:sz w:val="18"/>
                <w:szCs w:val="18"/>
                <w:lang w:eastAsia="zh-CN"/>
              </w:rPr>
              <w:t>按国土空间议事规定履行会审程序</w:t>
            </w:r>
          </w:p>
        </w:tc>
        <w:tc>
          <w:tcPr>
            <w:tcW w:w="1339" w:type="dxa"/>
            <w:gridSpan w:val="2"/>
            <w:tcBorders>
              <w:tl2br w:val="nil"/>
              <w:tr2bl w:val="nil"/>
            </w:tcBorders>
            <w:shd w:val="clear" w:color="auto" w:fill="auto"/>
            <w:vAlign w:val="center"/>
          </w:tcPr>
          <w:p>
            <w:pPr>
              <w:rPr>
                <w:rFonts w:ascii="黑体" w:eastAsia="黑体" w:cs="黑体"/>
                <w:color w:val="000000"/>
                <w:sz w:val="18"/>
                <w:szCs w:val="18"/>
              </w:rPr>
            </w:pPr>
          </w:p>
        </w:tc>
        <w:tc>
          <w:tcPr>
            <w:tcW w:w="1159" w:type="dxa"/>
            <w:tcBorders>
              <w:tl2br w:val="nil"/>
              <w:tr2bl w:val="nil"/>
            </w:tcBorders>
            <w:shd w:val="clear" w:color="auto" w:fill="auto"/>
            <w:vAlign w:val="center"/>
          </w:tcPr>
          <w:p>
            <w:pPr>
              <w:jc w:val="center"/>
              <w:rPr>
                <w:rFonts w:ascii="仿宋_GB2312" w:eastAsia="仿宋_GB2312" w:cs="仿宋_GB2312" w:hint="eastAsia"/>
                <w:color w:val="000000"/>
                <w:kern w:val="0"/>
                <w:sz w:val="18"/>
                <w:szCs w:val="18"/>
                <w:lang w:eastAsia="zh-CN"/>
              </w:rPr>
            </w:pPr>
            <w:r>
              <w:rPr>
                <w:rFonts w:ascii="仿宋_GB2312" w:eastAsia="仿宋_GB2312" w:cs="仿宋_GB2312" w:hint="eastAsia"/>
                <w:color w:val="000000"/>
                <w:kern w:val="0"/>
                <w:sz w:val="18"/>
                <w:szCs w:val="18"/>
                <w:lang w:eastAsia="zh-CN"/>
              </w:rPr>
              <w:t>工程规划股</w:t>
            </w:r>
          </w:p>
        </w:tc>
      </w:tr>
      <w:tr>
        <w:trPr>
          <w:trHeight w:val="489"/>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hint="eastAsia"/>
                <w:color w:val="000000"/>
                <w:sz w:val="18"/>
                <w:szCs w:val="18"/>
                <w:lang w:eastAsia="zh-CN"/>
              </w:rPr>
            </w:pPr>
            <w:r>
              <w:rPr>
                <w:rFonts w:ascii="黑体" w:eastAsia="黑体" w:cs="黑体" w:hint="eastAsia"/>
                <w:color w:val="000000"/>
                <w:sz w:val="18"/>
                <w:szCs w:val="18"/>
                <w:lang w:eastAsia="zh-CN"/>
              </w:rPr>
              <w:t>公示</w:t>
            </w:r>
          </w:p>
        </w:tc>
        <w:tc>
          <w:tcPr>
            <w:tcW w:w="5287" w:type="dxa"/>
            <w:gridSpan w:val="5"/>
            <w:tcBorders>
              <w:tl2br w:val="nil"/>
              <w:tr2bl w:val="nil"/>
            </w:tcBorders>
            <w:shd w:val="clear" w:color="auto" w:fill="auto"/>
            <w:vAlign w:val="center"/>
          </w:tcPr>
          <w:p>
            <w:pPr>
              <w:rPr>
                <w:rFonts w:ascii="仿宋_GB2312" w:eastAsia="仿宋_GB2312" w:cs="仿宋_GB2312" w:hint="eastAsia"/>
                <w:color w:val="000000"/>
                <w:kern w:val="0"/>
                <w:sz w:val="18"/>
                <w:szCs w:val="18"/>
                <w:lang w:eastAsia="zh-CN"/>
              </w:rPr>
            </w:pPr>
            <w:r>
              <w:rPr>
                <w:rFonts w:ascii="仿宋_GB2312" w:eastAsia="仿宋_GB2312" w:cs="仿宋_GB2312" w:hint="eastAsia"/>
                <w:color w:val="000000"/>
                <w:kern w:val="0"/>
                <w:sz w:val="18"/>
                <w:szCs w:val="18"/>
                <w:lang w:eastAsia="zh-CN"/>
              </w:rPr>
              <w:t>修改后修建性详细规划、建设工程设计方案经县国土</w:t>
            </w:r>
            <w:bookmarkStart w:id="0" w:name="_GoBack"/>
            <w:bookmarkEnd w:id="0"/>
            <w:r>
              <w:rPr>
                <w:rFonts w:ascii="仿宋_GB2312" w:eastAsia="仿宋_GB2312" w:cs="仿宋_GB2312" w:hint="eastAsia"/>
                <w:color w:val="000000"/>
                <w:kern w:val="0"/>
                <w:sz w:val="18"/>
                <w:szCs w:val="18"/>
                <w:lang w:eastAsia="zh-CN"/>
              </w:rPr>
              <w:t>空间规划委员会议定后，履行批前公示</w:t>
            </w:r>
          </w:p>
        </w:tc>
        <w:tc>
          <w:tcPr>
            <w:tcW w:w="1339" w:type="dxa"/>
            <w:gridSpan w:val="2"/>
            <w:tcBorders>
              <w:tl2br w:val="nil"/>
              <w:tr2bl w:val="nil"/>
            </w:tcBorders>
            <w:shd w:val="clear" w:color="auto" w:fill="auto"/>
            <w:vAlign w:val="center"/>
          </w:tcPr>
          <w:p>
            <w:pPr>
              <w:rPr>
                <w:rFonts w:ascii="仿宋_GB2312" w:eastAsia="仿宋_GB2312" w:cs="仿宋_GB2312"/>
                <w:color w:val="000000"/>
                <w:kern w:val="0"/>
                <w:sz w:val="18"/>
                <w:szCs w:val="18"/>
              </w:rPr>
            </w:pPr>
          </w:p>
        </w:tc>
        <w:tc>
          <w:tcPr>
            <w:tcW w:w="1159" w:type="dxa"/>
            <w:tcBorders>
              <w:tl2br w:val="nil"/>
              <w:tr2bl w:val="nil"/>
            </w:tcBorders>
            <w:shd w:val="clear" w:color="auto" w:fill="auto"/>
            <w:vAlign w:val="center"/>
          </w:tcPr>
          <w:p>
            <w:pPr>
              <w:jc w:val="center"/>
              <w:rPr>
                <w:rFonts w:ascii="仿宋_GB2312" w:eastAsia="仿宋_GB2312" w:cs="仿宋_GB2312" w:hint="eastAsia"/>
                <w:color w:val="000000"/>
                <w:kern w:val="0"/>
                <w:sz w:val="18"/>
                <w:szCs w:val="18"/>
                <w:lang w:eastAsia="zh-CN"/>
              </w:rPr>
            </w:pPr>
            <w:r>
              <w:rPr>
                <w:rFonts w:ascii="仿宋_GB2312" w:eastAsia="仿宋_GB2312" w:cs="仿宋_GB2312" w:hint="eastAsia"/>
                <w:color w:val="000000"/>
                <w:kern w:val="0"/>
                <w:sz w:val="18"/>
                <w:szCs w:val="18"/>
                <w:lang w:eastAsia="zh-CN"/>
              </w:rPr>
              <w:t>工程规划股</w:t>
            </w:r>
          </w:p>
        </w:tc>
      </w:tr>
      <w:tr>
        <w:trPr>
          <w:trHeight w:val="489"/>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ascii="黑体" w:eastAsia="黑体" w:cs="黑体"/>
                <w:color w:val="000000"/>
                <w:sz w:val="18"/>
                <w:szCs w:val="18"/>
              </w:rPr>
              <w:t>组卷</w:t>
            </w:r>
          </w:p>
        </w:tc>
        <w:tc>
          <w:tcPr>
            <w:tcW w:w="5287" w:type="dxa"/>
            <w:gridSpan w:val="5"/>
            <w:tcBorders>
              <w:tl2br w:val="nil"/>
              <w:tr2bl w:val="nil"/>
            </w:tcBorders>
            <w:shd w:val="clear" w:color="auto" w:fill="auto"/>
            <w:vAlign w:val="center"/>
          </w:tcPr>
          <w:p>
            <w:pP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lang w:eastAsia="zh-CN"/>
              </w:rPr>
              <w:t>组织申报对象完善卷宗资料</w:t>
            </w:r>
          </w:p>
        </w:tc>
        <w:tc>
          <w:tcPr>
            <w:tcW w:w="1339" w:type="dxa"/>
            <w:gridSpan w:val="2"/>
            <w:tcBorders>
              <w:tl2br w:val="nil"/>
              <w:tr2bl w:val="nil"/>
            </w:tcBorders>
            <w:shd w:val="clear" w:color="auto" w:fill="auto"/>
            <w:vAlign w:val="center"/>
          </w:tcPr>
          <w:p>
            <w:pPr>
              <w:rPr>
                <w:rFonts w:ascii="仿宋_GB2312" w:eastAsia="仿宋_GB2312" w:cs="仿宋_GB2312"/>
                <w:color w:val="000000"/>
                <w:kern w:val="0"/>
                <w:sz w:val="18"/>
                <w:szCs w:val="18"/>
              </w:rPr>
            </w:pPr>
          </w:p>
        </w:tc>
        <w:tc>
          <w:tcPr>
            <w:tcW w:w="1159" w:type="dxa"/>
            <w:tcBorders>
              <w:tl2br w:val="nil"/>
              <w:tr2bl w:val="nil"/>
            </w:tcBorders>
            <w:shd w:val="clear" w:color="auto" w:fill="auto"/>
            <w:vAlign w:val="center"/>
          </w:tcPr>
          <w:p>
            <w:pPr>
              <w:jc w:val="center"/>
              <w:rPr>
                <w:rFonts w:ascii="仿宋_GB2312" w:eastAsia="仿宋_GB2312" w:cs="仿宋_GB2312" w:hint="eastAsia"/>
                <w:color w:val="000000"/>
                <w:kern w:val="0"/>
                <w:sz w:val="18"/>
                <w:szCs w:val="18"/>
                <w:lang w:eastAsia="zh-CN"/>
              </w:rPr>
            </w:pPr>
            <w:r>
              <w:rPr>
                <w:rFonts w:ascii="仿宋_GB2312" w:eastAsia="仿宋_GB2312" w:cs="仿宋_GB2312" w:hint="eastAsia"/>
                <w:color w:val="000000"/>
                <w:kern w:val="0"/>
                <w:sz w:val="18"/>
                <w:szCs w:val="18"/>
                <w:lang w:eastAsia="zh-CN"/>
              </w:rPr>
              <w:t>工程规划股</w:t>
            </w:r>
          </w:p>
        </w:tc>
      </w:tr>
      <w:tr>
        <w:trPr>
          <w:trHeight w:val="335"/>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hint="eastAsia"/>
                <w:color w:val="000000"/>
                <w:sz w:val="18"/>
                <w:szCs w:val="18"/>
                <w:lang w:eastAsia="zh-CN"/>
              </w:rPr>
            </w:pPr>
            <w:r>
              <w:rPr>
                <w:rFonts w:ascii="黑体" w:eastAsia="黑体" w:cs="黑体" w:hint="eastAsia"/>
                <w:color w:val="000000"/>
                <w:sz w:val="18"/>
                <w:szCs w:val="18"/>
                <w:lang w:eastAsia="zh-CN"/>
              </w:rPr>
              <w:t>核发意见</w:t>
            </w:r>
          </w:p>
        </w:tc>
        <w:tc>
          <w:tcPr>
            <w:tcW w:w="5287" w:type="dxa"/>
            <w:gridSpan w:val="5"/>
            <w:tcBorders>
              <w:tl2br w:val="nil"/>
              <w:tr2bl w:val="nil"/>
            </w:tcBorders>
            <w:shd w:val="clear" w:color="auto" w:fill="auto"/>
            <w:vAlign w:val="center"/>
          </w:tcPr>
          <w:p>
            <w:pPr>
              <w:rPr>
                <w:rFonts w:ascii="黑体" w:eastAsia="黑体" w:cs="黑体" w:hint="eastAsia"/>
                <w:color w:val="000000"/>
                <w:sz w:val="18"/>
                <w:szCs w:val="18"/>
                <w:lang w:eastAsia="zh-CN"/>
              </w:rPr>
            </w:pPr>
            <w:r>
              <w:rPr>
                <w:rFonts w:ascii="仿宋_GB2312" w:eastAsia="仿宋_GB2312" w:cs="仿宋_GB2312" w:hint="eastAsia"/>
                <w:color w:val="000000"/>
                <w:kern w:val="0"/>
                <w:sz w:val="18"/>
                <w:szCs w:val="18"/>
                <w:lang w:eastAsia="zh-CN"/>
              </w:rPr>
              <w:t>核发修改后修建性详细规划及设计方案审定意见</w:t>
            </w:r>
          </w:p>
        </w:tc>
        <w:tc>
          <w:tcPr>
            <w:tcW w:w="1339" w:type="dxa"/>
            <w:gridSpan w:val="2"/>
            <w:tcBorders>
              <w:tl2br w:val="nil"/>
              <w:tr2bl w:val="nil"/>
            </w:tcBorders>
            <w:shd w:val="clear" w:color="auto" w:fill="auto"/>
            <w:vAlign w:val="center"/>
          </w:tcPr>
          <w:p>
            <w:pPr>
              <w:rPr>
                <w:rFonts w:ascii="黑体" w:eastAsia="黑体" w:cs="黑体"/>
                <w:color w:val="000000"/>
                <w:sz w:val="18"/>
                <w:szCs w:val="18"/>
              </w:rPr>
            </w:pPr>
          </w:p>
        </w:tc>
        <w:tc>
          <w:tcPr>
            <w:tcW w:w="1159" w:type="dxa"/>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lang w:eastAsia="zh-CN"/>
              </w:rPr>
              <w:t>工程规划股</w:t>
            </w:r>
          </w:p>
        </w:tc>
      </w:tr>
      <w:tr>
        <w:trPr>
          <w:trHeight w:val="501"/>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ascii="黑体" w:eastAsia="黑体" w:cs="黑体"/>
                <w:color w:val="000000"/>
                <w:sz w:val="18"/>
                <w:szCs w:val="18"/>
              </w:rPr>
              <w:t>归档</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ascii="仿宋_GB2312" w:eastAsia="仿宋_GB2312" w:cs="仿宋_GB2312"/>
                <w:color w:val="000000"/>
                <w:kern w:val="0"/>
                <w:sz w:val="18"/>
                <w:szCs w:val="18"/>
              </w:rPr>
              <w:t>对</w:t>
            </w:r>
            <w:r>
              <w:rPr>
                <w:rFonts w:ascii="仿宋_GB2312" w:eastAsia="仿宋_GB2312" w:cs="仿宋_GB2312" w:hint="eastAsia"/>
                <w:color w:val="000000"/>
                <w:kern w:val="0"/>
                <w:sz w:val="18"/>
                <w:szCs w:val="18"/>
                <w:lang w:eastAsia="zh-CN"/>
              </w:rPr>
              <w:t>审定</w:t>
            </w:r>
            <w:r>
              <w:rPr>
                <w:rFonts w:ascii="仿宋_GB2312" w:eastAsia="仿宋_GB2312" w:cs="仿宋_GB2312"/>
                <w:color w:val="000000"/>
                <w:kern w:val="0"/>
                <w:sz w:val="18"/>
                <w:szCs w:val="18"/>
              </w:rPr>
              <w:t>后的组卷材料进行归档处理，统一留存，建立台账</w:t>
            </w:r>
          </w:p>
        </w:tc>
        <w:tc>
          <w:tcPr>
            <w:tcW w:w="1339" w:type="dxa"/>
            <w:gridSpan w:val="2"/>
            <w:tcBorders>
              <w:tl2br w:val="nil"/>
              <w:tr2bl w:val="nil"/>
            </w:tcBorders>
            <w:shd w:val="clear" w:color="auto" w:fill="auto"/>
            <w:vAlign w:val="center"/>
          </w:tcPr>
          <w:p>
            <w:pPr>
              <w:rPr>
                <w:rFonts w:ascii="黑体" w:eastAsia="黑体" w:cs="黑体"/>
                <w:color w:val="000000"/>
                <w:sz w:val="18"/>
                <w:szCs w:val="18"/>
              </w:rPr>
            </w:pPr>
          </w:p>
        </w:tc>
        <w:tc>
          <w:tcPr>
            <w:tcW w:w="1159" w:type="dxa"/>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lang w:eastAsia="zh-CN"/>
              </w:rPr>
              <w:t>工程规划股</w:t>
            </w:r>
          </w:p>
        </w:tc>
      </w:tr>
      <w:tr>
        <w:trPr>
          <w:trHeight w:val="501"/>
        </w:trPr>
        <w:tc>
          <w:tcPr>
            <w:tcW w:w="1463" w:type="dxa"/>
            <w:tcBorders>
              <w:tl2br w:val="nil"/>
              <w:tr2bl w:val="nil"/>
            </w:tcBorders>
            <w:shd w:val="clear" w:color="auto" w:fill="auto"/>
            <w:vAlign w:val="center"/>
          </w:tcPr>
          <w:p>
            <w:pPr>
              <w:jc w:val="center"/>
              <w:rPr>
                <w:rFonts w:ascii="黑体" w:eastAsia="黑体" w:hAnsi="黑体"/>
                <w:b/>
              </w:rPr>
            </w:pPr>
            <w:r>
              <w:rPr>
                <w:rFonts w:ascii="黑体" w:eastAsia="黑体" w:hAnsi="黑体" w:hint="eastAsia"/>
                <w:b/>
              </w:rPr>
              <w:t>办理渠道</w:t>
            </w:r>
          </w:p>
        </w:tc>
        <w:tc>
          <w:tcPr>
            <w:tcW w:w="4636" w:type="dxa"/>
            <w:gridSpan w:val="4"/>
            <w:tcBorders>
              <w:tl2br w:val="nil"/>
              <w:tr2bl w:val="nil"/>
            </w:tcBorders>
            <w:shd w:val="clear" w:color="auto" w:fill="auto"/>
            <w:vAlign w:val="center"/>
          </w:tcPr>
          <w:p>
            <w:pP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现场办理</w:t>
            </w:r>
          </w:p>
        </w:tc>
        <w:tc>
          <w:tcPr>
            <w:tcW w:w="1701" w:type="dxa"/>
            <w:gridSpan w:val="2"/>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ascii="黑体" w:eastAsia="黑体" w:cs="黑体" w:hint="eastAsia"/>
                <w:b/>
                <w:bCs/>
                <w:kern w:val="0"/>
                <w:szCs w:val="21"/>
              </w:rPr>
              <w:t>是否容缺办理</w:t>
            </w:r>
          </w:p>
        </w:tc>
        <w:tc>
          <w:tcPr>
            <w:tcW w:w="2498" w:type="dxa"/>
            <w:gridSpan w:val="3"/>
            <w:tcBorders>
              <w:tl2br w:val="nil"/>
              <w:tr2bl w:val="nil"/>
            </w:tcBorders>
            <w:shd w:val="clear" w:color="auto" w:fill="auto"/>
            <w:vAlign w:val="center"/>
          </w:tcPr>
          <w:p>
            <w:pPr>
              <w:jc w:val="center"/>
              <w:rPr>
                <w:rFonts w:ascii="仿宋_GB2312" w:eastAsia="仿宋_GB2312" w:cs="仿宋_GB2312" w:hint="eastAsia"/>
                <w:color w:val="000000"/>
                <w:kern w:val="0"/>
                <w:sz w:val="18"/>
                <w:szCs w:val="18"/>
                <w:lang w:eastAsia="zh-CN"/>
              </w:rPr>
            </w:pPr>
            <w:r>
              <w:rPr>
                <w:rFonts w:ascii="仿宋_GB2312" w:eastAsia="仿宋_GB2312" w:cs="仿宋_GB2312" w:hint="eastAsia"/>
                <w:color w:val="000000"/>
                <w:kern w:val="0"/>
                <w:sz w:val="18"/>
                <w:szCs w:val="18"/>
                <w:lang w:eastAsia="zh-CN"/>
              </w:rPr>
              <w:t>否</w:t>
            </w:r>
          </w:p>
        </w:tc>
      </w:tr>
      <w:tr>
        <w:trPr>
          <w:trHeight w:val="486"/>
        </w:trPr>
        <w:tc>
          <w:tcPr>
            <w:tcW w:w="1463" w:type="dxa"/>
            <w:tcBorders>
              <w:tl2br w:val="nil"/>
              <w:tr2bl w:val="nil"/>
            </w:tcBorders>
            <w:shd w:val="clear" w:color="auto" w:fill="auto"/>
            <w:vAlign w:val="center"/>
          </w:tcPr>
          <w:p>
            <w:pPr>
              <w:widowControl/>
              <w:jc w:val="center"/>
              <w:textAlignment w:val="center"/>
              <w:rPr>
                <w:rFonts w:ascii="黑体" w:eastAsia="黑体" w:cs="黑体"/>
                <w:b/>
                <w:bCs/>
                <w:kern w:val="0"/>
                <w:szCs w:val="21"/>
              </w:rPr>
            </w:pPr>
            <w:r>
              <w:rPr>
                <w:rFonts w:ascii="黑体" w:eastAsia="黑体" w:cs="黑体" w:hint="eastAsia"/>
                <w:b/>
                <w:bCs/>
                <w:kern w:val="0"/>
                <w:szCs w:val="21"/>
              </w:rPr>
              <w:t>所需资料</w:t>
            </w:r>
          </w:p>
        </w:tc>
        <w:tc>
          <w:tcPr>
            <w:tcW w:w="8835" w:type="dxa"/>
            <w:gridSpan w:val="9"/>
            <w:tcBorders>
              <w:tl2br w:val="nil"/>
              <w:tr2bl w:val="nil"/>
            </w:tcBorders>
            <w:shd w:val="clear" w:color="auto" w:fill="auto"/>
            <w:vAlign w:val="center"/>
          </w:tcPr>
          <w:p>
            <w:pPr>
              <w:widowControl/>
              <w:spacing w:line="240" w:lineRule="exact"/>
              <w:jc w:val="left"/>
              <w:textAlignment w:val="center"/>
              <w:rPr>
                <w:rStyle w:val="18"/>
                <w:rFonts w:eastAsia="仿宋_GB2312"/>
                <w:color w:val="auto"/>
                <w:lang w:val="en-US" w:eastAsia="zh-CN"/>
              </w:rPr>
            </w:pPr>
            <w:r>
              <w:rPr>
                <w:rStyle w:val="18"/>
                <w:rFonts w:eastAsia="仿宋_GB2312" w:hint="eastAsia"/>
                <w:color w:val="auto"/>
                <w:lang w:eastAsia="zh-CN"/>
              </w:rPr>
              <w:t>申请、立项文件、用地规划许可证、规划条件、不动产权证书、出让合同及宗地图（附</w:t>
            </w:r>
            <w:r>
              <w:rPr>
                <w:rStyle w:val="18"/>
                <w:rFonts w:eastAsia="仿宋_GB2312" w:hint="eastAsia"/>
                <w:color w:val="auto"/>
                <w:lang w:val="en-US" w:eastAsia="zh-CN"/>
              </w:rPr>
              <w:t>CAD电子版</w:t>
            </w:r>
            <w:r>
              <w:rPr>
                <w:rStyle w:val="18"/>
                <w:rFonts w:eastAsia="仿宋_GB2312" w:hint="eastAsia"/>
                <w:color w:val="auto"/>
                <w:lang w:eastAsia="zh-CN"/>
              </w:rPr>
              <w:t>）、营业执照、法人身份证（如非本人还需被委托人身份证及授权委托文件）修改后修建性详细规划及设计方案（附</w:t>
            </w:r>
            <w:r>
              <w:rPr>
                <w:rStyle w:val="18"/>
                <w:rFonts w:eastAsia="仿宋_GB2312" w:hint="eastAsia"/>
                <w:color w:val="auto"/>
                <w:lang w:val="en-US" w:eastAsia="zh-CN"/>
              </w:rPr>
              <w:t>CAD电子版</w:t>
            </w:r>
            <w:r>
              <w:rPr>
                <w:rStyle w:val="18"/>
                <w:rFonts w:eastAsia="仿宋_GB2312" w:hint="eastAsia"/>
                <w:color w:val="auto"/>
                <w:lang w:eastAsia="zh-CN"/>
              </w:rPr>
              <w:t>），地形图</w:t>
            </w:r>
            <w:r>
              <w:rPr>
                <w:rStyle w:val="18"/>
                <w:rFonts w:eastAsia="仿宋_GB2312" w:hint="eastAsia"/>
                <w:color w:val="auto"/>
                <w:lang w:val="en-US" w:eastAsia="zh-CN"/>
              </w:rPr>
              <w:t>1:500</w:t>
            </w:r>
            <w:r>
              <w:rPr>
                <w:rStyle w:val="18"/>
                <w:rFonts w:eastAsia="仿宋_GB2312" w:hint="eastAsia"/>
                <w:color w:val="auto"/>
                <w:lang w:eastAsia="zh-CN"/>
              </w:rPr>
              <w:t>（附</w:t>
            </w:r>
            <w:r>
              <w:rPr>
                <w:rStyle w:val="18"/>
                <w:rFonts w:eastAsia="仿宋_GB2312" w:hint="eastAsia"/>
                <w:color w:val="auto"/>
                <w:lang w:val="en-US" w:eastAsia="zh-CN"/>
              </w:rPr>
              <w:t>CAD电子版</w:t>
            </w:r>
            <w:r>
              <w:rPr>
                <w:rStyle w:val="18"/>
                <w:rFonts w:eastAsia="仿宋_GB2312" w:hint="eastAsia"/>
                <w:color w:val="auto"/>
                <w:lang w:eastAsia="zh-CN"/>
              </w:rPr>
              <w:t>）</w:t>
            </w:r>
          </w:p>
        </w:tc>
      </w:tr>
      <w:tr>
        <w:trPr>
          <w:trHeight w:val="1170"/>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追责情形</w:t>
            </w:r>
          </w:p>
        </w:tc>
        <w:tc>
          <w:tcPr>
            <w:tcW w:w="8835" w:type="dxa"/>
            <w:gridSpan w:val="9"/>
            <w:tcBorders>
              <w:tl2br w:val="nil"/>
              <w:tr2bl w:val="nil"/>
            </w:tcBorders>
            <w:shd w:val="clear" w:color="auto" w:fill="auto"/>
            <w:vAlign w:val="center"/>
          </w:tcPr>
          <w:p>
            <w:pPr>
              <w:widowControl/>
              <w:spacing w:line="240" w:lineRule="exact"/>
              <w:jc w:val="left"/>
              <w:textAlignment w:val="center"/>
              <w:rPr>
                <w:rFonts w:ascii="仿宋_GB2312" w:eastAsia="仿宋_GB2312" w:cs="仿宋_GB2312" w:hAnsi="仿宋_GB2312"/>
                <w:kern w:val="0"/>
                <w:sz w:val="18"/>
                <w:szCs w:val="18"/>
              </w:rPr>
            </w:pPr>
            <w:r>
              <w:rPr>
                <w:rFonts w:ascii="仿宋_GB2312" w:eastAsia="仿宋_GB2312" w:cs="仿宋_GB2312" w:hAnsi="仿宋_GB2312" w:hint="eastAsia"/>
                <w:kern w:val="0"/>
                <w:sz w:val="18"/>
                <w:szCs w:val="18"/>
              </w:rPr>
              <w:t>因不履行或不正确履行行政职责，有下列情形的，行政机关及相关工作人员应承担相应责任：</w:t>
              <w:br/>
              <w:t>1.超越职权或者违法批准修建性详细规划、建设工程设计方案总平面图修改的；</w:t>
            </w:r>
          </w:p>
          <w:p>
            <w:pPr>
              <w:widowControl/>
              <w:spacing w:line="240" w:lineRule="exact"/>
              <w:jc w:val="left"/>
              <w:textAlignment w:val="center"/>
              <w:rPr>
                <w:rFonts w:ascii="仿宋_GB2312" w:eastAsia="仿宋_GB2312" w:cs="仿宋_GB2312" w:hAnsi="仿宋_GB2312"/>
                <w:kern w:val="0"/>
                <w:sz w:val="18"/>
                <w:szCs w:val="18"/>
              </w:rPr>
            </w:pPr>
            <w:r>
              <w:rPr>
                <w:rFonts w:ascii="仿宋_GB2312" w:eastAsia="仿宋_GB2312" w:cs="仿宋_GB2312" w:hAnsi="仿宋_GB2312" w:hint="eastAsia"/>
                <w:kern w:val="0"/>
                <w:sz w:val="18"/>
                <w:szCs w:val="18"/>
              </w:rPr>
              <w:t>2.对不符合法定条件的申请人准予修改或者超越法定职权作出准予修改决定的；</w:t>
            </w:r>
          </w:p>
          <w:p>
            <w:pPr>
              <w:widowControl/>
              <w:spacing w:line="240" w:lineRule="exact"/>
              <w:jc w:val="left"/>
              <w:textAlignment w:val="center"/>
              <w:rPr>
                <w:rFonts w:ascii="仿宋_GB2312" w:eastAsia="仿宋_GB2312" w:cs="仿宋_GB2312" w:hAnsi="仿宋_GB2312"/>
                <w:kern w:val="0"/>
                <w:sz w:val="18"/>
                <w:szCs w:val="18"/>
              </w:rPr>
            </w:pPr>
            <w:r>
              <w:rPr>
                <w:rFonts w:ascii="仿宋_GB2312" w:eastAsia="仿宋_GB2312" w:cs="仿宋_GB2312" w:hAnsi="仿宋_GB2312" w:hint="eastAsia"/>
                <w:kern w:val="0"/>
                <w:sz w:val="18"/>
                <w:szCs w:val="18"/>
              </w:rPr>
              <w:t>3.对符合法定条件的申请人不予批准修改或者不在法定期限内作出准予修改决定的；</w:t>
            </w:r>
          </w:p>
          <w:p>
            <w:pPr>
              <w:widowControl/>
              <w:spacing w:line="240" w:lineRule="exact"/>
              <w:jc w:val="left"/>
              <w:textAlignment w:val="center"/>
              <w:rPr>
                <w:rFonts w:ascii="仿宋_GB2312" w:eastAsia="仿宋_GB2312" w:cs="仿宋_GB2312" w:hAnsi="仿宋_GB2312"/>
                <w:kern w:val="0"/>
                <w:sz w:val="18"/>
                <w:szCs w:val="18"/>
              </w:rPr>
            </w:pPr>
            <w:r>
              <w:rPr>
                <w:rFonts w:ascii="仿宋_GB2312" w:eastAsia="仿宋_GB2312" w:cs="仿宋_GB2312" w:hAnsi="仿宋_GB2312" w:hint="eastAsia"/>
                <w:kern w:val="0"/>
                <w:sz w:val="18"/>
                <w:szCs w:val="18"/>
              </w:rPr>
              <w:t>4.违反法定程序实施职权的；</w:t>
            </w:r>
          </w:p>
          <w:p>
            <w:pPr>
              <w:widowControl/>
              <w:spacing w:line="240" w:lineRule="exact"/>
              <w:jc w:val="left"/>
              <w:textAlignment w:val="center"/>
              <w:rPr>
                <w:rFonts w:ascii="仿宋_GB2312" w:eastAsia="仿宋_GB2312" w:cs="仿宋_GB2312" w:hAnsi="仿宋_GB2312"/>
                <w:kern w:val="0"/>
                <w:sz w:val="18"/>
                <w:szCs w:val="18"/>
              </w:rPr>
            </w:pPr>
            <w:r>
              <w:rPr>
                <w:rFonts w:ascii="仿宋_GB2312" w:eastAsia="仿宋_GB2312" w:cs="仿宋_GB2312" w:hAnsi="仿宋_GB2312" w:hint="eastAsia"/>
                <w:kern w:val="0"/>
                <w:sz w:val="18"/>
                <w:szCs w:val="18"/>
              </w:rPr>
              <w:t>5.工作中玩忽职守、滥用职权的；</w:t>
            </w:r>
          </w:p>
          <w:p>
            <w:pPr>
              <w:spacing w:line="240" w:lineRule="exact"/>
              <w:rPr>
                <w:rFonts w:ascii="黑体" w:eastAsia="黑体" w:cs="黑体"/>
                <w:color w:val="000000"/>
                <w:szCs w:val="21"/>
              </w:rPr>
            </w:pPr>
            <w:r>
              <w:rPr>
                <w:rFonts w:ascii="仿宋_GB2312" w:eastAsia="仿宋_GB2312" w:cs="仿宋_GB2312" w:hAnsi="仿宋_GB2312" w:hint="eastAsia"/>
                <w:kern w:val="0"/>
                <w:sz w:val="18"/>
                <w:szCs w:val="18"/>
              </w:rPr>
              <w:t>6.其他违反法律法规规章文件规定的行为。</w:t>
            </w:r>
          </w:p>
        </w:tc>
      </w:tr>
      <w:tr>
        <w:trPr>
          <w:trHeight w:val="636"/>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监督方式</w:t>
            </w:r>
          </w:p>
        </w:tc>
        <w:tc>
          <w:tcPr>
            <w:tcW w:w="8835" w:type="dxa"/>
            <w:gridSpan w:val="9"/>
            <w:tcBorders>
              <w:tl2br w:val="nil"/>
              <w:tr2bl w:val="nil"/>
            </w:tcBorders>
            <w:shd w:val="clear" w:color="auto" w:fill="auto"/>
            <w:vAlign w:val="center"/>
          </w:tcPr>
          <w:p>
            <w:pPr>
              <w:widowControl/>
              <w:spacing w:line="240" w:lineRule="exact"/>
              <w:jc w:val="left"/>
              <w:textAlignment w:val="center"/>
              <w:rPr>
                <w:rFonts w:ascii="仿宋_GB2312" w:eastAsia="仿宋_GB2312" w:cs="仿宋_GB2312"/>
                <w:color w:val="000000"/>
                <w:kern w:val="0"/>
                <w:sz w:val="18"/>
                <w:szCs w:val="18"/>
                <w:lang w:val="en-US" w:eastAsia="zh-CN"/>
              </w:rPr>
            </w:pPr>
            <w:r>
              <w:rPr>
                <w:rFonts w:ascii="仿宋_GB2312" w:eastAsia="仿宋_GB2312" w:cs="仿宋_GB2312" w:hint="eastAsia"/>
                <w:color w:val="000000"/>
                <w:kern w:val="0"/>
                <w:sz w:val="18"/>
                <w:szCs w:val="18"/>
              </w:rPr>
              <w:t>1.业务咨询：</w:t>
            </w:r>
            <w:r>
              <w:rPr>
                <w:rFonts w:ascii="仿宋_GB2312" w:eastAsia="仿宋_GB2312" w:cs="仿宋_GB2312"/>
                <w:color w:val="000000"/>
                <w:kern w:val="0"/>
                <w:sz w:val="18"/>
                <w:szCs w:val="18"/>
              </w:rPr>
              <w:t>0335-</w:t>
            </w:r>
            <w:r>
              <w:rPr>
                <w:rFonts w:ascii="仿宋_GB2312" w:eastAsia="仿宋_GB2312" w:cs="仿宋_GB2312" w:hint="eastAsia"/>
                <w:color w:val="000000"/>
                <w:kern w:val="0"/>
                <w:sz w:val="18"/>
                <w:szCs w:val="18"/>
                <w:lang w:val="en-US" w:eastAsia="zh-CN"/>
              </w:rPr>
              <w:t>2883700</w:t>
            </w:r>
            <w:r>
              <w:rPr>
                <w:rFonts w:ascii="仿宋_GB2312" w:eastAsia="仿宋_GB2312" w:cs="仿宋_GB2312" w:hint="eastAsia"/>
                <w:color w:val="000000"/>
                <w:kern w:val="0"/>
                <w:sz w:val="18"/>
                <w:szCs w:val="18"/>
              </w:rPr>
              <w:br/>
              <w:t>2.投诉举报电话：</w:t>
            </w:r>
            <w:r>
              <w:rPr>
                <w:rFonts w:ascii="仿宋_GB2312" w:eastAsia="仿宋_GB2312" w:cs="仿宋_GB2312"/>
                <w:color w:val="000000"/>
                <w:kern w:val="0"/>
                <w:sz w:val="18"/>
                <w:szCs w:val="18"/>
              </w:rPr>
              <w:t>0335-</w:t>
            </w:r>
            <w:r>
              <w:rPr>
                <w:rFonts w:ascii="仿宋_GB2312" w:eastAsia="仿宋_GB2312" w:cs="仿宋_GB2312" w:hint="eastAsia"/>
                <w:color w:val="000000"/>
                <w:kern w:val="0"/>
                <w:sz w:val="18"/>
                <w:szCs w:val="18"/>
                <w:lang w:val="en-US" w:eastAsia="zh-CN"/>
              </w:rPr>
              <w:t>2022626</w:t>
            </w:r>
          </w:p>
          <w:p>
            <w:pPr>
              <w:widowControl/>
              <w:spacing w:line="240" w:lineRule="exact"/>
              <w:jc w:val="left"/>
              <w:textAlignment w:val="center"/>
              <w:rPr>
                <w:rFonts w:ascii="黑体" w:eastAsia="黑体" w:cs="黑体"/>
                <w:color w:val="000000"/>
                <w:sz w:val="24"/>
              </w:rPr>
            </w:pPr>
            <w:r>
              <w:rPr>
                <w:rFonts w:ascii="仿宋_GB2312" w:eastAsia="仿宋_GB2312" w:cs="仿宋_GB2312" w:hint="eastAsia"/>
                <w:color w:val="000000"/>
                <w:kern w:val="0"/>
                <w:sz w:val="18"/>
                <w:szCs w:val="18"/>
              </w:rPr>
              <w:t>3.纪检监察投诉：</w:t>
            </w:r>
            <w:r>
              <w:rPr>
                <w:rFonts w:ascii="仿宋_GB2312" w:eastAsia="仿宋_GB2312" w:cs="黑体" w:hAnsi="黑体" w:hint="eastAsia"/>
                <w:color w:val="000000"/>
                <w:kern w:val="0"/>
                <w:sz w:val="18"/>
                <w:szCs w:val="18"/>
              </w:rPr>
              <w:t>县纪委第四派驻纪检监察组，电话：0335-2608801</w:t>
            </w:r>
          </w:p>
        </w:tc>
      </w:tr>
      <w:tr>
        <w:trPr>
          <w:trHeight w:val="786"/>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法定救济途径</w:t>
            </w:r>
          </w:p>
        </w:tc>
        <w:tc>
          <w:tcPr>
            <w:tcW w:w="8835" w:type="dxa"/>
            <w:gridSpan w:val="9"/>
            <w:tcBorders>
              <w:tl2br w:val="nil"/>
              <w:tr2bl w:val="nil"/>
            </w:tcBorders>
            <w:shd w:val="clear" w:color="auto" w:fill="auto"/>
            <w:vAlign w:val="center"/>
          </w:tcPr>
          <w:p>
            <w:pPr>
              <w:widowControl/>
              <w:jc w:val="left"/>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1．不服</w:t>
            </w:r>
            <w:r>
              <w:rPr>
                <w:rFonts w:ascii="仿宋_GB2312" w:eastAsia="仿宋_GB2312" w:cs="仿宋_GB2312" w:hint="eastAsia"/>
                <w:color w:val="000000"/>
                <w:kern w:val="0"/>
                <w:sz w:val="18"/>
                <w:szCs w:val="18"/>
                <w:lang w:eastAsia="zh-CN"/>
              </w:rPr>
              <w:t>审定意见</w:t>
            </w:r>
            <w:r>
              <w:rPr>
                <w:rFonts w:ascii="仿宋_GB2312" w:eastAsia="仿宋_GB2312" w:cs="仿宋_GB2312" w:hint="eastAsia"/>
                <w:color w:val="000000"/>
                <w:kern w:val="0"/>
                <w:sz w:val="18"/>
                <w:szCs w:val="18"/>
              </w:rPr>
              <w:t>自知道该具体行政行为之日起六十日内向</w:t>
            </w:r>
            <w:r>
              <w:rPr>
                <w:rFonts w:ascii="仿宋_GB2312" w:eastAsia="仿宋_GB2312" w:cs="仿宋_GB2312" w:hint="eastAsia"/>
                <w:color w:val="000000"/>
                <w:kern w:val="0"/>
                <w:sz w:val="18"/>
                <w:szCs w:val="18"/>
                <w:lang w:eastAsia="zh-CN"/>
              </w:rPr>
              <w:t>县</w:t>
            </w:r>
            <w:r>
              <w:rPr>
                <w:rFonts w:ascii="仿宋_GB2312" w:eastAsia="仿宋_GB2312" w:cs="仿宋_GB2312" w:hint="eastAsia"/>
                <w:color w:val="000000"/>
                <w:kern w:val="0"/>
                <w:sz w:val="18"/>
                <w:szCs w:val="18"/>
              </w:rPr>
              <w:t>政府申请行政复议。</w:t>
            </w:r>
          </w:p>
          <w:p>
            <w:pPr>
              <w:widowControl/>
              <w:jc w:val="left"/>
              <w:textAlignment w:val="center"/>
              <w:rPr>
                <w:rFonts w:ascii="黑体" w:eastAsia="黑体" w:cs="黑体"/>
                <w:b/>
                <w:bCs/>
                <w:color w:val="000000"/>
                <w:szCs w:val="21"/>
              </w:rPr>
            </w:pPr>
            <w:r>
              <w:rPr>
                <w:rFonts w:ascii="仿宋_GB2312" w:eastAsia="仿宋_GB2312" w:cs="仿宋_GB2312" w:hint="eastAsia"/>
                <w:color w:val="000000"/>
                <w:kern w:val="0"/>
                <w:sz w:val="18"/>
                <w:szCs w:val="18"/>
              </w:rPr>
              <w:t>2．不服</w:t>
            </w:r>
            <w:r>
              <w:rPr>
                <w:rFonts w:ascii="仿宋_GB2312" w:eastAsia="仿宋_GB2312" w:cs="仿宋_GB2312" w:hint="eastAsia"/>
                <w:color w:val="000000"/>
                <w:kern w:val="0"/>
                <w:sz w:val="18"/>
                <w:szCs w:val="18"/>
                <w:lang w:eastAsia="zh-CN"/>
              </w:rPr>
              <w:t>审定意见</w:t>
            </w:r>
            <w:r>
              <w:rPr>
                <w:rFonts w:ascii="仿宋_GB2312" w:eastAsia="仿宋_GB2312" w:cs="仿宋_GB2312" w:hint="eastAsia"/>
                <w:color w:val="000000"/>
                <w:kern w:val="0"/>
                <w:sz w:val="18"/>
                <w:szCs w:val="18"/>
              </w:rPr>
              <w:t>应当自知道或者应当知道作出行政行为之日起六个月内提出向</w:t>
            </w:r>
            <w:r>
              <w:rPr>
                <w:rFonts w:ascii="仿宋_GB2312" w:eastAsia="仿宋_GB2312" w:cs="仿宋_GB2312" w:hint="eastAsia"/>
                <w:color w:val="000000"/>
                <w:kern w:val="0"/>
                <w:sz w:val="18"/>
                <w:szCs w:val="18"/>
                <w:lang w:eastAsia="zh-CN"/>
              </w:rPr>
              <w:t>昌黎县</w:t>
            </w:r>
            <w:r>
              <w:rPr>
                <w:rFonts w:ascii="仿宋_GB2312" w:eastAsia="仿宋_GB2312" w:cs="仿宋_GB2312" w:hint="eastAsia"/>
                <w:color w:val="000000"/>
                <w:kern w:val="0"/>
                <w:sz w:val="18"/>
                <w:szCs w:val="18"/>
              </w:rPr>
              <w:t>人民法院提起行政诉讼。</w:t>
            </w:r>
          </w:p>
        </w:tc>
      </w:tr>
      <w:tr>
        <w:trPr>
          <w:trHeight w:val="717"/>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备注</w:t>
            </w:r>
          </w:p>
        </w:tc>
        <w:tc>
          <w:tcPr>
            <w:tcW w:w="8835" w:type="dxa"/>
            <w:gridSpan w:val="9"/>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Pr>
        <w:spacing w:line="560" w:lineRule="exact"/>
      </w:pPr>
    </w:p>
    <w:sectPr>
      <w:pgSz w:w="11906" w:h="16838"/>
      <w:pgMar w:top="1440" w:right="1800" w:bottom="1440" w:left="1800" w:header="851" w:footer="992" w:gutter="0"/>
      <w:cols w:num="1" w:space="72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简体">
    <w:altName w:val="方正小标宋_GBK"/>
    <w:panose1 w:val="03000509000000000000"/>
    <w:charset w:val="86"/>
    <w:family w:val="script"/>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仿宋_GB2312">
    <w:altName w:val="仿宋"/>
    <w:panose1 w:val="02010609030101010101"/>
    <w:charset w:val="86"/>
    <w:family w:val="modern"/>
    <w:pitch w:val="variable"/>
    <w:sig w:usb0="00000001" w:usb1="080E0000" w:usb2="00000000" w:usb3="00000000" w:csb0="00040000" w:csb1="00000000"/>
  </w:font>
  <w:font w:name="华文仿宋">
    <w:panose1 w:val="02010600040101010101"/>
    <w:charset w:val="86"/>
    <w:family w:val="auto"/>
    <w:pitch w:val="variable"/>
    <w:sig w:usb0="00000287" w:usb1="080F0000" w:usb2="00000000" w:usb3="00000000" w:csb0="0004009F" w:csb1="DFD70000"/>
  </w:font>
  <w:font w:name="宋体">
    <w:panose1 w:val="02010600030101010101"/>
    <w:charset w:val="86"/>
    <w:family w:val="auto"/>
    <w:pitch w:val="variable"/>
    <w:sig w:usb0="00000003" w:usb1="288F0000" w:usb2="00000006" w:usb3="00000000" w:csb0="00040001"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1"/>
    <w:family w:val="swiss"/>
    <w:pitch w:val="variable"/>
    <w:sig w:usb0="E0002AFF" w:usb1="C0007843" w:usb2="00000009" w:usb3="00000000" w:csb0="400001FF" w:csb1="FFFF0000"/>
  </w:font>
  <w:font w:name="Calibri">
    <w:panose1 w:val="020F0502020204030204"/>
    <w:charset w:val="00"/>
    <w:family w:val="swiss"/>
    <w:pitch w:val="variable"/>
    <w:sig w:usb0="E00002FF" w:usb1="4000ACFF" w:usb2="00000001" w:usb3="00000000" w:csb0="2000019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docVars>
    <w:docVar w:name="commondata" w:val="eyJoZGlkIjoiMzhjZGM4NWU5YjQzMDRhODI2MDc4MjM4NWZhZjE0YjA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4"/>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 w:type="paragraph" w:styleId="15">
    <w:name w:val="Balloon Text"/>
    <w:basedOn w:val="0"/>
    <w:rPr>
      <w:sz w:val="18"/>
      <w:szCs w:val="18"/>
    </w:rPr>
  </w:style>
  <w:style w:type="paragraph" w:styleId="16">
    <w:name w:val="footer"/>
    <w:basedOn w:val="0"/>
    <w:pPr>
      <w:tabs>
        <w:tab w:val="center" w:pos="4153"/>
        <w:tab w:val="right" w:pos="8306"/>
      </w:tabs>
      <w:snapToGrid w:val="0"/>
      <w:jc w:val="left"/>
    </w:pPr>
    <w:rPr>
      <w:sz w:val="18"/>
      <w:szCs w:val="18"/>
    </w:rPr>
  </w:style>
  <w:style w:type="paragraph" w:styleId="17">
    <w:name w:val="header"/>
    <w:basedOn w:val="0"/>
    <w:pPr>
      <w:pBdr>
        <w:bottom w:val="single" w:sz="6" w:space="1" w:color="auto"/>
      </w:pBdr>
      <w:tabs>
        <w:tab w:val="center" w:pos="4153"/>
        <w:tab w:val="right" w:pos="8306"/>
      </w:tabs>
      <w:snapToGrid w:val="0"/>
      <w:jc w:val="center"/>
    </w:pPr>
    <w:rPr>
      <w:sz w:val="18"/>
      <w:szCs w:val="18"/>
    </w:rPr>
  </w:style>
  <w:style w:type="character" w:customStyle="1" w:styleId="18">
    <w:name w:val="font112"/>
    <w:basedOn w:val="10"/>
    <w:rPr>
      <w:rFonts w:ascii="仿宋_GB2312" w:eastAsia="仿宋_GB2312" w:cs="仿宋_GB2312"/>
      <w:color w:val="000000"/>
      <w:sz w:val="18"/>
      <w:szCs w:val="18"/>
      <w:u w:val="none"/>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7BE57417-0247-49B6-BCFD-C415739EBA17}">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0</TotalTime>
  <Application>Yozo_Office27021597764231179</Application>
  <Pages>2</Pages>
  <Words>0</Words>
  <Characters>972</Characters>
  <Lines>0</Lines>
  <Paragraphs>3</Paragraphs>
  <CharactersWithSpaces>1296</CharactersWithSpaces>
  <Company>Microsoft</Company>
</Properties>
</file>

<file path=docProps/core.xml><?xml version="1.0" encoding="utf-8"?>
<cp:coreProperties xmlns:cp="http://schemas.openxmlformats.org/package/2006/metadata/core-properties" xmlns:dc="http://purl.org/dc/elements/1.1/" xmlns:dcterms="http://purl.org/dc/terms/" xmlns:xsi="http://www.w3.org/2001/XMLSchema-instance">
  <dc:creator>xb21cn</dc:creator>
  <cp:lastModifiedBy>hp</cp:lastModifiedBy>
  <cp:revision>12</cp:revision>
  <cp:lastPrinted>2023-09-08T02:54:00Z</cp:lastPrinted>
  <dcterms:created xsi:type="dcterms:W3CDTF">2023-07-31T02:33:00Z</dcterms:created>
  <dcterms:modified xsi:type="dcterms:W3CDTF">2024-09-29T02:45:34Z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0A58A2F0877C44359400D2D912D71E1D</vt:lpwstr>
  </property>
</Properties>
</file>