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5"/>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其他类</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hint="eastAsia" w:ascii="仿宋_GB2312" w:eastAsia="仿宋_GB2312" w:cs="仿宋_GB2312"/>
                <w:color w:val="000000"/>
                <w:kern w:val="0"/>
                <w:sz w:val="18"/>
                <w:szCs w:val="18"/>
              </w:rPr>
              <w:t>划拨土地使用权和地上建筑物及附着物所有权转让、出租、抵押审批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08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ascii="仿宋_GB2312" w:eastAsia="仿宋_GB2312" w:cs="仿宋_GB2312"/>
                <w:kern w:val="0"/>
                <w:sz w:val="18"/>
                <w:szCs w:val="18"/>
              </w:rPr>
            </w:pPr>
            <w:r>
              <w:rPr>
                <w:rFonts w:hint="eastAsia" w:ascii="仿宋_GB2312" w:eastAsia="仿宋_GB2312" w:cs="仿宋_GB2312"/>
                <w:kern w:val="0"/>
                <w:sz w:val="18"/>
                <w:szCs w:val="18"/>
              </w:rPr>
              <w:t>《中华人民共和国城镇国有土地使用权出让和转让暂行条例》第四十五条</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rPr>
                <w:rFonts w:ascii="黑体" w:eastAsia="黑体" w:cs="黑体"/>
                <w:b/>
                <w:bCs/>
                <w:color w:val="000000"/>
                <w:szCs w:val="21"/>
              </w:rPr>
            </w:pPr>
            <w:r>
              <w:rPr>
                <w:rFonts w:hint="eastAsia" w:ascii="仿宋_GB2312" w:eastAsia="仿宋_GB2312" w:cs="仿宋_GB2312"/>
                <w:kern w:val="0"/>
                <w:sz w:val="18"/>
                <w:szCs w:val="18"/>
              </w:rPr>
              <w:t>昌办字</w:t>
            </w:r>
            <w:r>
              <w:rPr>
                <w:rFonts w:hint="eastAsia" w:ascii="宋体" w:hAnsi="宋体" w:cs="仿宋_GB2312"/>
                <w:kern w:val="0"/>
                <w:sz w:val="18"/>
                <w:szCs w:val="18"/>
              </w:rPr>
              <w:t>﹝</w:t>
            </w:r>
            <w:r>
              <w:rPr>
                <w:rFonts w:hint="eastAsia" w:ascii="仿宋_GB2312" w:eastAsia="仿宋_GB2312" w:cs="仿宋_GB2312"/>
                <w:kern w:val="0"/>
                <w:sz w:val="18"/>
                <w:szCs w:val="18"/>
              </w:rPr>
              <w:t>2019</w:t>
            </w:r>
            <w:r>
              <w:rPr>
                <w:rFonts w:hint="eastAsia" w:ascii="宋体" w:hAnsi="宋体" w:cs="仿宋_GB2312"/>
                <w:kern w:val="0"/>
                <w:sz w:val="18"/>
                <w:szCs w:val="18"/>
              </w:rPr>
              <w:t>﹞3</w:t>
            </w:r>
            <w:r>
              <w:rPr>
                <w:rFonts w:hint="eastAsia" w:ascii="仿宋_GB2312" w:eastAsia="仿宋_GB2312" w:cs="仿宋_GB2312"/>
                <w:kern w:val="0"/>
                <w:sz w:val="18"/>
                <w:szCs w:val="18"/>
              </w:rPr>
              <w:t>9号  第六条(</w:t>
            </w:r>
            <w:r>
              <w:rPr>
                <w:rFonts w:hint="eastAsia" w:ascii="仿宋_GB2312" w:eastAsia="仿宋_GB2312" w:cs="仿宋_GB2312"/>
                <w:kern w:val="0"/>
                <w:sz w:val="18"/>
                <w:szCs w:val="18"/>
                <w:lang w:eastAsia="zh-CN"/>
              </w:rPr>
              <w:t>四）国土空间用途管制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公示应当提交的材料，一次性告知补正材料，依法受理或不予受理（不予受理应当告知理由）</w:t>
            </w:r>
          </w:p>
        </w:tc>
        <w:tc>
          <w:tcPr>
            <w:tcW w:w="1339" w:type="dxa"/>
            <w:gridSpan w:val="2"/>
            <w:vMerge w:val="restart"/>
            <w:tcBorders>
              <w:tl2br w:val="nil"/>
              <w:tr2bl w:val="nil"/>
            </w:tcBorders>
            <w:shd w:val="clear" w:color="auto" w:fill="auto"/>
            <w:vAlign w:val="center"/>
          </w:tcPr>
          <w:p>
            <w:pPr>
              <w:jc w:val="center"/>
              <w:rPr>
                <w:rFonts w:ascii="黑体" w:eastAsia="黑体" w:cs="黑体"/>
                <w:color w:val="000000"/>
                <w:sz w:val="18"/>
                <w:szCs w:val="18"/>
              </w:rPr>
            </w:pPr>
            <w:r>
              <w:rPr>
                <w:rFonts w:hint="eastAsia" w:ascii="仿宋_GB2312" w:eastAsia="仿宋_GB2312" w:cs="仿宋_GB2312"/>
                <w:color w:val="000000"/>
                <w:kern w:val="0"/>
                <w:sz w:val="18"/>
                <w:szCs w:val="18"/>
              </w:rPr>
              <w:t>3个工作日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rPr>
              <w:t>利用</w:t>
            </w:r>
            <w:r>
              <w:rPr>
                <w:rFonts w:hint="eastAsia" w:ascii="仿宋_GB2312" w:eastAsia="仿宋_GB2312" w:cs="仿宋_GB2312"/>
                <w:color w:val="000000"/>
                <w:kern w:val="0"/>
                <w:sz w:val="18"/>
                <w:szCs w:val="18"/>
                <w:lang w:eastAsia="zh-CN"/>
              </w:rPr>
              <w:t>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审查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公示应当提交的材料，一次性告知补正材料，依法受理或不予受理（不予受理应当告知理由）</w:t>
            </w:r>
          </w:p>
        </w:tc>
        <w:tc>
          <w:tcPr>
            <w:tcW w:w="1339" w:type="dxa"/>
            <w:gridSpan w:val="2"/>
            <w:vMerge w:val="continue"/>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利用</w:t>
            </w:r>
            <w:r>
              <w:rPr>
                <w:rFonts w:hint="eastAsia" w:ascii="仿宋_GB2312" w:eastAsia="仿宋_GB2312" w:cs="仿宋_GB2312"/>
                <w:color w:val="000000"/>
                <w:kern w:val="0"/>
                <w:sz w:val="18"/>
                <w:szCs w:val="18"/>
                <w:lang w:eastAsia="zh-CN"/>
              </w:rPr>
              <w:t>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决定</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作出行政许可或者不予行政许可决定,法定告知（不予许可的应当书面告知理由）</w:t>
            </w:r>
          </w:p>
        </w:tc>
        <w:tc>
          <w:tcPr>
            <w:tcW w:w="1339" w:type="dxa"/>
            <w:gridSpan w:val="2"/>
            <w:vMerge w:val="continue"/>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利用</w:t>
            </w:r>
            <w:r>
              <w:rPr>
                <w:rFonts w:hint="eastAsia" w:ascii="仿宋_GB2312" w:eastAsia="仿宋_GB2312" w:cs="仿宋_GB2312"/>
                <w:color w:val="000000"/>
                <w:kern w:val="0"/>
                <w:sz w:val="18"/>
                <w:szCs w:val="18"/>
                <w:lang w:eastAsia="zh-CN"/>
              </w:rPr>
              <w:t>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黑体" w:eastAsia="黑体" w:cs="黑体"/>
                <w:b/>
                <w:bCs/>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54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7"/>
                <w:color w:val="auto"/>
              </w:rPr>
            </w:pPr>
            <w:r>
              <w:rPr>
                <w:rStyle w:val="7"/>
                <w:rFonts w:hint="eastAsia"/>
                <w:color w:val="auto"/>
              </w:rPr>
              <w:t>1、申请书</w:t>
            </w:r>
          </w:p>
          <w:p>
            <w:pPr>
              <w:widowControl/>
              <w:spacing w:line="240" w:lineRule="exact"/>
              <w:jc w:val="left"/>
              <w:textAlignment w:val="center"/>
              <w:rPr>
                <w:rStyle w:val="7"/>
                <w:color w:val="auto"/>
              </w:rPr>
            </w:pPr>
            <w:r>
              <w:rPr>
                <w:rStyle w:val="7"/>
                <w:rFonts w:hint="eastAsia"/>
                <w:color w:val="auto"/>
              </w:rPr>
              <w:t>2、《国有土地使用证》、《不动产权证》、《国有建设用地使用权划拨决定书》</w:t>
            </w:r>
          </w:p>
          <w:p>
            <w:pPr>
              <w:widowControl/>
              <w:spacing w:line="240" w:lineRule="exact"/>
              <w:jc w:val="left"/>
              <w:textAlignment w:val="center"/>
              <w:rPr>
                <w:rStyle w:val="7"/>
                <w:color w:val="auto"/>
              </w:rPr>
            </w:pPr>
            <w:r>
              <w:rPr>
                <w:rStyle w:val="7"/>
                <w:rFonts w:hint="eastAsia"/>
                <w:color w:val="auto"/>
              </w:rPr>
              <w:t>3、地上建筑物、构筑物及其他附着物的产权证明</w:t>
            </w:r>
          </w:p>
          <w:p>
            <w:pPr>
              <w:widowControl/>
              <w:spacing w:line="240" w:lineRule="exact"/>
              <w:jc w:val="left"/>
              <w:textAlignment w:val="center"/>
              <w:rPr>
                <w:rStyle w:val="7"/>
                <w:color w:val="auto"/>
              </w:rPr>
            </w:pPr>
            <w:r>
              <w:rPr>
                <w:rStyle w:val="7"/>
                <w:rFonts w:hint="eastAsia"/>
                <w:color w:val="auto"/>
              </w:rPr>
              <w:t>4、原土地使用权人有效身份证明文件</w:t>
            </w:r>
          </w:p>
          <w:p>
            <w:pPr>
              <w:widowControl/>
              <w:spacing w:line="240" w:lineRule="exact"/>
              <w:jc w:val="left"/>
              <w:textAlignment w:val="center"/>
              <w:rPr>
                <w:rStyle w:val="7"/>
                <w:color w:val="auto"/>
              </w:rPr>
            </w:pPr>
            <w:r>
              <w:rPr>
                <w:rStyle w:val="7"/>
                <w:rFonts w:hint="eastAsia"/>
                <w:color w:val="auto"/>
              </w:rPr>
              <w:t>5、共有房地产，应提供共有人书面同意的意见</w:t>
            </w:r>
          </w:p>
          <w:p>
            <w:pPr>
              <w:widowControl/>
              <w:spacing w:line="240" w:lineRule="exact"/>
              <w:jc w:val="left"/>
              <w:textAlignment w:val="center"/>
              <w:rPr>
                <w:rStyle w:val="7"/>
                <w:color w:val="auto"/>
              </w:rPr>
            </w:pPr>
            <w:r>
              <w:rPr>
                <w:rStyle w:val="7"/>
                <w:rFonts w:hint="eastAsia"/>
                <w:color w:val="auto"/>
              </w:rPr>
              <w:t>6、法律、法规、行政规定明确应提交的其他相关材料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07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 xml:space="preserve">因不履行或不正确履行职责，有下列情形的，行政机关及相关工作人员应承担相应责任： </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1.对符合申报要求的申请不予受理、许可的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2.将不符合规定条件的予以审批的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3.超过法定期限或者擅自增设、变更审批程序或审批条件实施行政许可的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4.违反法定程序实施评审，造成经济损失或构成犯罪的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5.在履行职责过程中滥用职权、玩忽职守、徇私舞弊的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6.在审批过程中发生腐败行为的</w:t>
            </w:r>
          </w:p>
          <w:p>
            <w:pPr>
              <w:spacing w:line="240" w:lineRule="exact"/>
              <w:rPr>
                <w:rFonts w:ascii="仿宋_GB2312" w:eastAsia="仿宋_GB2312" w:cs="黑体"/>
                <w:color w:val="000000"/>
                <w:sz w:val="18"/>
                <w:szCs w:val="18"/>
              </w:rPr>
            </w:pPr>
            <w:r>
              <w:rPr>
                <w:rFonts w:hint="eastAsia" w:ascii="仿宋_GB2312" w:eastAsia="仿宋_GB2312" w:cs="黑体"/>
                <w:color w:val="000000"/>
                <w:sz w:val="18"/>
                <w:szCs w:val="18"/>
              </w:rPr>
              <w:t>7.其他违反法律法规规章文件规定的行为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80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numPr>
                <w:ilvl w:val="0"/>
                <w:numId w:val="0"/>
              </w:numPr>
              <w:spacing w:line="240" w:lineRule="exact"/>
              <w:jc w:val="left"/>
              <w:textAlignment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1、</w:t>
            </w:r>
            <w:r>
              <w:rPr>
                <w:rFonts w:hint="eastAsia" w:ascii="仿宋_GB2312" w:eastAsia="仿宋_GB2312" w:cs="仿宋_GB2312"/>
                <w:color w:val="000000"/>
                <w:kern w:val="0"/>
                <w:sz w:val="18"/>
                <w:szCs w:val="18"/>
              </w:rPr>
              <w:t>业务咨询：0335-</w:t>
            </w:r>
            <w:r>
              <w:rPr>
                <w:rFonts w:hint="eastAsia" w:ascii="仿宋_GB2312" w:eastAsia="仿宋_GB2312" w:cs="仿宋_GB2312"/>
                <w:color w:val="000000"/>
                <w:kern w:val="0"/>
                <w:sz w:val="18"/>
                <w:szCs w:val="18"/>
                <w:lang w:val="en-US" w:eastAsia="zh-CN"/>
              </w:rPr>
              <w:t>2861836</w:t>
            </w:r>
          </w:p>
          <w:p>
            <w:pPr>
              <w:widowControl/>
              <w:numPr>
                <w:ilvl w:val="0"/>
                <w:numId w:val="0"/>
              </w:numPr>
              <w:spacing w:line="240" w:lineRule="exact"/>
              <w:jc w:val="left"/>
              <w:textAlignment w:val="center"/>
              <w:rPr>
                <w:rFonts w:hint="eastAsia" w:ascii="仿宋_GB2312" w:eastAsia="仿宋_GB2312" w:hAnsiTheme="minorEastAsia"/>
                <w:color w:val="000000"/>
                <w:kern w:val="0"/>
                <w:sz w:val="18"/>
                <w:szCs w:val="18"/>
              </w:rPr>
            </w:pPr>
            <w:r>
              <w:rPr>
                <w:rFonts w:hint="eastAsia" w:ascii="仿宋_GB2312" w:eastAsia="仿宋_GB2312" w:cs="仿宋_GB2312"/>
                <w:color w:val="000000"/>
                <w:kern w:val="0"/>
                <w:sz w:val="18"/>
                <w:szCs w:val="18"/>
                <w:lang w:val="en-US" w:eastAsia="zh-CN"/>
              </w:rPr>
              <w:t>2、</w:t>
            </w:r>
            <w:r>
              <w:rPr>
                <w:rFonts w:hint="eastAsia" w:ascii="仿宋_GB2312" w:eastAsia="仿宋_GB2312" w:cs="仿宋_GB2312"/>
                <w:color w:val="000000"/>
                <w:kern w:val="0"/>
                <w:sz w:val="18"/>
                <w:szCs w:val="18"/>
              </w:rPr>
              <w:t>投诉举报电话：</w:t>
            </w:r>
            <w:r>
              <w:rPr>
                <w:rFonts w:hint="eastAsia" w:ascii="仿宋_GB2312" w:eastAsia="仿宋_GB2312" w:hAnsiTheme="minorEastAsia"/>
                <w:color w:val="000000"/>
                <w:kern w:val="0"/>
                <w:sz w:val="18"/>
                <w:szCs w:val="18"/>
              </w:rPr>
              <w:t>0335</w:t>
            </w:r>
            <w:r>
              <w:rPr>
                <w:rFonts w:ascii="仿宋_GB2312" w:eastAsia="仿宋_GB2312" w:hAnsiTheme="minorEastAsia"/>
                <w:color w:val="000000"/>
                <w:kern w:val="0"/>
                <w:sz w:val="18"/>
                <w:szCs w:val="18"/>
              </w:rPr>
              <w:t>—</w:t>
            </w:r>
            <w:r>
              <w:rPr>
                <w:rFonts w:hint="eastAsia" w:ascii="仿宋_GB2312" w:eastAsia="仿宋_GB2312" w:hAnsiTheme="minorEastAsia"/>
                <w:color w:val="000000"/>
                <w:kern w:val="0"/>
                <w:sz w:val="18"/>
                <w:szCs w:val="18"/>
              </w:rPr>
              <w:t>2022626</w:t>
            </w:r>
          </w:p>
          <w:p>
            <w:pPr>
              <w:widowControl/>
              <w:spacing w:line="240" w:lineRule="exact"/>
              <w:jc w:val="left"/>
              <w:textAlignment w:val="center"/>
              <w:rPr>
                <w:rFonts w:ascii="黑体" w:eastAsia="黑体" w:cs="黑体"/>
                <w:color w:val="000000"/>
                <w:sz w:val="24"/>
              </w:rPr>
            </w:pPr>
            <w:r>
              <w:rPr>
                <w:rFonts w:hint="eastAsia" w:ascii="仿宋_GB2312" w:eastAsia="仿宋_GB2312" w:cs="仿宋_GB2312"/>
                <w:color w:val="000000"/>
                <w:kern w:val="0"/>
                <w:sz w:val="18"/>
                <w:szCs w:val="18"/>
                <w:lang w:val="en-US" w:eastAsia="zh-CN"/>
              </w:rPr>
              <w:t>3、</w:t>
            </w:r>
            <w:r>
              <w:rPr>
                <w:rFonts w:hint="eastAsia" w:ascii="仿宋_GB2312" w:hAnsi="黑体" w:eastAsia="仿宋_GB2312" w:cs="黑体"/>
                <w:color w:val="000000"/>
                <w:kern w:val="0"/>
                <w:sz w:val="18"/>
                <w:szCs w:val="18"/>
              </w:rPr>
              <w:t>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81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1．不服许可决定自知道该具体行政行为之日起六十日内向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2．不服许可决定应当自知道或者应当知道作出行政行为之日起六个月内提出向</w:t>
            </w:r>
            <w:r>
              <w:rPr>
                <w:rFonts w:hint="eastAsia" w:ascii="仿宋_GB2312" w:eastAsia="仿宋_GB2312" w:cs="仿宋_GB2312"/>
                <w:color w:val="000000"/>
                <w:kern w:val="0"/>
                <w:sz w:val="18"/>
                <w:szCs w:val="18"/>
                <w:lang w:eastAsia="zh-CN"/>
              </w:rPr>
              <w:t>昌黎县</w:t>
            </w:r>
            <w:bookmarkStart w:id="0" w:name="_GoBack"/>
            <w:bookmarkEnd w:id="0"/>
            <w:r>
              <w:rPr>
                <w:rFonts w:hint="eastAsia" w:ascii="仿宋_GB2312"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3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hjZGM4NWU5YjQzMDRhODI2MDc4MjM4NWZhZjE0YjAifQ=="/>
  </w:docVars>
  <w:rsids>
    <w:rsidRoot w:val="00F35FED"/>
    <w:rsid w:val="000101F6"/>
    <w:rsid w:val="00030A36"/>
    <w:rsid w:val="000B5AA2"/>
    <w:rsid w:val="000C0BFD"/>
    <w:rsid w:val="00155C1A"/>
    <w:rsid w:val="002455E6"/>
    <w:rsid w:val="00252F81"/>
    <w:rsid w:val="002A5487"/>
    <w:rsid w:val="002B2243"/>
    <w:rsid w:val="002B305C"/>
    <w:rsid w:val="002F371C"/>
    <w:rsid w:val="003017B3"/>
    <w:rsid w:val="00361FE5"/>
    <w:rsid w:val="003A2C73"/>
    <w:rsid w:val="003E269F"/>
    <w:rsid w:val="003F24D0"/>
    <w:rsid w:val="00456BCD"/>
    <w:rsid w:val="00475757"/>
    <w:rsid w:val="0049598A"/>
    <w:rsid w:val="004A715A"/>
    <w:rsid w:val="00526E1F"/>
    <w:rsid w:val="00580D82"/>
    <w:rsid w:val="005A179D"/>
    <w:rsid w:val="005A5ED3"/>
    <w:rsid w:val="005C683B"/>
    <w:rsid w:val="005F6104"/>
    <w:rsid w:val="00646AB2"/>
    <w:rsid w:val="00667155"/>
    <w:rsid w:val="00682557"/>
    <w:rsid w:val="00697D99"/>
    <w:rsid w:val="006A7DFC"/>
    <w:rsid w:val="0072115A"/>
    <w:rsid w:val="0073198C"/>
    <w:rsid w:val="007B3AB4"/>
    <w:rsid w:val="00825ED9"/>
    <w:rsid w:val="00865D85"/>
    <w:rsid w:val="00897EB5"/>
    <w:rsid w:val="008A00D6"/>
    <w:rsid w:val="009471FD"/>
    <w:rsid w:val="009A0D43"/>
    <w:rsid w:val="009A66F8"/>
    <w:rsid w:val="00A52FD2"/>
    <w:rsid w:val="00A9608D"/>
    <w:rsid w:val="00AB0057"/>
    <w:rsid w:val="00BB5EF7"/>
    <w:rsid w:val="00BD7247"/>
    <w:rsid w:val="00C23583"/>
    <w:rsid w:val="00C31B91"/>
    <w:rsid w:val="00C85576"/>
    <w:rsid w:val="00CA20EC"/>
    <w:rsid w:val="00CD2546"/>
    <w:rsid w:val="00CE5CCC"/>
    <w:rsid w:val="00D24BC2"/>
    <w:rsid w:val="00D4156D"/>
    <w:rsid w:val="00D463C2"/>
    <w:rsid w:val="00D6330D"/>
    <w:rsid w:val="00DB1753"/>
    <w:rsid w:val="00DB558F"/>
    <w:rsid w:val="00DC6C74"/>
    <w:rsid w:val="00E454F1"/>
    <w:rsid w:val="00E55B74"/>
    <w:rsid w:val="00EF269E"/>
    <w:rsid w:val="00F03CB5"/>
    <w:rsid w:val="00F35FED"/>
    <w:rsid w:val="00F81182"/>
    <w:rsid w:val="00FC49D8"/>
    <w:rsid w:val="5C9C285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font112"/>
    <w:basedOn w:val="6"/>
    <w:qFormat/>
    <w:uiPriority w:val="0"/>
    <w:rPr>
      <w:rFonts w:ascii="仿宋_GB2312" w:eastAsia="仿宋_GB2312" w:cs="仿宋_GB2312"/>
      <w:color w:val="000000"/>
      <w:sz w:val="18"/>
      <w:szCs w:val="18"/>
      <w:u w:val="none"/>
    </w:rPr>
  </w:style>
  <w:style w:type="character" w:customStyle="1" w:styleId="8">
    <w:name w:val="批注框文本 Char"/>
    <w:basedOn w:val="6"/>
    <w:link w:val="2"/>
    <w:semiHidden/>
    <w:uiPriority w:val="99"/>
    <w:rPr>
      <w:rFonts w:ascii="Calibri" w:hAnsi="Calibri" w:eastAsia="宋体" w:cs="Arial"/>
      <w:sz w:val="18"/>
      <w:szCs w:val="18"/>
    </w:rPr>
  </w:style>
  <w:style w:type="paragraph" w:styleId="9">
    <w:name w:val="List Paragraph"/>
    <w:basedOn w:val="1"/>
    <w:qFormat/>
    <w:uiPriority w:val="34"/>
    <w:pPr>
      <w:ind w:firstLine="420" w:firstLineChars="200"/>
    </w:pPr>
  </w:style>
  <w:style w:type="character" w:customStyle="1" w:styleId="10">
    <w:name w:val="页眉 Char"/>
    <w:basedOn w:val="6"/>
    <w:link w:val="4"/>
    <w:uiPriority w:val="99"/>
    <w:rPr>
      <w:rFonts w:ascii="Calibri" w:hAnsi="Calibri" w:eastAsia="宋体" w:cs="Arial"/>
      <w:sz w:val="18"/>
      <w:szCs w:val="18"/>
    </w:rPr>
  </w:style>
  <w:style w:type="character" w:customStyle="1" w:styleId="11">
    <w:name w:val="页脚 Char"/>
    <w:basedOn w:val="6"/>
    <w:link w:val="3"/>
    <w:uiPriority w:val="99"/>
    <w:rPr>
      <w:rFonts w:ascii="Calibri" w:hAnsi="Calibri" w:eastAsia="宋体" w:cs="Arial"/>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759</Words>
  <Characters>806</Characters>
  <Lines>28</Lines>
  <Paragraphs>30</Paragraphs>
  <TotalTime>0</TotalTime>
  <ScaleCrop>false</ScaleCrop>
  <LinksUpToDate>false</LinksUpToDate>
  <CharactersWithSpaces>809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2023-07-31T02:33:00Z</dcterms:created>
  <dc:creator>xb21cn</dc:creator>
  <cp:lastModifiedBy>旭日东升</cp:lastModifiedBy>
  <cp:lastPrinted>2023-08-15T01:13:00Z</cp:lastPrinted>
  <dcterms:modified xsi:type="dcterms:W3CDTF">2024-07-12T08:37:00Z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719015D16E4F424B9A3D8D307C0DA927_12</vt:lpwstr>
  </property>
</Properties>
</file>