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黎县202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法治政府建设情况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（2024.2.28）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，全县上下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指导，深入学习贯彻党的二十大精神和习近平法治思想，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以省级法治政府示范创建为工作主线，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持续深化依法行政，优化法治化营商环境，强化公共法律服务供给，加强矛盾纠纷多元化解，较好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法治政府建设各项任务。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val="e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高站位、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强基础</w:t>
      </w:r>
      <w:r>
        <w:rPr>
          <w:rFonts w:hint="eastAsia" w:ascii="黑体" w:hAnsi="黑体" w:eastAsia="黑体" w:cs="黑体"/>
          <w:sz w:val="32"/>
          <w:szCs w:val="32"/>
        </w:rPr>
        <w:t>，法治政府建设更加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坚实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/>
        </w:rPr>
        <w:t>（一）高站位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  <w:t>推动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/>
        </w:rPr>
        <w:t>法治工作。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制发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《2023年全面依法治县委员会工作要点》，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明确各成员单位法治政府建设工作任务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全县省级法治政府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示范创建动员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部署会议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，传</w:t>
      </w:r>
      <w:r>
        <w:rPr>
          <w:rFonts w:hint="eastAsia" w:ascii="仿宋_GB2312" w:hAnsi="仿宋_GB2312" w:eastAsia="仿宋_GB2312" w:cs="仿宋_GB2312"/>
          <w:sz w:val="32"/>
          <w:szCs w:val="32"/>
        </w:rPr>
        <w:t>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省示范创建大会精神，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昌黎县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法治政府建设示范创建实施方案》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，推动省级法治政府示范创建工作走深走实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rtl w:val="0"/>
          <w:lang w:val="zh-TW" w:eastAsia="zh-CN" w:bidi="ar-SA"/>
        </w:rPr>
        <w:t>（二）严格落实重大行政决策程序。</w:t>
      </w:r>
      <w:r>
        <w:rPr>
          <w:rFonts w:hint="eastAsia" w:ascii="仿宋_GB2312" w:eastAsia="仿宋_GB2312"/>
          <w:sz w:val="32"/>
          <w:szCs w:val="32"/>
          <w:lang w:eastAsia="zh-CN"/>
        </w:rPr>
        <w:t>坚决</w:t>
      </w:r>
      <w:r>
        <w:rPr>
          <w:rFonts w:hint="eastAsia" w:ascii="仿宋_GB2312" w:eastAsia="仿宋_GB2312"/>
          <w:sz w:val="32"/>
          <w:szCs w:val="32"/>
        </w:rPr>
        <w:t>落实《昌黎县人民政府工作规则》《昌黎县人民政府重大行政决策程序规定（试行）》等制度文件，</w:t>
      </w:r>
      <w:r>
        <w:rPr>
          <w:rFonts w:hint="eastAsia" w:ascii="仿宋_GB2312" w:eastAsia="仿宋_GB2312"/>
          <w:sz w:val="32"/>
          <w:szCs w:val="32"/>
          <w:lang w:eastAsia="zh-CN"/>
        </w:rPr>
        <w:t>坚持</w:t>
      </w:r>
      <w:r>
        <w:rPr>
          <w:rFonts w:hint="eastAsia" w:ascii="仿宋_GB2312" w:eastAsia="仿宋_GB2312"/>
          <w:sz w:val="32"/>
          <w:szCs w:val="32"/>
        </w:rPr>
        <w:t>集体领导、集体讨论、集体决策原则，研究决定</w:t>
      </w:r>
      <w:r>
        <w:rPr>
          <w:rFonts w:ascii="仿宋_GB2312" w:eastAsia="仿宋_GB2312"/>
          <w:sz w:val="32"/>
          <w:szCs w:val="32"/>
        </w:rPr>
        <w:t>重大事项。</w:t>
      </w:r>
      <w:r>
        <w:rPr>
          <w:rFonts w:hint="eastAsia" w:ascii="仿宋_GB2312" w:eastAsia="仿宋_GB2312"/>
          <w:sz w:val="32"/>
          <w:szCs w:val="32"/>
        </w:rPr>
        <w:t>特别是紧盯重大行政决策</w:t>
      </w:r>
      <w:r>
        <w:rPr>
          <w:rFonts w:hint="eastAsia" w:ascii="仿宋_GB2312" w:eastAsia="仿宋_GB2312"/>
          <w:color w:val="auto"/>
          <w:sz w:val="32"/>
          <w:szCs w:val="32"/>
        </w:rPr>
        <w:t>事项，对决策权限、内容、程序进行全方位合法性审查，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并严格落实</w:t>
      </w:r>
      <w:r>
        <w:rPr>
          <w:rFonts w:hint="eastAsia" w:ascii="仿宋_GB2312" w:eastAsia="仿宋_GB2312"/>
          <w:color w:val="auto"/>
          <w:sz w:val="32"/>
          <w:szCs w:val="32"/>
        </w:rPr>
        <w:t>公众参与、专家论证、风险评估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等决策程序</w:t>
      </w:r>
      <w:r>
        <w:rPr>
          <w:rFonts w:hint="eastAsia" w:ascii="仿宋_GB2312" w:eastAsia="仿宋_GB2312"/>
          <w:color w:val="auto"/>
          <w:sz w:val="32"/>
          <w:szCs w:val="32"/>
        </w:rPr>
        <w:t>，全力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保障</w:t>
      </w:r>
      <w:r>
        <w:rPr>
          <w:rFonts w:hint="eastAsia" w:ascii="仿宋_GB2312" w:eastAsia="仿宋_GB2312"/>
          <w:color w:val="auto"/>
          <w:sz w:val="32"/>
          <w:szCs w:val="32"/>
        </w:rPr>
        <w:t>决策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事项的科学性、</w:t>
      </w:r>
      <w:r>
        <w:rPr>
          <w:rFonts w:hint="eastAsia" w:ascii="仿宋_GB2312" w:eastAsia="仿宋_GB2312"/>
          <w:color w:val="auto"/>
          <w:sz w:val="32"/>
          <w:szCs w:val="32"/>
        </w:rPr>
        <w:t>合法性。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《昌黎县农村</w:t>
      </w:r>
      <w:r>
        <w:rPr>
          <w:rFonts w:ascii="仿宋_GB2312" w:eastAsia="仿宋_GB2312"/>
          <w:sz w:val="32"/>
          <w:szCs w:val="32"/>
        </w:rPr>
        <w:t>资金资产资源管理办法</w:t>
      </w:r>
      <w:r>
        <w:rPr>
          <w:rFonts w:hint="eastAsia" w:ascii="仿宋_GB2312" w:eastAsia="仿宋_GB2312"/>
          <w:sz w:val="32"/>
          <w:szCs w:val="32"/>
        </w:rPr>
        <w:t>》《昌黎县国土</w:t>
      </w:r>
      <w:r>
        <w:rPr>
          <w:rFonts w:ascii="仿宋_GB2312" w:eastAsia="仿宋_GB2312"/>
          <w:sz w:val="32"/>
          <w:szCs w:val="32"/>
        </w:rPr>
        <w:t>空间总体规划（</w:t>
      </w:r>
      <w:r>
        <w:rPr>
          <w:rFonts w:hint="eastAsia" w:ascii="仿宋_GB2312" w:eastAsia="仿宋_GB2312"/>
          <w:sz w:val="32"/>
          <w:szCs w:val="32"/>
        </w:rPr>
        <w:t>2021-2035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》等重大行政决策事</w:t>
      </w:r>
      <w:r>
        <w:rPr>
          <w:rFonts w:ascii="仿宋_GB2312" w:eastAsia="仿宋_GB2312"/>
          <w:sz w:val="32"/>
          <w:szCs w:val="32"/>
        </w:rPr>
        <w:t>项</w:t>
      </w:r>
      <w:r>
        <w:rPr>
          <w:rFonts w:hint="eastAsia" w:ascii="仿宋_GB2312" w:eastAsia="仿宋_GB2312"/>
          <w:sz w:val="32"/>
          <w:szCs w:val="32"/>
        </w:rPr>
        <w:t>，累计审查各类政府公告通告11件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，全年</w:t>
      </w:r>
      <w:r>
        <w:rPr>
          <w:rFonts w:hint="eastAsia" w:ascii="仿宋_GB2312" w:eastAsia="仿宋_GB2312"/>
          <w:sz w:val="32"/>
          <w:szCs w:val="32"/>
        </w:rPr>
        <w:t>未发生因决策程序不到位导致决策失误或影响稳定事件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制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发《关于报送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2023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年拟制定重大决策、拟实施重大工程项目风险评估计划的通知》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摸排重大决策、重大拟开工项目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11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完成评估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3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rtl w:val="0"/>
          <w:lang w:val="zh-TW" w:eastAsia="zh-TW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rtl w:val="0"/>
          <w:lang w:val="zh-TW" w:eastAsia="zh-CN" w:bidi="ar-SA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rtl w:val="0"/>
          <w:lang w:val="zh-TW" w:eastAsia="zh-TW" w:bidi="ar-SA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rtl w:val="0"/>
          <w:lang w:val="zh-TW" w:eastAsia="zh-CN" w:bidi="ar-SA"/>
        </w:rPr>
        <w:t>加强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rtl w:val="0"/>
          <w:lang w:val="zh-TW" w:eastAsia="zh-TW" w:bidi="ar-SA"/>
        </w:rPr>
        <w:t>规范性文件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rtl w:val="0"/>
          <w:lang w:val="zh-TW" w:eastAsia="zh-CN" w:bidi="ar-SA"/>
        </w:rPr>
        <w:t>管理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rtl w:val="0"/>
          <w:lang w:val="zh-TW" w:eastAsia="zh-TW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制发《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昌黎县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规范性文件制定规定》《行政规范性文件合法性审核操作规程》《规范性文件制定技术规范》等文件，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进一步完善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规范性文件起草、审查、决定、公布、备案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监督等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环节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，从制度层面增强规范性文件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的科学性、实效性。目前，我县规范性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报备率、报备及时率、规范率均达到100％。2023年共清理规范性文件19件，其中拟保留规范性文件12件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修改规范性文件1件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列入修改计划的规范性文件1件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废止规范性文件5件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强化执法队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  <w:t>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全面落实行政执法人员持证上岗和资格管理制度，组织指导今年新增符合条件的78名行政执法人员参加执法证考试，为考试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的50人办理执法证。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完成全县45个具备罚没主体资格的乡镇、部门（机构）的罚没许可证年检工作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。组织开展昌黎县2023年依法行政工作培训班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，全县各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及各行政执法单位执法部门负责人、业务骨干共计86人参加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行政执法人员依法行政水平和规范文明执法能力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按照上级专项整治部署，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县公安局、县交通运输局等相关部门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完成了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全县道路交通安全和运输执法领域突出问题专项整治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val="e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重</w:t>
      </w:r>
      <w:r>
        <w:rPr>
          <w:rFonts w:hint="eastAsia" w:ascii="黑体" w:hAnsi="黑体" w:eastAsia="黑体" w:cs="黑体"/>
          <w:sz w:val="32"/>
          <w:szCs w:val="32"/>
        </w:rPr>
        <w:t>改革、优服务，县域营商环境更加优化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（一）</w:t>
      </w:r>
      <w:r>
        <w:rPr>
          <w:rFonts w:ascii="楷体_GB2312" w:eastAsia="楷体_GB2312"/>
          <w:b/>
          <w:color w:val="auto"/>
          <w:sz w:val="32"/>
          <w:szCs w:val="32"/>
        </w:rPr>
        <w:t>打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"/>
        </w:rPr>
        <w:t>造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" w:eastAsia="zh-CN"/>
        </w:rPr>
        <w:t>一流政务服务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"/>
        </w:rPr>
        <w:t>环境。</w:t>
      </w:r>
      <w:r>
        <w:rPr>
          <w:rFonts w:hint="eastAsia" w:ascii="仿宋_GB2312" w:eastAsia="仿宋_GB2312"/>
          <w:color w:val="auto"/>
          <w:sz w:val="32"/>
          <w:szCs w:val="32"/>
        </w:rPr>
        <w:t>坚持把“用户思维、客户体验”理念融入政务服务全链条，完善首问负责、一次告知、自助办理等制度，517项</w:t>
      </w:r>
      <w:r>
        <w:rPr>
          <w:rFonts w:ascii="仿宋_GB2312" w:eastAsia="仿宋_GB2312"/>
          <w:color w:val="auto"/>
          <w:sz w:val="32"/>
          <w:szCs w:val="32"/>
        </w:rPr>
        <w:t>事项</w:t>
      </w:r>
      <w:r>
        <w:rPr>
          <w:rFonts w:hint="eastAsia" w:ascii="仿宋_GB2312" w:eastAsia="仿宋_GB2312"/>
          <w:color w:val="auto"/>
          <w:sz w:val="32"/>
          <w:szCs w:val="32"/>
        </w:rPr>
        <w:t>实现“全流程网办”，让办事企业</w:t>
      </w:r>
      <w:r>
        <w:rPr>
          <w:rFonts w:ascii="仿宋_GB2312" w:eastAsia="仿宋_GB2312"/>
          <w:color w:val="auto"/>
          <w:sz w:val="32"/>
          <w:szCs w:val="32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群众少跑腿、少排队、快办事。全面推行“证照分离”“多证合一”，优化企业开办流程，企业登记、公章刻制、税务发票申领、银行预约开户、社保用工备案及公积金登记等事项，在全市率先实现“一窗通、零成本、即时办”。以政务服务标准化、规范化、便利化为目标，持续推进行政许可事项取消、下放和调整，全面深化基层综合服务改革，积极推行告知承诺制和“周末不打烊”预约服务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全县</w:t>
      </w:r>
      <w:r>
        <w:rPr>
          <w:rFonts w:hint="eastAsia" w:ascii="仿宋_GB2312" w:eastAsia="仿宋_GB2312"/>
          <w:color w:val="auto"/>
          <w:sz w:val="32"/>
          <w:szCs w:val="32"/>
        </w:rPr>
        <w:t>政务服务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水平显著提升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2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ascii="楷体_GB2312" w:eastAsia="楷体_GB2312"/>
          <w:b/>
          <w:sz w:val="32"/>
          <w:szCs w:val="32"/>
          <w:lang w:val="e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优化法治化营商环境。</w:t>
      </w:r>
      <w:r>
        <w:rPr>
          <w:rFonts w:hint="eastAsia" w:ascii="仿宋_GB2312" w:eastAsia="仿宋_GB2312"/>
          <w:sz w:val="32"/>
          <w:szCs w:val="32"/>
        </w:rPr>
        <w:t>全面落实权责清单、负面清单制度，梳理市场监管执法事项清单176项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其他行政执法事项清单62项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市场监管领域联合抽查事项清单133项，全部</w:t>
      </w:r>
      <w:r>
        <w:rPr>
          <w:rFonts w:hint="eastAsia" w:ascii="仿宋_GB2312" w:eastAsia="仿宋_GB2312"/>
          <w:sz w:val="32"/>
          <w:szCs w:val="32"/>
          <w:lang w:eastAsia="zh-CN"/>
        </w:rPr>
        <w:t>在县</w:t>
      </w:r>
      <w:r>
        <w:rPr>
          <w:rFonts w:hint="eastAsia" w:ascii="仿宋_GB2312" w:eastAsia="仿宋_GB2312"/>
          <w:sz w:val="32"/>
          <w:szCs w:val="32"/>
        </w:rPr>
        <w:t>政府网站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公示。全面实施行政事业性收费和政府性基金清单制度，公开行政事业性收费项目、依据、标准、减免规定、征收方式，健全收费举报投诉及查处机制，</w:t>
      </w:r>
      <w:r>
        <w:rPr>
          <w:rFonts w:hint="eastAsia" w:ascii="仿宋_GB2312" w:eastAsia="仿宋_GB2312"/>
          <w:sz w:val="32"/>
          <w:szCs w:val="32"/>
          <w:lang w:eastAsia="zh-CN"/>
        </w:rPr>
        <w:t>坚决</w:t>
      </w:r>
      <w:r>
        <w:rPr>
          <w:rFonts w:ascii="仿宋_GB2312" w:eastAsia="仿宋_GB2312"/>
          <w:sz w:val="32"/>
          <w:szCs w:val="32"/>
        </w:rPr>
        <w:t>杜绝乱收费行为。</w:t>
      </w:r>
      <w:r>
        <w:rPr>
          <w:rFonts w:hint="eastAsia" w:ascii="仿宋_GB2312" w:eastAsia="仿宋_GB2312"/>
          <w:sz w:val="32"/>
          <w:szCs w:val="32"/>
        </w:rPr>
        <w:t>全面推行“双随机、一公开”监管，积极探索推行“互联网+监管”，健全部门协同、综合监管的高效监管机制，最大程度减少</w:t>
      </w:r>
      <w:r>
        <w:rPr>
          <w:rFonts w:ascii="仿宋_GB2312" w:eastAsia="仿宋_GB2312"/>
          <w:sz w:val="32"/>
          <w:szCs w:val="32"/>
        </w:rPr>
        <w:t>对企业的干扰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县司法局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深入开展法治化营商环境专项行动，出台法治化营商环境建设18条措施。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2"/>
        <w:textAlignment w:val="auto"/>
        <w:rPr>
          <w:rFonts w:hint="default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rtl w:val="0"/>
          <w:lang w:val="zh-TW" w:eastAsia="zh-TW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zh-TW" w:eastAsia="zh-CN"/>
        </w:rPr>
        <w:t>三</w:t>
      </w:r>
      <w:r>
        <w:rPr>
          <w:rFonts w:ascii="楷体_GB2312" w:hAnsi="楷体_GB2312" w:eastAsia="楷体_GB2312" w:cs="楷体_GB2312"/>
          <w:b/>
          <w:bCs/>
          <w:sz w:val="32"/>
          <w:szCs w:val="32"/>
          <w:rtl w:val="0"/>
          <w:lang w:val="zh-TW" w:eastAsia="zh-TW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zh-TW" w:eastAsia="zh-CN"/>
        </w:rPr>
        <w:t>深化</w:t>
      </w:r>
      <w:r>
        <w:rPr>
          <w:rFonts w:ascii="楷体_GB2312" w:hAnsi="楷体_GB2312" w:eastAsia="楷体_GB2312" w:cs="楷体_GB2312"/>
          <w:b/>
          <w:bCs/>
          <w:sz w:val="32"/>
          <w:szCs w:val="32"/>
          <w:rtl w:val="0"/>
          <w:lang w:val="zh-TW" w:eastAsia="zh-TW"/>
        </w:rPr>
        <w:t>行政复议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zh-TW" w:eastAsia="zh-CN"/>
        </w:rPr>
        <w:t>改革</w:t>
      </w:r>
      <w:r>
        <w:rPr>
          <w:rFonts w:ascii="楷体_GB2312" w:hAnsi="楷体_GB2312" w:eastAsia="楷体_GB2312" w:cs="楷体_GB2312"/>
          <w:b/>
          <w:bCs/>
          <w:sz w:val="32"/>
          <w:szCs w:val="32"/>
          <w:rtl w:val="0"/>
          <w:lang w:val="zh-TW" w:eastAsia="zh-TW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</w:t>
      </w:r>
      <w:r>
        <w:rPr>
          <w:rFonts w:hint="eastAsia" w:ascii="仿宋_GB2312" w:hAnsi="仿宋_GB2312" w:eastAsia="仿宋_GB2312" w:cs="仿宋_GB2312"/>
          <w:sz w:val="32"/>
          <w:szCs w:val="32"/>
        </w:rPr>
        <w:t>发《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昌黎县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行政复议体制改革实施方案》，明确机构编制、工作经费等重点事项。充分发挥行政复议监督职能，遵循合法、公正、及时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便民原则，坚决把好受理关、审核关、调查关、决定关，力促行政复议成为化解行政争议的主渠道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年接到行政复议申请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受理40件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审结28件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纠错率25.8%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ascii="黑体" w:hAnsi="黑体" w:eastAsia="黑体" w:cs="黑体"/>
          <w:sz w:val="32"/>
          <w:szCs w:val="32"/>
          <w:lang w:val="e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夯矫正、树典型，人民调解效果更加彰显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rtl w:val="0"/>
          <w:lang w:val="en" w:eastAsia="zh-TW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en" w:eastAsia="zh-CN"/>
        </w:rPr>
        <w:t>一</w:t>
      </w:r>
      <w:r>
        <w:rPr>
          <w:rFonts w:ascii="楷体_GB2312" w:hAnsi="楷体_GB2312" w:eastAsia="楷体_GB2312" w:cs="楷体_GB2312"/>
          <w:b/>
          <w:bCs/>
          <w:sz w:val="32"/>
          <w:szCs w:val="32"/>
          <w:rtl w:val="0"/>
          <w:lang w:val="en" w:eastAsia="zh-TW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zh-TW" w:eastAsia="zh-TW"/>
        </w:rPr>
        <w:t>强化特殊人群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en" w:eastAsia="zh-TW"/>
        </w:rPr>
        <w:t>管控帮扶。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制发《昌黎县社区矫正工作纪律》等文件，严格按照政策法规要求，强化社区矫正对象管理，今年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入矫113人，解矫98人，当前在矫192人。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3" w:firstLineChars="200"/>
        <w:textAlignment w:val="auto"/>
        <w:rPr>
          <w:rFonts w:hint="eastAsia"/>
          <w:lang w:val="en" w:eastAsia="zh-C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rtl w:val="0"/>
          <w:lang w:val="en" w:eastAsia="zh-TW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en" w:eastAsia="zh-CN"/>
        </w:rPr>
        <w:t>二</w:t>
      </w:r>
      <w:r>
        <w:rPr>
          <w:rFonts w:ascii="楷体_GB2312" w:hAnsi="楷体_GB2312" w:eastAsia="楷体_GB2312" w:cs="楷体_GB2312"/>
          <w:b/>
          <w:bCs/>
          <w:sz w:val="32"/>
          <w:szCs w:val="32"/>
          <w:rtl w:val="0"/>
          <w:lang w:val="en" w:eastAsia="zh-TW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zh-TW" w:eastAsia="zh-TW"/>
        </w:rPr>
        <w:t>打造“枫桥式”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en" w:eastAsia="zh-TW"/>
        </w:rPr>
        <w:t>司法所。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坚持“软件”“硬件”双提升，推进司法所规范化、标准化建设，对3个乡镇司法所的外观、标识进行统一规范，并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为其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调解室配备办公电脑、打印机、档案橱等办公设备。已向市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司法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局申报团林乡司法所为“枫桥式”司法所。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rtl w:val="0"/>
          <w:lang w:val="en" w:eastAsia="zh-TW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en" w:eastAsia="zh-CN"/>
        </w:rPr>
        <w:t>三</w:t>
      </w:r>
      <w:r>
        <w:rPr>
          <w:rFonts w:ascii="楷体_GB2312" w:hAnsi="楷体_GB2312" w:eastAsia="楷体_GB2312" w:cs="楷体_GB2312"/>
          <w:b/>
          <w:bCs/>
          <w:sz w:val="32"/>
          <w:szCs w:val="32"/>
          <w:rtl w:val="0"/>
          <w:lang w:val="en" w:eastAsia="zh-TW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en" w:eastAsia="zh-CN"/>
        </w:rPr>
        <w:t>健全</w:t>
      </w:r>
      <w:r>
        <w:rPr>
          <w:rFonts w:ascii="楷体_GB2312" w:hAnsi="楷体_GB2312" w:eastAsia="楷体_GB2312" w:cs="楷体_GB2312"/>
          <w:b/>
          <w:bCs/>
          <w:sz w:val="32"/>
          <w:szCs w:val="32"/>
          <w:rtl w:val="0"/>
          <w:lang w:val="zh-TW" w:eastAsia="zh-TW"/>
        </w:rPr>
        <w:t>多元纠纷化解机制。</w:t>
      </w:r>
      <w:r>
        <w:rPr>
          <w:rFonts w:hint="eastAsia" w:ascii="仿宋_GB2312" w:eastAsia="仿宋_GB2312"/>
          <w:sz w:val="32"/>
          <w:szCs w:val="32"/>
        </w:rPr>
        <w:t>按照《坚持发展“枫桥经验”实现矛盾不上交三年行动计划》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健全完善</w:t>
      </w:r>
      <w:r>
        <w:rPr>
          <w:rFonts w:hint="eastAsia" w:ascii="仿宋_GB2312" w:eastAsia="仿宋_GB2312"/>
          <w:sz w:val="32"/>
          <w:szCs w:val="32"/>
        </w:rPr>
        <w:t>1个县级一站式社会矛盾调处化解中心、17个</w:t>
      </w:r>
      <w:r>
        <w:rPr>
          <w:rFonts w:ascii="仿宋_GB2312" w:eastAsia="仿宋_GB2312"/>
          <w:sz w:val="32"/>
          <w:szCs w:val="32"/>
        </w:rPr>
        <w:t>乡镇</w:t>
      </w:r>
      <w:r>
        <w:rPr>
          <w:rFonts w:hint="eastAsia" w:ascii="仿宋_GB2312" w:eastAsia="仿宋_GB2312"/>
          <w:sz w:val="32"/>
          <w:szCs w:val="32"/>
        </w:rPr>
        <w:t>综合调解中心、464个各类人民调解组织（行业性、专业性调委会3个，乡镇调委会17个，村、社区调委会441个，个人调解室3个），</w:t>
      </w:r>
      <w:r>
        <w:rPr>
          <w:rFonts w:hint="eastAsia" w:ascii="仿宋_GB2312" w:eastAsia="仿宋_GB2312"/>
          <w:sz w:val="32"/>
          <w:szCs w:val="32"/>
          <w:lang w:eastAsia="zh-CN"/>
        </w:rPr>
        <w:t>大幅</w:t>
      </w:r>
      <w:r>
        <w:rPr>
          <w:rFonts w:ascii="仿宋_GB2312" w:eastAsia="仿宋_GB2312"/>
          <w:sz w:val="32"/>
          <w:szCs w:val="32"/>
        </w:rPr>
        <w:t>提升矛盾纠纷调解质效。</w:t>
      </w:r>
      <w:r>
        <w:rPr>
          <w:rFonts w:hint="eastAsia" w:ascii="仿宋_GB2312" w:eastAsia="仿宋_GB2312"/>
          <w:sz w:val="32"/>
          <w:szCs w:val="32"/>
        </w:rPr>
        <w:t>今年累计排查</w:t>
      </w:r>
      <w:r>
        <w:rPr>
          <w:rFonts w:ascii="仿宋_GB2312" w:eastAsia="仿宋_GB2312"/>
          <w:sz w:val="32"/>
          <w:szCs w:val="32"/>
        </w:rPr>
        <w:t>调处矛盾纠纷</w:t>
      </w:r>
      <w:r>
        <w:rPr>
          <w:rFonts w:hint="eastAsia" w:ascii="仿宋_GB2312" w:eastAsia="仿宋_GB2312"/>
          <w:sz w:val="32"/>
          <w:szCs w:val="32"/>
        </w:rPr>
        <w:t>2680起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化解成功率100%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昌黎县交通事故纠纷人民调解委员会被最高人民法院、司法部授予“全国模范人民调解委员会”称号。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0" w:firstLineChars="20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val="e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暖民心、办实事，法律</w:t>
      </w:r>
      <w:r>
        <w:rPr>
          <w:rFonts w:ascii="黑体" w:hAnsi="黑体" w:eastAsia="黑体" w:cs="黑体"/>
          <w:sz w:val="32"/>
          <w:szCs w:val="32"/>
          <w:lang w:val="en"/>
        </w:rPr>
        <w:t>服务</w:t>
      </w:r>
      <w:r>
        <w:rPr>
          <w:rFonts w:hint="eastAsia" w:ascii="黑体" w:hAnsi="黑体" w:eastAsia="黑体" w:cs="黑体"/>
          <w:sz w:val="32"/>
          <w:szCs w:val="32"/>
        </w:rPr>
        <w:t>方式更加惠民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26" w:firstLineChars="19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rtl w:val="0"/>
          <w:lang w:val="en" w:eastAsia="zh-CN" w:bidi="ar-SA"/>
        </w:rPr>
        <w:t>（一）持续完善县乡村三级公共法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律服务平台建设。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固化运行县级公共法律服务中心，17个乡镇分别进一步完善乡镇法律服务中心,418个行政村和22个居委会健全公共法律服务站,打通法律服务群众“最后一米线”。2023年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共接待群众来电来访咨询467人次，发放法律宣传资料1000余册。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rtl w:val="0"/>
          <w:lang w:val="en" w:eastAsia="zh-CN" w:bidi="ar-SA"/>
        </w:rPr>
        <w:t>（二）拓展和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规范公证法律服务。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积极发挥公证工作证明、监督、服务、沟通职能，为全县经济社会发展提供优质高效快捷的公证法律服务，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2023年共办理各类公证案件1798件，其中民事案件1567件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涉外案件231件。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rtl w:val="0"/>
          <w:lang w:val="en" w:eastAsia="zh-CN" w:bidi="ar-SA"/>
        </w:rPr>
        <w:t>（三）全力做好法律无偿援助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遵循“能援则援、应援尽援”原则，不断加大法律援助“扩面提质”工作力度，2023年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提供法律援助案件446件，其中指定案件301件、申请案件145件。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val="e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广宣传、惠民生，“八五”普法工作更加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深入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en" w:eastAsia="zh-TW"/>
        </w:rPr>
        <w:t>（一）加强普法工作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en" w:eastAsia="zh-CN"/>
        </w:rPr>
        <w:t>顶层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  <w:t>设计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制发《2023年全县普法依法治理工作要点》《关于做好2023年昌黎县“每月一主题”普法宣传活动的通知》，统筹推进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各级各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部门常态化开展本行业本领域本系统普法工作。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en" w:eastAsia="zh-TW"/>
        </w:rPr>
        <w:t>（二）夯实普法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 w:eastAsia="zh-CN"/>
        </w:rPr>
        <w:t>基层基础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/>
        </w:rPr>
        <w:t>根基。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调整充实县级普法讲师团队伍，认真实施村居“法律明白人”培养工程，全县“法律明白人”队伍达6000余人。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免费发放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法律宣传册、“八五”普法学习笔记本等普法宣传资料15000余册。组织开展法律进机关、进企业、进农村、进校园等法律“九进”工作。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rtl w:val="0"/>
          <w:lang w:val="en" w:eastAsia="zh-TW"/>
        </w:rPr>
        <w:t>（三）开展“民主法治示范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"/>
        </w:rPr>
        <w:t>村（社区）复核（省级）。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民政、组织、宣传等多部门联合行动，实地查看全县12个“民主法治示范村”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建设情况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，各相关部门按照河北省民主法治示范村（社区）建设指导标准和管理办法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逐领域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逐项实地完成复核审查工作。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1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sz w:val="32"/>
          <w:szCs w:val="32"/>
          <w:lang w:val="e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存在不足及下步打算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一年来，法治政府建设工作取得了较好的成绩，依法行政水平得到较大提高，但与上级法治政府建设要</w:t>
      </w:r>
      <w:r>
        <w:rPr>
          <w:rFonts w:hint="eastAsia" w:ascii="仿宋_GB2312" w:hAnsi="仿宋_GB2312" w:eastAsia="仿宋_GB2312" w:cs="仿宋_GB2312"/>
          <w:sz w:val="32"/>
          <w:szCs w:val="32"/>
        </w:rPr>
        <w:t>求、与先进县区相比还存在一些不足。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机构改革后，司法机关人员配置与目前职能设置不匹配，无法满足日益增长的工作需要。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行政执法规范化建设仍需加强，在行政执法队伍数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量、专业化建设方面还存在短板，尤其是乡镇执法人员素质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普遍较低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学法用法普法工作创新不足，依然存在形式与效果脱节问题。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10" w:lineRule="exact"/>
        <w:ind w:firstLine="62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今后工作中，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巩固省级法治政府示范创建初步验收成果，持续提升全县法治政府建设水平。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深入开展提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升行政执法质量三年行动（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），重点抓好行政执法能力提升、规范行政执法行为、完善行政执法工作体系、优化乡镇综合行政执法、构建行政执法协调监督工作体系、推进行政执法和行政执法监督信息化建设、强化行政执法保障等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深入推进“八五”普法，结合“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每月一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法宣专项行动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，开展宪法、民法典等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群众法治观念。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持续健全全县公共法律服务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建设法律援助中心，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配套相关人员和设施。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专业性、行业性调委会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发挥其</w:t>
      </w:r>
      <w:r>
        <w:rPr>
          <w:rFonts w:hint="eastAsia" w:ascii="仿宋_GB2312" w:hAnsi="仿宋_GB2312" w:eastAsia="仿宋_GB2312" w:cs="仿宋_GB2312"/>
          <w:sz w:val="32"/>
          <w:szCs w:val="32"/>
        </w:rPr>
        <w:t>“稳定器”作用，争取将各类社会矛盾纠纷化解在萌芽状态。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加强司法所规范化、标准化建设，深化改革，关口下移，不断发挥乡镇司法所在法治政府建设中的应有作用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984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ZTAyMTc2OTE2ODY5M2NhN2Y2OTFlNzFhN2RmNDcifQ=="/>
  </w:docVars>
  <w:rsids>
    <w:rsidRoot w:val="07F85BB2"/>
    <w:rsid w:val="001056E5"/>
    <w:rsid w:val="002B069A"/>
    <w:rsid w:val="003904CB"/>
    <w:rsid w:val="008D6373"/>
    <w:rsid w:val="00BB6DC3"/>
    <w:rsid w:val="00E3144C"/>
    <w:rsid w:val="07F85BB2"/>
    <w:rsid w:val="0EDF832F"/>
    <w:rsid w:val="0FE530F7"/>
    <w:rsid w:val="125C336A"/>
    <w:rsid w:val="12C417B0"/>
    <w:rsid w:val="1A3F43FE"/>
    <w:rsid w:val="1B7F6F64"/>
    <w:rsid w:val="1EFEF843"/>
    <w:rsid w:val="1FF72E05"/>
    <w:rsid w:val="22FA29FB"/>
    <w:rsid w:val="23081C95"/>
    <w:rsid w:val="29723FDB"/>
    <w:rsid w:val="39DB8D32"/>
    <w:rsid w:val="3E7EEAD5"/>
    <w:rsid w:val="3EDF8776"/>
    <w:rsid w:val="3EFF242A"/>
    <w:rsid w:val="3FCF1BDE"/>
    <w:rsid w:val="3FEC205E"/>
    <w:rsid w:val="3FFBF133"/>
    <w:rsid w:val="43924C93"/>
    <w:rsid w:val="44DBAAC2"/>
    <w:rsid w:val="47FFEEBD"/>
    <w:rsid w:val="4A086425"/>
    <w:rsid w:val="4C3FAFBF"/>
    <w:rsid w:val="4EF49375"/>
    <w:rsid w:val="4F5DBE20"/>
    <w:rsid w:val="4FB222BA"/>
    <w:rsid w:val="56EF63B7"/>
    <w:rsid w:val="5AFA6677"/>
    <w:rsid w:val="5B6F9BB6"/>
    <w:rsid w:val="5BFD196F"/>
    <w:rsid w:val="5D9555BA"/>
    <w:rsid w:val="5DFF2FA2"/>
    <w:rsid w:val="5EFA628F"/>
    <w:rsid w:val="5EFF0F02"/>
    <w:rsid w:val="5F460BB1"/>
    <w:rsid w:val="5F9D84E3"/>
    <w:rsid w:val="60A26D1B"/>
    <w:rsid w:val="61FF12F7"/>
    <w:rsid w:val="646206C9"/>
    <w:rsid w:val="65CD5968"/>
    <w:rsid w:val="65DFBA81"/>
    <w:rsid w:val="679367A7"/>
    <w:rsid w:val="679B4231"/>
    <w:rsid w:val="67F7CACD"/>
    <w:rsid w:val="67F7E0F4"/>
    <w:rsid w:val="6B789C20"/>
    <w:rsid w:val="6BEEFE97"/>
    <w:rsid w:val="6BF7A5E3"/>
    <w:rsid w:val="6CBAF076"/>
    <w:rsid w:val="6D1074BA"/>
    <w:rsid w:val="6D92A910"/>
    <w:rsid w:val="6DD56546"/>
    <w:rsid w:val="6FBF7101"/>
    <w:rsid w:val="6FD59BBC"/>
    <w:rsid w:val="6FE9BE9C"/>
    <w:rsid w:val="6FFD7ACF"/>
    <w:rsid w:val="75591FC0"/>
    <w:rsid w:val="76DF5B0A"/>
    <w:rsid w:val="77BE9D6C"/>
    <w:rsid w:val="77F3FF61"/>
    <w:rsid w:val="78DD29D8"/>
    <w:rsid w:val="79FF4856"/>
    <w:rsid w:val="7A574AFA"/>
    <w:rsid w:val="7ADF6B21"/>
    <w:rsid w:val="7BC41CAF"/>
    <w:rsid w:val="7BDEC19D"/>
    <w:rsid w:val="7BFC03D0"/>
    <w:rsid w:val="7BFF510B"/>
    <w:rsid w:val="7EDF977C"/>
    <w:rsid w:val="7EF30F7C"/>
    <w:rsid w:val="7EFF85CC"/>
    <w:rsid w:val="7F3D2222"/>
    <w:rsid w:val="7FABB430"/>
    <w:rsid w:val="7FBF227D"/>
    <w:rsid w:val="7FBFBE7D"/>
    <w:rsid w:val="7FC79062"/>
    <w:rsid w:val="7FFC8CB9"/>
    <w:rsid w:val="7FFC9F67"/>
    <w:rsid w:val="7FFF4E5F"/>
    <w:rsid w:val="8F54DB38"/>
    <w:rsid w:val="95BF6EB4"/>
    <w:rsid w:val="9ECB7492"/>
    <w:rsid w:val="9F6E2794"/>
    <w:rsid w:val="B33F49D4"/>
    <w:rsid w:val="BA70E8EE"/>
    <w:rsid w:val="BDD68FC4"/>
    <w:rsid w:val="BE635C28"/>
    <w:rsid w:val="BE9FEFC2"/>
    <w:rsid w:val="BF6F9205"/>
    <w:rsid w:val="BF97B745"/>
    <w:rsid w:val="BFFD6EA2"/>
    <w:rsid w:val="BFFDA0CC"/>
    <w:rsid w:val="CF7F21FD"/>
    <w:rsid w:val="DB76CD0C"/>
    <w:rsid w:val="DBFE409E"/>
    <w:rsid w:val="DBFF50E9"/>
    <w:rsid w:val="DE73767B"/>
    <w:rsid w:val="DF1B8B6F"/>
    <w:rsid w:val="DF1E75DF"/>
    <w:rsid w:val="DFDDD185"/>
    <w:rsid w:val="E4DF45B6"/>
    <w:rsid w:val="E7FE3095"/>
    <w:rsid w:val="E8F68E11"/>
    <w:rsid w:val="EBBFC4DD"/>
    <w:rsid w:val="EBEBDB97"/>
    <w:rsid w:val="EC53EAA6"/>
    <w:rsid w:val="EDE7CF44"/>
    <w:rsid w:val="EDFED480"/>
    <w:rsid w:val="EF1F3194"/>
    <w:rsid w:val="F3D7C118"/>
    <w:rsid w:val="F52F8729"/>
    <w:rsid w:val="F59C4D55"/>
    <w:rsid w:val="F5DD7117"/>
    <w:rsid w:val="F6FCF2B4"/>
    <w:rsid w:val="F7BFC496"/>
    <w:rsid w:val="F7EED367"/>
    <w:rsid w:val="F96FC888"/>
    <w:rsid w:val="F9AB70B0"/>
    <w:rsid w:val="FABF9656"/>
    <w:rsid w:val="FADF139B"/>
    <w:rsid w:val="FAEF2B14"/>
    <w:rsid w:val="FB13BB59"/>
    <w:rsid w:val="FBBF30A2"/>
    <w:rsid w:val="FDBD75AD"/>
    <w:rsid w:val="FEAB92E7"/>
    <w:rsid w:val="FF373F36"/>
    <w:rsid w:val="FF6E679C"/>
    <w:rsid w:val="FF751C6E"/>
    <w:rsid w:val="FF793649"/>
    <w:rsid w:val="FFC28C1D"/>
    <w:rsid w:val="FFDF2A9D"/>
    <w:rsid w:val="FFEFF8A8"/>
    <w:rsid w:val="FFF7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Subtitle"/>
    <w:basedOn w:val="1"/>
    <w:qFormat/>
    <w:uiPriority w:val="0"/>
    <w:pPr>
      <w:spacing w:line="700" w:lineRule="exact"/>
      <w:jc w:val="center"/>
      <w:outlineLvl w:val="1"/>
    </w:pPr>
    <w:rPr>
      <w:rFonts w:ascii="Arial" w:hAnsi="Arial" w:eastAsia="方正小标宋简体" w:cs="Arial"/>
      <w:b/>
      <w:bCs/>
      <w:kern w:val="28"/>
      <w:sz w:val="44"/>
      <w:szCs w:val="44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方正小标宋简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paragraph" w:styleId="10">
    <w:name w:val="Body Text First Indent 2"/>
    <w:basedOn w:val="6"/>
    <w:next w:val="1"/>
    <w:qFormat/>
    <w:uiPriority w:val="0"/>
    <w:pPr>
      <w:spacing w:after="0"/>
      <w:ind w:left="0" w:leftChars="0" w:firstLine="200"/>
      <w:jc w:val="left"/>
    </w:pPr>
    <w:rPr>
      <w:sz w:val="20"/>
      <w:szCs w:val="20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UserStyle_0"/>
    <w:basedOn w:val="1"/>
    <w:qFormat/>
    <w:uiPriority w:val="0"/>
    <w:pPr>
      <w:ind w:firstLine="420" w:firstLineChars="200"/>
      <w:textAlignment w:val="baseline"/>
    </w:pPr>
  </w:style>
  <w:style w:type="paragraph" w:customStyle="1" w:styleId="15">
    <w:name w:val="Plain Text"/>
    <w:qFormat/>
    <w:uiPriority w:val="0"/>
    <w:pPr>
      <w:widowControl w:val="0"/>
      <w:jc w:val="both"/>
    </w:pPr>
    <w:rPr>
      <w:rFonts w:ascii="宋体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6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2449</Words>
  <Characters>2530</Characters>
  <Lines>18</Lines>
  <Paragraphs>5</Paragraphs>
  <TotalTime>5</TotalTime>
  <ScaleCrop>false</ScaleCrop>
  <LinksUpToDate>false</LinksUpToDate>
  <CharactersWithSpaces>2556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2022-12-23T22:21:00Z</dcterms:created>
  <dc:creator>☀   雯¨</dc:creator>
  <cp:lastModifiedBy>DELL</cp:lastModifiedBy>
  <cp:lastPrinted>2024-02-28T15:24:00Z</cp:lastPrinted>
  <dcterms:modified xsi:type="dcterms:W3CDTF">2024-02-29T03:11:03Z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6953467AC5A54CD9976C4BACFE121C61</vt:lpwstr>
  </property>
</Properties>
</file>