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一、昌黎县医疗保障局本级收支预算</w:t>
      </w:r>
      <w:r>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rPr>
          <w:b w:val="0"/>
        </w:rPr>
        <w:t>二、昌黎县职工医疗保险中心收支预算</w:t>
      </w:r>
      <w:r>
        <w:tab/>
      </w:r>
      <w:r>
        <w:fldChar w:fldCharType="begin"/>
      </w:r>
      <w:r>
        <w:instrText>PAGEREF _Toc_4_4_0000000002 \h</w:instrText>
      </w:r>
      <w:r>
        <w:fldChar w:fldCharType="separate"/>
      </w:r>
      <w:r>
        <w:t>19</w:t>
      </w:r>
      <w:r>
        <w:fldChar w:fldCharType="end"/>
      </w:r>
      <w:r>
        <w:fldChar w:fldCharType="end"/>
      </w:r>
    </w:p>
    <w:p>
      <w:pPr>
        <w:pStyle w:val="31"/>
        <w:tabs>
          <w:tab w:val="right" w:leader="dot" w:pos="14562"/>
        </w:tabs>
      </w:pPr>
      <w:r>
        <w:fldChar w:fldCharType="begin"/>
      </w:r>
      <w:r>
        <w:instrText>Hyperlink \l "_Toc_4_4_0000000003"</w:instrText>
      </w:r>
      <w:r>
        <w:fldChar w:fldCharType="separate"/>
      </w:r>
      <w:r>
        <w:rPr>
          <w:b w:val="0"/>
        </w:rPr>
        <w:t>三、昌黎县城乡居民基本医疗保险服务中心收支预算</w:t>
      </w:r>
      <w:r>
        <w:tab/>
      </w:r>
      <w:r>
        <w:fldChar w:fldCharType="begin"/>
      </w:r>
      <w:r>
        <w:instrText>PAGEREF _Toc_4_4_0000000003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一、昌黎县医疗保障局本级收支预算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450001昌黎县医疗保障局本级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175.00</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16.89</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153.77</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7.65</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175.00</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178.31</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3.31</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178.31</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178.31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450001昌黎县医疗保障局本级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178.31</w:t>
            </w:r>
          </w:p>
        </w:tc>
        <w:tc>
          <w:tcPr>
            <w:tcW w:w="1134" w:type="dxa"/>
            <w:tcBorders>
              <w:top w:val="single" w:sz="6" w:space="0" w:color="auto"/>
              <w:left w:val="single" w:sz="6" w:space="0" w:color="auto"/>
              <w:right w:val="single" w:sz="6" w:space="0" w:color="auto"/>
            </w:tcBorders>
            <w:vAlign w:val="center"/>
          </w:tcPr>
          <w:p>
            <w:pPr>
              <w:pStyle w:val="23"/>
            </w:pPr>
            <w:r>
              <w:t>175.00</w:t>
            </w:r>
          </w:p>
        </w:tc>
        <w:tc>
          <w:tcPr>
            <w:tcW w:w="1134" w:type="dxa"/>
            <w:tcBorders>
              <w:top w:val="single" w:sz="6" w:space="0" w:color="auto"/>
              <w:left w:val="single" w:sz="6" w:space="0" w:color="auto"/>
              <w:right w:val="single" w:sz="6" w:space="0" w:color="auto"/>
            </w:tcBorders>
            <w:vAlign w:val="center"/>
          </w:tcPr>
          <w:p>
            <w:pPr>
              <w:pStyle w:val="23"/>
            </w:pPr>
            <w:r>
              <w:t>175.00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3.31</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r>
              <w:t>16.89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15.69</w:t>
            </w:r>
          </w:p>
        </w:tc>
        <w:tc>
          <w:tcPr>
            <w:tcW w:w="1134" w:type="dxa"/>
            <w:tcBorders>
              <w:top w:val="single" w:sz="6" w:space="0" w:color="auto"/>
              <w:left w:val="single" w:sz="6" w:space="0" w:color="auto"/>
              <w:right w:val="single" w:sz="6" w:space="0" w:color="auto"/>
            </w:tcBorders>
            <w:vAlign w:val="center"/>
          </w:tcPr>
          <w:p>
            <w:pPr>
              <w:pStyle w:val="19"/>
            </w:pPr>
            <w:r>
              <w:t>15.69</w:t>
            </w:r>
          </w:p>
        </w:tc>
        <w:tc>
          <w:tcPr>
            <w:tcW w:w="1134" w:type="dxa"/>
            <w:tcBorders>
              <w:top w:val="single" w:sz="6" w:space="0" w:color="auto"/>
              <w:left w:val="single" w:sz="6" w:space="0" w:color="auto"/>
              <w:right w:val="single" w:sz="6" w:space="0" w:color="auto"/>
            </w:tcBorders>
            <w:vAlign w:val="center"/>
          </w:tcPr>
          <w:p>
            <w:pPr>
              <w:pStyle w:val="19"/>
            </w:pPr>
            <w:r>
              <w:t>15.69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1.20</w:t>
            </w:r>
          </w:p>
        </w:tc>
        <w:tc>
          <w:tcPr>
            <w:tcW w:w="1134" w:type="dxa"/>
            <w:tcBorders>
              <w:top w:val="single" w:sz="6" w:space="0" w:color="auto"/>
              <w:left w:val="single" w:sz="6" w:space="0" w:color="auto"/>
              <w:right w:val="single" w:sz="6" w:space="0" w:color="auto"/>
            </w:tcBorders>
            <w:vAlign w:val="center"/>
          </w:tcPr>
          <w:p>
            <w:pPr>
              <w:pStyle w:val="19"/>
            </w:pPr>
            <w:r>
              <w:t>1.20</w:t>
            </w:r>
          </w:p>
        </w:tc>
        <w:tc>
          <w:tcPr>
            <w:tcW w:w="1134" w:type="dxa"/>
            <w:tcBorders>
              <w:top w:val="single" w:sz="6" w:space="0" w:color="auto"/>
              <w:left w:val="single" w:sz="6" w:space="0" w:color="auto"/>
              <w:right w:val="single" w:sz="6" w:space="0" w:color="auto"/>
            </w:tcBorders>
            <w:vAlign w:val="center"/>
          </w:tcPr>
          <w:p>
            <w:pPr>
              <w:pStyle w:val="19"/>
            </w:pPr>
            <w:r>
              <w:t>1.20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153.77</w:t>
            </w:r>
          </w:p>
        </w:tc>
        <w:tc>
          <w:tcPr>
            <w:tcW w:w="1134" w:type="dxa"/>
            <w:tcBorders>
              <w:top w:val="single" w:sz="6" w:space="0" w:color="auto"/>
              <w:left w:val="single" w:sz="6" w:space="0" w:color="auto"/>
              <w:right w:val="single" w:sz="6" w:space="0" w:color="auto"/>
            </w:tcBorders>
            <w:vAlign w:val="center"/>
          </w:tcPr>
          <w:p>
            <w:pPr>
              <w:pStyle w:val="19"/>
            </w:pPr>
            <w:r>
              <w:t>150.46</w:t>
            </w:r>
          </w:p>
        </w:tc>
        <w:tc>
          <w:tcPr>
            <w:tcW w:w="1134" w:type="dxa"/>
            <w:tcBorders>
              <w:top w:val="single" w:sz="6" w:space="0" w:color="auto"/>
              <w:left w:val="single" w:sz="6" w:space="0" w:color="auto"/>
              <w:right w:val="single" w:sz="6" w:space="0" w:color="auto"/>
            </w:tcBorders>
            <w:vAlign w:val="center"/>
          </w:tcPr>
          <w:p>
            <w:pPr>
              <w:pStyle w:val="19"/>
            </w:pPr>
            <w:r>
              <w:t>150.46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8.61</w:t>
            </w:r>
          </w:p>
        </w:tc>
        <w:tc>
          <w:tcPr>
            <w:tcW w:w="1134" w:type="dxa"/>
            <w:tcBorders>
              <w:top w:val="single" w:sz="6" w:space="0" w:color="auto"/>
              <w:left w:val="single" w:sz="6" w:space="0" w:color="auto"/>
              <w:right w:val="single" w:sz="6" w:space="0" w:color="auto"/>
            </w:tcBorders>
            <w:vAlign w:val="center"/>
          </w:tcPr>
          <w:p>
            <w:pPr>
              <w:pStyle w:val="19"/>
            </w:pPr>
            <w:r>
              <w:t>8.61</w:t>
            </w:r>
          </w:p>
        </w:tc>
        <w:tc>
          <w:tcPr>
            <w:tcW w:w="1134" w:type="dxa"/>
            <w:tcBorders>
              <w:top w:val="single" w:sz="6" w:space="0" w:color="auto"/>
              <w:left w:val="single" w:sz="6" w:space="0" w:color="auto"/>
              <w:right w:val="single" w:sz="6" w:space="0" w:color="auto"/>
            </w:tcBorders>
            <w:vAlign w:val="center"/>
          </w:tcPr>
          <w:p>
            <w:pPr>
              <w:pStyle w:val="19"/>
            </w:pPr>
            <w:r>
              <w:t>8.61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3.96</w:t>
            </w:r>
          </w:p>
        </w:tc>
        <w:tc>
          <w:tcPr>
            <w:tcW w:w="1134" w:type="dxa"/>
            <w:tcBorders>
              <w:top w:val="single" w:sz="6" w:space="0" w:color="auto"/>
              <w:left w:val="single" w:sz="6" w:space="0" w:color="auto"/>
              <w:right w:val="single" w:sz="6" w:space="0" w:color="auto"/>
            </w:tcBorders>
            <w:vAlign w:val="center"/>
          </w:tcPr>
          <w:p>
            <w:pPr>
              <w:pStyle w:val="19"/>
            </w:pPr>
            <w:r>
              <w:t>3.96</w:t>
            </w:r>
          </w:p>
        </w:tc>
        <w:tc>
          <w:tcPr>
            <w:tcW w:w="1134" w:type="dxa"/>
            <w:tcBorders>
              <w:top w:val="single" w:sz="6" w:space="0" w:color="auto"/>
              <w:left w:val="single" w:sz="6" w:space="0" w:color="auto"/>
              <w:right w:val="single" w:sz="6" w:space="0" w:color="auto"/>
            </w:tcBorders>
            <w:vAlign w:val="center"/>
          </w:tcPr>
          <w:p>
            <w:pPr>
              <w:pStyle w:val="19"/>
            </w:pPr>
            <w:r>
              <w:t>3.96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1559" w:type="dxa"/>
            <w:tcBorders>
              <w:top w:val="single" w:sz="6" w:space="0" w:color="auto"/>
              <w:left w:val="single" w:sz="6" w:space="0" w:color="auto"/>
              <w:right w:val="single" w:sz="6" w:space="0" w:color="auto"/>
            </w:tcBorders>
            <w:vAlign w:val="center"/>
          </w:tcPr>
          <w:p>
            <w:pPr>
              <w:pStyle w:val="20"/>
            </w:pPr>
            <w:r>
              <w:t>医疗保障管理事务</w:t>
            </w:r>
          </w:p>
        </w:tc>
        <w:tc>
          <w:tcPr>
            <w:tcW w:w="1134" w:type="dxa"/>
            <w:tcBorders>
              <w:top w:val="single" w:sz="6" w:space="0" w:color="auto"/>
              <w:left w:val="single" w:sz="6" w:space="0" w:color="auto"/>
              <w:right w:val="single" w:sz="6" w:space="0" w:color="auto"/>
            </w:tcBorders>
            <w:vAlign w:val="center"/>
          </w:tcPr>
          <w:p>
            <w:pPr>
              <w:pStyle w:val="19"/>
            </w:pPr>
            <w:r>
              <w:t>145.16</w:t>
            </w:r>
          </w:p>
        </w:tc>
        <w:tc>
          <w:tcPr>
            <w:tcW w:w="1134" w:type="dxa"/>
            <w:tcBorders>
              <w:top w:val="single" w:sz="6" w:space="0" w:color="auto"/>
              <w:left w:val="single" w:sz="6" w:space="0" w:color="auto"/>
              <w:right w:val="single" w:sz="6" w:space="0" w:color="auto"/>
            </w:tcBorders>
            <w:vAlign w:val="center"/>
          </w:tcPr>
          <w:p>
            <w:pPr>
              <w:pStyle w:val="19"/>
            </w:pPr>
            <w:r>
              <w:t>141.86</w:t>
            </w:r>
          </w:p>
        </w:tc>
        <w:tc>
          <w:tcPr>
            <w:tcW w:w="1134" w:type="dxa"/>
            <w:tcBorders>
              <w:top w:val="single" w:sz="6" w:space="0" w:color="auto"/>
              <w:left w:val="single" w:sz="6" w:space="0" w:color="auto"/>
              <w:right w:val="single" w:sz="6" w:space="0" w:color="auto"/>
            </w:tcBorders>
            <w:vAlign w:val="center"/>
          </w:tcPr>
          <w:p>
            <w:pPr>
              <w:pStyle w:val="19"/>
            </w:pPr>
            <w:r>
              <w:t>141.86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2101501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2101502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34.31</w:t>
            </w:r>
          </w:p>
        </w:tc>
        <w:tc>
          <w:tcPr>
            <w:tcW w:w="1134" w:type="dxa"/>
            <w:tcBorders>
              <w:top w:val="single" w:sz="6" w:space="0" w:color="auto"/>
              <w:left w:val="single" w:sz="6" w:space="0" w:color="auto"/>
              <w:right w:val="single" w:sz="6" w:space="0" w:color="auto"/>
            </w:tcBorders>
            <w:vAlign w:val="center"/>
          </w:tcPr>
          <w:p>
            <w:pPr>
              <w:pStyle w:val="19"/>
            </w:pPr>
            <w:r>
              <w:t>31.00</w:t>
            </w:r>
          </w:p>
        </w:tc>
        <w:tc>
          <w:tcPr>
            <w:tcW w:w="1134" w:type="dxa"/>
            <w:tcBorders>
              <w:top w:val="single" w:sz="6" w:space="0" w:color="auto"/>
              <w:left w:val="single" w:sz="6" w:space="0" w:color="auto"/>
              <w:right w:val="single" w:sz="6" w:space="0" w:color="auto"/>
            </w:tcBorders>
            <w:vAlign w:val="center"/>
          </w:tcPr>
          <w:p>
            <w:pPr>
              <w:pStyle w:val="19"/>
            </w:pPr>
            <w:r>
              <w:t>31.00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45.25</w:t>
            </w:r>
          </w:p>
        </w:tc>
        <w:tc>
          <w:tcPr>
            <w:tcW w:w="1134" w:type="dxa"/>
            <w:tcBorders>
              <w:top w:val="single" w:sz="6" w:space="0" w:color="auto"/>
              <w:left w:val="single" w:sz="6" w:space="0" w:color="auto"/>
              <w:right w:val="single" w:sz="6" w:space="0" w:color="auto"/>
            </w:tcBorders>
            <w:vAlign w:val="center"/>
          </w:tcPr>
          <w:p>
            <w:pPr>
              <w:pStyle w:val="19"/>
            </w:pPr>
            <w:r>
              <w:t>45.25</w:t>
            </w:r>
          </w:p>
        </w:tc>
        <w:tc>
          <w:tcPr>
            <w:tcW w:w="1134" w:type="dxa"/>
            <w:tcBorders>
              <w:top w:val="single" w:sz="6" w:space="0" w:color="auto"/>
              <w:left w:val="single" w:sz="6" w:space="0" w:color="auto"/>
              <w:right w:val="single" w:sz="6" w:space="0" w:color="auto"/>
            </w:tcBorders>
            <w:vAlign w:val="center"/>
          </w:tcPr>
          <w:p>
            <w:pPr>
              <w:pStyle w:val="19"/>
            </w:pPr>
            <w:r>
              <w:t>45.25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r>
              <w:t>7.65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178.31</w:t>
            </w:r>
          </w:p>
        </w:tc>
        <w:tc>
          <w:tcPr>
            <w:tcW w:w="1361" w:type="dxa"/>
            <w:tcBorders>
              <w:top w:val="single" w:sz="6" w:space="0" w:color="auto"/>
              <w:left w:val="single" w:sz="6" w:space="0" w:color="auto"/>
              <w:right w:val="single" w:sz="6" w:space="0" w:color="auto"/>
            </w:tcBorders>
            <w:vAlign w:val="center"/>
          </w:tcPr>
          <w:p>
            <w:pPr>
              <w:pStyle w:val="23"/>
            </w:pPr>
            <w:r>
              <w:t>144.00</w:t>
            </w:r>
          </w:p>
        </w:tc>
        <w:tc>
          <w:tcPr>
            <w:tcW w:w="1361" w:type="dxa"/>
            <w:tcBorders>
              <w:top w:val="single" w:sz="6" w:space="0" w:color="auto"/>
              <w:left w:val="single" w:sz="6" w:space="0" w:color="auto"/>
              <w:right w:val="single" w:sz="6" w:space="0" w:color="auto"/>
            </w:tcBorders>
            <w:vAlign w:val="center"/>
          </w:tcPr>
          <w:p>
            <w:pPr>
              <w:pStyle w:val="23"/>
            </w:pPr>
            <w:r>
              <w:t>34.31</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16.89</w:t>
            </w:r>
          </w:p>
        </w:tc>
        <w:tc>
          <w:tcPr>
            <w:tcW w:w="1361" w:type="dxa"/>
            <w:tcBorders>
              <w:top w:val="single" w:sz="6" w:space="0" w:color="auto"/>
              <w:left w:val="single" w:sz="6" w:space="0" w:color="auto"/>
              <w:right w:val="single" w:sz="6" w:space="0" w:color="auto"/>
            </w:tcBorders>
            <w:vAlign w:val="center"/>
          </w:tcPr>
          <w:p>
            <w:pPr>
              <w:pStyle w:val="19"/>
            </w:pPr>
            <w:r>
              <w:t>16.89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16.89</w:t>
            </w:r>
          </w:p>
        </w:tc>
        <w:tc>
          <w:tcPr>
            <w:tcW w:w="1361" w:type="dxa"/>
            <w:tcBorders>
              <w:top w:val="single" w:sz="6" w:space="0" w:color="auto"/>
              <w:left w:val="single" w:sz="6" w:space="0" w:color="auto"/>
              <w:right w:val="single" w:sz="6" w:space="0" w:color="auto"/>
            </w:tcBorders>
            <w:vAlign w:val="center"/>
          </w:tcPr>
          <w:p>
            <w:pPr>
              <w:pStyle w:val="19"/>
            </w:pPr>
            <w:r>
              <w:t>16.89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15.69</w:t>
            </w:r>
          </w:p>
        </w:tc>
        <w:tc>
          <w:tcPr>
            <w:tcW w:w="1361" w:type="dxa"/>
            <w:tcBorders>
              <w:top w:val="single" w:sz="6" w:space="0" w:color="auto"/>
              <w:left w:val="single" w:sz="6" w:space="0" w:color="auto"/>
              <w:right w:val="single" w:sz="6" w:space="0" w:color="auto"/>
            </w:tcBorders>
            <w:vAlign w:val="center"/>
          </w:tcPr>
          <w:p>
            <w:pPr>
              <w:pStyle w:val="19"/>
            </w:pPr>
            <w:r>
              <w:t>15.69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1.20</w:t>
            </w:r>
          </w:p>
        </w:tc>
        <w:tc>
          <w:tcPr>
            <w:tcW w:w="1361" w:type="dxa"/>
            <w:tcBorders>
              <w:top w:val="single" w:sz="6" w:space="0" w:color="auto"/>
              <w:left w:val="single" w:sz="6" w:space="0" w:color="auto"/>
              <w:right w:val="single" w:sz="6" w:space="0" w:color="auto"/>
            </w:tcBorders>
            <w:vAlign w:val="center"/>
          </w:tcPr>
          <w:p>
            <w:pPr>
              <w:pStyle w:val="19"/>
            </w:pPr>
            <w:r>
              <w:t>1.20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153.77</w:t>
            </w:r>
          </w:p>
        </w:tc>
        <w:tc>
          <w:tcPr>
            <w:tcW w:w="1361" w:type="dxa"/>
            <w:tcBorders>
              <w:top w:val="single" w:sz="6" w:space="0" w:color="auto"/>
              <w:left w:val="single" w:sz="6" w:space="0" w:color="auto"/>
              <w:right w:val="single" w:sz="6" w:space="0" w:color="auto"/>
            </w:tcBorders>
            <w:vAlign w:val="center"/>
          </w:tcPr>
          <w:p>
            <w:pPr>
              <w:pStyle w:val="19"/>
            </w:pPr>
            <w:r>
              <w:t>119.46</w:t>
            </w: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8.61</w:t>
            </w:r>
          </w:p>
        </w:tc>
        <w:tc>
          <w:tcPr>
            <w:tcW w:w="1361" w:type="dxa"/>
            <w:tcBorders>
              <w:top w:val="single" w:sz="6" w:space="0" w:color="auto"/>
              <w:left w:val="single" w:sz="6" w:space="0" w:color="auto"/>
              <w:right w:val="single" w:sz="6" w:space="0" w:color="auto"/>
            </w:tcBorders>
            <w:vAlign w:val="center"/>
          </w:tcPr>
          <w:p>
            <w:pPr>
              <w:pStyle w:val="19"/>
            </w:pPr>
            <w:r>
              <w:t>8.61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4.64</w:t>
            </w:r>
          </w:p>
        </w:tc>
        <w:tc>
          <w:tcPr>
            <w:tcW w:w="1361" w:type="dxa"/>
            <w:tcBorders>
              <w:top w:val="single" w:sz="6" w:space="0" w:color="auto"/>
              <w:left w:val="single" w:sz="6" w:space="0" w:color="auto"/>
              <w:right w:val="single" w:sz="6" w:space="0" w:color="auto"/>
            </w:tcBorders>
            <w:vAlign w:val="center"/>
          </w:tcPr>
          <w:p>
            <w:pPr>
              <w:pStyle w:val="19"/>
            </w:pPr>
            <w:r>
              <w:t>4.64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3.96</w:t>
            </w:r>
          </w:p>
        </w:tc>
        <w:tc>
          <w:tcPr>
            <w:tcW w:w="1361" w:type="dxa"/>
            <w:tcBorders>
              <w:top w:val="single" w:sz="6" w:space="0" w:color="auto"/>
              <w:left w:val="single" w:sz="6" w:space="0" w:color="auto"/>
              <w:right w:val="single" w:sz="6" w:space="0" w:color="auto"/>
            </w:tcBorders>
            <w:vAlign w:val="center"/>
          </w:tcPr>
          <w:p>
            <w:pPr>
              <w:pStyle w:val="19"/>
            </w:pPr>
            <w:r>
              <w:t>3.96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1361" w:type="dxa"/>
            <w:tcBorders>
              <w:top w:val="single" w:sz="6" w:space="0" w:color="auto"/>
              <w:left w:val="single" w:sz="6" w:space="0" w:color="auto"/>
              <w:right w:val="single" w:sz="6" w:space="0" w:color="auto"/>
            </w:tcBorders>
            <w:vAlign w:val="center"/>
          </w:tcPr>
          <w:p>
            <w:pPr>
              <w:pStyle w:val="19"/>
            </w:pPr>
            <w:r>
              <w:t>145.16</w:t>
            </w:r>
          </w:p>
        </w:tc>
        <w:tc>
          <w:tcPr>
            <w:tcW w:w="1361" w:type="dxa"/>
            <w:tcBorders>
              <w:top w:val="single" w:sz="6" w:space="0" w:color="auto"/>
              <w:left w:val="single" w:sz="6" w:space="0" w:color="auto"/>
              <w:right w:val="single" w:sz="6" w:space="0" w:color="auto"/>
            </w:tcBorders>
            <w:vAlign w:val="center"/>
          </w:tcPr>
          <w:p>
            <w:pPr>
              <w:pStyle w:val="19"/>
            </w:pPr>
            <w:r>
              <w:t>110.86</w:t>
            </w: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2101501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65.61</w:t>
            </w:r>
          </w:p>
        </w:tc>
        <w:tc>
          <w:tcPr>
            <w:tcW w:w="1361" w:type="dxa"/>
            <w:tcBorders>
              <w:top w:val="single" w:sz="6" w:space="0" w:color="auto"/>
              <w:left w:val="single" w:sz="6" w:space="0" w:color="auto"/>
              <w:right w:val="single" w:sz="6" w:space="0" w:color="auto"/>
            </w:tcBorders>
            <w:vAlign w:val="center"/>
          </w:tcPr>
          <w:p>
            <w:pPr>
              <w:pStyle w:val="19"/>
            </w:pPr>
            <w:r>
              <w:t>65.61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2101502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45.25</w:t>
            </w:r>
          </w:p>
        </w:tc>
        <w:tc>
          <w:tcPr>
            <w:tcW w:w="1361" w:type="dxa"/>
            <w:tcBorders>
              <w:top w:val="single" w:sz="6" w:space="0" w:color="auto"/>
              <w:left w:val="single" w:sz="6" w:space="0" w:color="auto"/>
              <w:right w:val="single" w:sz="6" w:space="0" w:color="auto"/>
            </w:tcBorders>
            <w:vAlign w:val="center"/>
          </w:tcPr>
          <w:p>
            <w:pPr>
              <w:pStyle w:val="19"/>
            </w:pPr>
            <w:r>
              <w:t>45.25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r>
              <w:t>7.65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175.00</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16.89</w:t>
            </w:r>
          </w:p>
        </w:tc>
        <w:tc>
          <w:tcPr>
            <w:tcW w:w="1474" w:type="dxa"/>
            <w:tcBorders>
              <w:top w:val="single" w:sz="6" w:space="0" w:color="auto"/>
              <w:left w:val="single" w:sz="6" w:space="0" w:color="auto"/>
              <w:right w:val="single" w:sz="6" w:space="0" w:color="auto"/>
            </w:tcBorders>
            <w:vAlign w:val="center"/>
          </w:tcPr>
          <w:p>
            <w:pPr>
              <w:pStyle w:val="19"/>
            </w:pPr>
            <w:r>
              <w:t>16.89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153.77</w:t>
            </w:r>
          </w:p>
        </w:tc>
        <w:tc>
          <w:tcPr>
            <w:tcW w:w="1474" w:type="dxa"/>
            <w:tcBorders>
              <w:top w:val="single" w:sz="6" w:space="0" w:color="auto"/>
              <w:left w:val="single" w:sz="6" w:space="0" w:color="auto"/>
              <w:right w:val="single" w:sz="6" w:space="0" w:color="auto"/>
            </w:tcBorders>
            <w:vAlign w:val="center"/>
          </w:tcPr>
          <w:p>
            <w:pPr>
              <w:pStyle w:val="19"/>
            </w:pPr>
            <w:r>
              <w:t>153.77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7.65</w:t>
            </w:r>
          </w:p>
        </w:tc>
        <w:tc>
          <w:tcPr>
            <w:tcW w:w="1474" w:type="dxa"/>
            <w:tcBorders>
              <w:top w:val="single" w:sz="6" w:space="0" w:color="auto"/>
              <w:left w:val="single" w:sz="6" w:space="0" w:color="auto"/>
              <w:right w:val="single" w:sz="6" w:space="0" w:color="auto"/>
            </w:tcBorders>
            <w:vAlign w:val="center"/>
          </w:tcPr>
          <w:p>
            <w:pPr>
              <w:pStyle w:val="19"/>
            </w:pPr>
            <w:r>
              <w:t>7.65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175.00</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178.31</w:t>
            </w:r>
          </w:p>
        </w:tc>
        <w:tc>
          <w:tcPr>
            <w:tcW w:w="1474" w:type="dxa"/>
            <w:tcBorders>
              <w:top w:val="single" w:sz="6" w:space="0" w:color="auto"/>
              <w:left w:val="single" w:sz="6" w:space="0" w:color="auto"/>
              <w:right w:val="single" w:sz="6" w:space="0" w:color="auto"/>
            </w:tcBorders>
            <w:vAlign w:val="center"/>
          </w:tcPr>
          <w:p>
            <w:pPr>
              <w:pStyle w:val="23"/>
            </w:pPr>
            <w:r>
              <w:t>178.31</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3.31</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178.31</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178.31</w:t>
            </w:r>
          </w:p>
        </w:tc>
        <w:tc>
          <w:tcPr>
            <w:tcW w:w="1474" w:type="dxa"/>
            <w:tcBorders>
              <w:top w:val="single" w:sz="6" w:space="0" w:color="auto"/>
              <w:left w:val="single" w:sz="6" w:space="0" w:color="auto"/>
              <w:right w:val="single" w:sz="6" w:space="0" w:color="auto"/>
            </w:tcBorders>
            <w:vAlign w:val="center"/>
          </w:tcPr>
          <w:p>
            <w:pPr>
              <w:pStyle w:val="23"/>
            </w:pPr>
            <w:r>
              <w:t>178.31</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178.31</w:t>
            </w:r>
          </w:p>
        </w:tc>
        <w:tc>
          <w:tcPr>
            <w:tcW w:w="2551" w:type="dxa"/>
            <w:tcBorders>
              <w:top w:val="single" w:sz="6" w:space="0" w:color="auto"/>
              <w:left w:val="single" w:sz="6" w:space="0" w:color="auto"/>
              <w:right w:val="single" w:sz="6" w:space="0" w:color="auto"/>
            </w:tcBorders>
            <w:vAlign w:val="center"/>
          </w:tcPr>
          <w:p>
            <w:pPr>
              <w:pStyle w:val="23"/>
            </w:pPr>
            <w:r>
              <w:t>144.00</w:t>
            </w:r>
          </w:p>
        </w:tc>
        <w:tc>
          <w:tcPr>
            <w:tcW w:w="2551" w:type="dxa"/>
            <w:vAlign w:val="center"/>
          </w:tcPr>
          <w:p>
            <w:pPr>
              <w:pStyle w:val="23"/>
            </w:pPr>
            <w:r>
              <w:t>34.31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16.89</w:t>
            </w:r>
          </w:p>
        </w:tc>
        <w:tc>
          <w:tcPr>
            <w:tcW w:w="2551" w:type="dxa"/>
            <w:tcBorders>
              <w:top w:val="single" w:sz="6" w:space="0" w:color="auto"/>
              <w:left w:val="single" w:sz="6" w:space="0" w:color="auto"/>
              <w:right w:val="single" w:sz="6" w:space="0" w:color="auto"/>
            </w:tcBorders>
            <w:vAlign w:val="center"/>
          </w:tcPr>
          <w:p>
            <w:pPr>
              <w:pStyle w:val="19"/>
            </w:pPr>
            <w:r>
              <w:t>16.89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16.89</w:t>
            </w:r>
          </w:p>
        </w:tc>
        <w:tc>
          <w:tcPr>
            <w:tcW w:w="2551" w:type="dxa"/>
            <w:tcBorders>
              <w:top w:val="single" w:sz="6" w:space="0" w:color="auto"/>
              <w:left w:val="single" w:sz="6" w:space="0" w:color="auto"/>
              <w:right w:val="single" w:sz="6" w:space="0" w:color="auto"/>
            </w:tcBorders>
            <w:vAlign w:val="center"/>
          </w:tcPr>
          <w:p>
            <w:pPr>
              <w:pStyle w:val="19"/>
            </w:pPr>
            <w:r>
              <w:t>16.89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15.69</w:t>
            </w:r>
          </w:p>
        </w:tc>
        <w:tc>
          <w:tcPr>
            <w:tcW w:w="2551" w:type="dxa"/>
            <w:tcBorders>
              <w:top w:val="single" w:sz="6" w:space="0" w:color="auto"/>
              <w:left w:val="single" w:sz="6" w:space="0" w:color="auto"/>
              <w:right w:val="single" w:sz="6" w:space="0" w:color="auto"/>
            </w:tcBorders>
            <w:vAlign w:val="center"/>
          </w:tcPr>
          <w:p>
            <w:pPr>
              <w:pStyle w:val="19"/>
            </w:pPr>
            <w:r>
              <w:t>15.69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153.77</w:t>
            </w:r>
          </w:p>
        </w:tc>
        <w:tc>
          <w:tcPr>
            <w:tcW w:w="2551" w:type="dxa"/>
            <w:tcBorders>
              <w:top w:val="single" w:sz="6" w:space="0" w:color="auto"/>
              <w:left w:val="single" w:sz="6" w:space="0" w:color="auto"/>
              <w:right w:val="single" w:sz="6" w:space="0" w:color="auto"/>
            </w:tcBorders>
            <w:vAlign w:val="center"/>
          </w:tcPr>
          <w:p>
            <w:pPr>
              <w:pStyle w:val="19"/>
            </w:pPr>
            <w:r>
              <w:t>119.46</w:t>
            </w:r>
          </w:p>
        </w:tc>
        <w:tc>
          <w:tcPr>
            <w:tcW w:w="2551" w:type="dxa"/>
            <w:vAlign w:val="center"/>
          </w:tcPr>
          <w:p>
            <w:pPr>
              <w:pStyle w:val="19"/>
            </w:pPr>
            <w:r>
              <w:t>34.31</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8.61</w:t>
            </w:r>
          </w:p>
        </w:tc>
        <w:tc>
          <w:tcPr>
            <w:tcW w:w="2551" w:type="dxa"/>
            <w:tcBorders>
              <w:top w:val="single" w:sz="6" w:space="0" w:color="auto"/>
              <w:left w:val="single" w:sz="6" w:space="0" w:color="auto"/>
              <w:right w:val="single" w:sz="6" w:space="0" w:color="auto"/>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4.64</w:t>
            </w:r>
          </w:p>
        </w:tc>
        <w:tc>
          <w:tcPr>
            <w:tcW w:w="2551" w:type="dxa"/>
            <w:tcBorders>
              <w:top w:val="single" w:sz="6" w:space="0" w:color="auto"/>
              <w:left w:val="single" w:sz="6" w:space="0" w:color="auto"/>
              <w:right w:val="single" w:sz="6" w:space="0" w:color="auto"/>
            </w:tcBorders>
            <w:vAlign w:val="center"/>
          </w:tcPr>
          <w:p>
            <w:pPr>
              <w:pStyle w:val="19"/>
            </w:pPr>
            <w:r>
              <w:t>4.64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3.96</w:t>
            </w:r>
          </w:p>
        </w:tc>
        <w:tc>
          <w:tcPr>
            <w:tcW w:w="2551" w:type="dxa"/>
            <w:tcBorders>
              <w:top w:val="single" w:sz="6" w:space="0" w:color="auto"/>
              <w:left w:val="single" w:sz="6" w:space="0" w:color="auto"/>
              <w:right w:val="single" w:sz="6" w:space="0" w:color="auto"/>
            </w:tcBorders>
            <w:vAlign w:val="center"/>
          </w:tcPr>
          <w:p>
            <w:pPr>
              <w:pStyle w:val="19"/>
            </w:pPr>
            <w:r>
              <w:t>3.96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2551" w:type="dxa"/>
            <w:tcBorders>
              <w:top w:val="single" w:sz="6" w:space="0" w:color="auto"/>
              <w:left w:val="single" w:sz="6" w:space="0" w:color="auto"/>
              <w:right w:val="single" w:sz="6" w:space="0" w:color="auto"/>
            </w:tcBorders>
            <w:vAlign w:val="center"/>
          </w:tcPr>
          <w:p>
            <w:pPr>
              <w:pStyle w:val="19"/>
            </w:pPr>
            <w:r>
              <w:t>145.16</w:t>
            </w:r>
          </w:p>
        </w:tc>
        <w:tc>
          <w:tcPr>
            <w:tcW w:w="2551" w:type="dxa"/>
            <w:tcBorders>
              <w:top w:val="single" w:sz="6" w:space="0" w:color="auto"/>
              <w:left w:val="single" w:sz="6" w:space="0" w:color="auto"/>
              <w:right w:val="single" w:sz="6" w:space="0" w:color="auto"/>
            </w:tcBorders>
            <w:vAlign w:val="center"/>
          </w:tcPr>
          <w:p>
            <w:pPr>
              <w:pStyle w:val="19"/>
            </w:pPr>
            <w:r>
              <w:t>110.86</w:t>
            </w:r>
          </w:p>
        </w:tc>
        <w:tc>
          <w:tcPr>
            <w:tcW w:w="2551" w:type="dxa"/>
            <w:vAlign w:val="center"/>
          </w:tcPr>
          <w:p>
            <w:pPr>
              <w:pStyle w:val="19"/>
            </w:pPr>
            <w:r>
              <w:t>34.31</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2101501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65.61</w:t>
            </w:r>
          </w:p>
        </w:tc>
        <w:tc>
          <w:tcPr>
            <w:tcW w:w="2551" w:type="dxa"/>
            <w:tcBorders>
              <w:top w:val="single" w:sz="6" w:space="0" w:color="auto"/>
              <w:left w:val="single" w:sz="6" w:space="0" w:color="auto"/>
              <w:right w:val="single" w:sz="6" w:space="0" w:color="auto"/>
            </w:tcBorders>
            <w:vAlign w:val="center"/>
          </w:tcPr>
          <w:p>
            <w:pPr>
              <w:pStyle w:val="19"/>
            </w:pPr>
            <w:r>
              <w:t>65.61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2101502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34.31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34.31</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45.25</w:t>
            </w:r>
          </w:p>
        </w:tc>
        <w:tc>
          <w:tcPr>
            <w:tcW w:w="2551" w:type="dxa"/>
            <w:tcBorders>
              <w:top w:val="single" w:sz="6" w:space="0" w:color="auto"/>
              <w:left w:val="single" w:sz="6" w:space="0" w:color="auto"/>
              <w:right w:val="single" w:sz="6" w:space="0" w:color="auto"/>
            </w:tcBorders>
            <w:vAlign w:val="center"/>
          </w:tcPr>
          <w:p>
            <w:pPr>
              <w:pStyle w:val="19"/>
            </w:pPr>
            <w:r>
              <w:t>45.25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144.00</w:t>
            </w:r>
          </w:p>
        </w:tc>
        <w:tc>
          <w:tcPr>
            <w:tcW w:w="2551" w:type="dxa"/>
            <w:tcBorders>
              <w:top w:val="single" w:sz="6" w:space="0" w:color="auto"/>
              <w:left w:val="single" w:sz="6" w:space="0" w:color="auto"/>
              <w:right w:val="single" w:sz="6" w:space="0" w:color="auto"/>
            </w:tcBorders>
            <w:vAlign w:val="center"/>
          </w:tcPr>
          <w:p>
            <w:pPr>
              <w:pStyle w:val="23"/>
            </w:pPr>
            <w:r>
              <w:t>131.68</w:t>
            </w:r>
          </w:p>
        </w:tc>
        <w:tc>
          <w:tcPr>
            <w:tcW w:w="2551" w:type="dxa"/>
            <w:vAlign w:val="center"/>
          </w:tcPr>
          <w:p>
            <w:pPr>
              <w:pStyle w:val="23"/>
            </w:pPr>
            <w:r>
              <w:t>12.32</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131.68</w:t>
            </w:r>
          </w:p>
        </w:tc>
        <w:tc>
          <w:tcPr>
            <w:tcW w:w="2551" w:type="dxa"/>
            <w:tcBorders>
              <w:top w:val="single" w:sz="6" w:space="0" w:color="auto"/>
              <w:left w:val="single" w:sz="6" w:space="0" w:color="auto"/>
              <w:right w:val="single" w:sz="6" w:space="0" w:color="auto"/>
            </w:tcBorders>
            <w:vAlign w:val="center"/>
          </w:tcPr>
          <w:p>
            <w:pPr>
              <w:pStyle w:val="19"/>
            </w:pPr>
            <w:r>
              <w:t>131.68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58.79</w:t>
            </w:r>
          </w:p>
        </w:tc>
        <w:tc>
          <w:tcPr>
            <w:tcW w:w="2551" w:type="dxa"/>
            <w:tcBorders>
              <w:top w:val="single" w:sz="6" w:space="0" w:color="auto"/>
              <w:left w:val="single" w:sz="6" w:space="0" w:color="auto"/>
              <w:right w:val="single" w:sz="6" w:space="0" w:color="auto"/>
            </w:tcBorders>
            <w:vAlign w:val="center"/>
          </w:tcPr>
          <w:p>
            <w:pPr>
              <w:pStyle w:val="19"/>
            </w:pPr>
            <w:r>
              <w:t>58.79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16.63</w:t>
            </w:r>
          </w:p>
        </w:tc>
        <w:tc>
          <w:tcPr>
            <w:tcW w:w="2551" w:type="dxa"/>
            <w:tcBorders>
              <w:top w:val="single" w:sz="6" w:space="0" w:color="auto"/>
              <w:left w:val="single" w:sz="6" w:space="0" w:color="auto"/>
              <w:right w:val="single" w:sz="6" w:space="0" w:color="auto"/>
            </w:tcBorders>
            <w:vAlign w:val="center"/>
          </w:tcPr>
          <w:p>
            <w:pPr>
              <w:pStyle w:val="19"/>
            </w:pPr>
            <w:r>
              <w:t>16.63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7.62</w:t>
            </w:r>
          </w:p>
        </w:tc>
        <w:tc>
          <w:tcPr>
            <w:tcW w:w="2551" w:type="dxa"/>
            <w:tcBorders>
              <w:top w:val="single" w:sz="6" w:space="0" w:color="auto"/>
              <w:left w:val="single" w:sz="6" w:space="0" w:color="auto"/>
              <w:right w:val="single" w:sz="6" w:space="0" w:color="auto"/>
            </w:tcBorders>
            <w:vAlign w:val="center"/>
          </w:tcPr>
          <w:p>
            <w:pPr>
              <w:pStyle w:val="19"/>
            </w:pPr>
            <w:r>
              <w:t>7.62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14.77</w:t>
            </w:r>
          </w:p>
        </w:tc>
        <w:tc>
          <w:tcPr>
            <w:tcW w:w="2551" w:type="dxa"/>
            <w:tcBorders>
              <w:top w:val="single" w:sz="6" w:space="0" w:color="auto"/>
              <w:left w:val="single" w:sz="6" w:space="0" w:color="auto"/>
              <w:right w:val="single" w:sz="6" w:space="0" w:color="auto"/>
            </w:tcBorders>
            <w:vAlign w:val="center"/>
          </w:tcPr>
          <w:p>
            <w:pPr>
              <w:pStyle w:val="19"/>
            </w:pPr>
            <w:r>
              <w:t>14.77</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15.69</w:t>
            </w:r>
          </w:p>
        </w:tc>
        <w:tc>
          <w:tcPr>
            <w:tcW w:w="2551" w:type="dxa"/>
            <w:tcBorders>
              <w:top w:val="single" w:sz="6" w:space="0" w:color="auto"/>
              <w:left w:val="single" w:sz="6" w:space="0" w:color="auto"/>
              <w:right w:val="single" w:sz="6" w:space="0" w:color="auto"/>
            </w:tcBorders>
            <w:vAlign w:val="center"/>
          </w:tcPr>
          <w:p>
            <w:pPr>
              <w:pStyle w:val="19"/>
            </w:pPr>
            <w:r>
              <w:t>15.69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8.61</w:t>
            </w:r>
          </w:p>
        </w:tc>
        <w:tc>
          <w:tcPr>
            <w:tcW w:w="2551" w:type="dxa"/>
            <w:tcBorders>
              <w:top w:val="single" w:sz="6" w:space="0" w:color="auto"/>
              <w:left w:val="single" w:sz="6" w:space="0" w:color="auto"/>
              <w:right w:val="single" w:sz="6" w:space="0" w:color="auto"/>
            </w:tcBorders>
            <w:vAlign w:val="center"/>
          </w:tcPr>
          <w:p>
            <w:pPr>
              <w:pStyle w:val="19"/>
            </w:pPr>
            <w:r>
              <w:t>8.61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0.73</w:t>
            </w:r>
          </w:p>
        </w:tc>
        <w:tc>
          <w:tcPr>
            <w:tcW w:w="2551" w:type="dxa"/>
            <w:tcBorders>
              <w:top w:val="single" w:sz="6" w:space="0" w:color="auto"/>
              <w:left w:val="single" w:sz="6" w:space="0" w:color="auto"/>
              <w:right w:val="single" w:sz="6" w:space="0" w:color="auto"/>
            </w:tcBorders>
            <w:vAlign w:val="center"/>
          </w:tcPr>
          <w:p>
            <w:pPr>
              <w:pStyle w:val="19"/>
            </w:pPr>
            <w:r>
              <w:t>0.73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tcBorders>
              <w:top w:val="single" w:sz="6" w:space="0" w:color="auto"/>
              <w:left w:val="single" w:sz="6" w:space="0" w:color="auto"/>
              <w:right w:val="single" w:sz="6" w:space="0" w:color="auto"/>
            </w:tcBorders>
            <w:vAlign w:val="center"/>
          </w:tcPr>
          <w:p>
            <w:pPr>
              <w:pStyle w:val="19"/>
            </w:pPr>
            <w:r>
              <w:t>7.65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12.32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12.32</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1.17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1.17</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4.80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0.15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450001昌黎县医疗保障局本级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昌黎县医疗保障局本级2025年单位预算信息公开情况说明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按照《中华人民共和国预算法》、《地方预决算公开操作规程》和《关于进一步推进预算公开工作的实施意见》规定，现将昌黎县医疗保障局本级2025年单位预算公开如下：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根据《昌黎县医疗保障局职能配置、内设机构和人员编制规定》，昌黎县医疗保障局的主要职责是：</w:t>
      </w:r>
    </w:p>
    <w:p>
      <w:pPr>
        <w:pStyle w:val="25"/>
      </w:pPr>
      <w:r>
        <w:t>1、贯彻执行城镇职工和城乡居民医疗保险、生育保险、医疗救助等医疗保障政府规章以及政策、制度、规划和标准。</w:t>
      </w:r>
    </w:p>
    <w:p>
      <w:pPr>
        <w:pStyle w:val="25"/>
      </w:pPr>
      <w:r>
        <w:t>2、贯彻执行医疗保障基金监督管理办法，建立健全医疗保障基金安全防控机制，加强智能监控平台建设，推进医疗保障基金支付方式改革。</w:t>
      </w:r>
    </w:p>
    <w:p>
      <w:pPr>
        <w:pStyle w:val="25"/>
      </w:pPr>
      <w:r>
        <w:t>3、贯彻执行城镇职工、城乡居民参保筹资和保障待遇政策。拟定长期护理保险制度方案及政策标准并组织实施。</w:t>
      </w:r>
    </w:p>
    <w:p>
      <w:pPr>
        <w:pStyle w:val="25"/>
      </w:pPr>
      <w:r>
        <w:t>4、根据省医保目录和市级实施办法及时组织维护全县城乡统一的药品、医用耗材、医疗服务项目、医疗服务设施等医保目录和支付标准，建立动态调整机制。</w:t>
      </w:r>
    </w:p>
    <w:p>
      <w:pPr>
        <w:pStyle w:val="25"/>
      </w:pPr>
      <w:r>
        <w:t>5、贯彻执行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5"/>
      </w:pPr>
      <w:r>
        <w:t>6、执行全市药品、医用耗材的招标采购政策，加强药品、医用耗材招标采购平台建设。</w:t>
      </w:r>
    </w:p>
    <w:p>
      <w:pPr>
        <w:pStyle w:val="25"/>
      </w:pPr>
      <w:r>
        <w:t>7、完成县委、县政府交办的其他任务。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昌黎县医疗保障局本级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178.31万元，其中：一般公共预算收入175.00万元，基金预算收入0.00万元，国有资本经营预算收入0.00万元，财政专户核拨收入0.00万元，单位资金收入0.00万元，上年结转结余3.31万元。</w:t>
      </w:r>
    </w:p>
    <w:p>
      <w:pPr>
        <w:pStyle w:val="26"/>
      </w:pPr>
      <w:r>
        <w:t>2、支出说明</w:t>
      </w:r>
    </w:p>
    <w:p>
      <w:pPr>
        <w:pStyle w:val="26"/>
      </w:pPr>
      <w:r>
        <w:t>收支预算总表支出栏、基本支出表、项目支出表按经济分类和支出功能分类科目编制，反映昌黎县医疗保障局本级年度单位预算中支出预算的总体情况。2025年支出预算178.31万元，其中基本支出144.00万元，包括人员经费131.68万元和日常公用经费12.32万元；项目支出34.31万元，主要为2025年中央财政医疗服务与保障能力提升补助资金项目31万元，结转2024年中央财政医疗服务与保障能力提升补助资金项目3.3084万元。</w:t>
      </w:r>
    </w:p>
    <w:p>
      <w:pPr>
        <w:pStyle w:val="26"/>
      </w:pPr>
      <w:r>
        <w:t>3、比上年增减情况</w:t>
      </w:r>
    </w:p>
    <w:p>
      <w:pPr>
        <w:pStyle w:val="26"/>
      </w:pPr>
      <w:r>
        <w:t>2025年预算收支安排178.31万元，较2024年预算增加14.34万元，其中：基本支出增加13.27万元，主要为2025年新增人员两人，人员经费增加。项目支出增加1.07万元，主要为因政策调整，能力提升补助资金增加。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2025年，我单位机关运行经费共计安排12.32万元，主要用于日常维修、办公用房水电费、办公用房取暖费、办公用房物业管理费等日常运行支出。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1、2024年中央财政医疗服务与保障能力提升补助资金绩效目标表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13032224P0042LF10014W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2024年中央财政医疗服务与保障能力提升补助资金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用于中央财政医疗服务与保障能力提升相关支出。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1.贯彻执行医疗保障基金监督管理办法。建立健全医疗保障基金安全防控机制，建立健全医疗保障信用评价体系和信息披露制度。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召开医保工作会议或培训</w:t>
            </w:r>
          </w:p>
        </w:tc>
        <w:tc>
          <w:tcPr>
            <w:tcW w:w="5386" w:type="dxa"/>
            <w:tcBorders>
              <w:top w:val="single" w:sz="6" w:space="0" w:color="auto"/>
              <w:left w:val="single" w:sz="6" w:space="0" w:color="auto"/>
              <w:right w:val="single" w:sz="6" w:space="0" w:color="auto"/>
            </w:tcBorders>
            <w:vAlign w:val="center"/>
          </w:tcPr>
          <w:p>
            <w:pPr>
              <w:pStyle w:val="20"/>
            </w:pPr>
            <w:r>
              <w:t>召开医保工作会议或培训</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医保信息系统正常运行率</w:t>
            </w:r>
          </w:p>
        </w:tc>
        <w:tc>
          <w:tcPr>
            <w:tcW w:w="5386" w:type="dxa"/>
            <w:tcBorders>
              <w:top w:val="single" w:sz="6" w:space="0" w:color="auto"/>
              <w:left w:val="single" w:sz="6" w:space="0" w:color="auto"/>
              <w:right w:val="single" w:sz="6" w:space="0" w:color="auto"/>
            </w:tcBorders>
            <w:vAlign w:val="center"/>
          </w:tcPr>
          <w:p>
            <w:pPr>
              <w:pStyle w:val="20"/>
            </w:pPr>
            <w:r>
              <w:t>医保信息系统正常运行率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电子医疗凭证运行时间</w:t>
            </w:r>
          </w:p>
        </w:tc>
        <w:tc>
          <w:tcPr>
            <w:tcW w:w="5386" w:type="dxa"/>
            <w:tcBorders>
              <w:top w:val="single" w:sz="6" w:space="0" w:color="auto"/>
              <w:left w:val="single" w:sz="6" w:space="0" w:color="auto"/>
              <w:right w:val="single" w:sz="6" w:space="0" w:color="auto"/>
            </w:tcBorders>
            <w:vAlign w:val="center"/>
          </w:tcPr>
          <w:p>
            <w:pPr>
              <w:pStyle w:val="20"/>
            </w:pPr>
            <w:r>
              <w:t>电子医疗凭证运行时间</w:t>
            </w:r>
          </w:p>
        </w:tc>
        <w:tc>
          <w:tcPr>
            <w:tcW w:w="2268" w:type="dxa"/>
            <w:tcBorders>
              <w:top w:val="single" w:sz="6" w:space="0" w:color="auto"/>
              <w:left w:val="single" w:sz="6" w:space="0" w:color="auto"/>
              <w:right w:val="single" w:sz="6" w:space="0" w:color="auto"/>
            </w:tcBorders>
            <w:vAlign w:val="center"/>
          </w:tcPr>
          <w:p>
            <w:pPr>
              <w:pStyle w:val="20"/>
            </w:pPr>
            <w:r>
              <w:t>不晚于12月底</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按照国家相关文件支付资金</w:t>
            </w:r>
          </w:p>
        </w:tc>
        <w:tc>
          <w:tcPr>
            <w:tcW w:w="5386" w:type="dxa"/>
            <w:tcBorders>
              <w:top w:val="single" w:sz="6" w:space="0" w:color="auto"/>
              <w:left w:val="single" w:sz="6" w:space="0" w:color="auto"/>
              <w:right w:val="single" w:sz="6" w:space="0" w:color="auto"/>
            </w:tcBorders>
            <w:vAlign w:val="center"/>
          </w:tcPr>
          <w:p>
            <w:pPr>
              <w:pStyle w:val="20"/>
            </w:pPr>
            <w:r>
              <w:t>按照国家相关文件支付资金</w:t>
            </w:r>
          </w:p>
        </w:tc>
        <w:tc>
          <w:tcPr>
            <w:tcW w:w="2268" w:type="dxa"/>
            <w:tcBorders>
              <w:top w:val="single" w:sz="6" w:space="0" w:color="auto"/>
              <w:left w:val="single" w:sz="6" w:space="0" w:color="auto"/>
              <w:right w:val="single" w:sz="6" w:space="0" w:color="auto"/>
            </w:tcBorders>
            <w:vAlign w:val="center"/>
          </w:tcPr>
          <w:p>
            <w:pPr>
              <w:pStyle w:val="20"/>
            </w:pPr>
            <w:r>
              <w:t>≤3.31万元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节约财政开支</w:t>
            </w:r>
          </w:p>
        </w:tc>
        <w:tc>
          <w:tcPr>
            <w:tcW w:w="5386" w:type="dxa"/>
            <w:tcBorders>
              <w:top w:val="single" w:sz="6" w:space="0" w:color="auto"/>
              <w:left w:val="single" w:sz="6" w:space="0" w:color="auto"/>
              <w:right w:val="single" w:sz="6" w:space="0" w:color="auto"/>
            </w:tcBorders>
            <w:vAlign w:val="center"/>
          </w:tcPr>
          <w:p>
            <w:pPr>
              <w:pStyle w:val="20"/>
            </w:pPr>
            <w:r>
              <w:t>节约财政开支</w:t>
            </w:r>
          </w:p>
        </w:tc>
        <w:tc>
          <w:tcPr>
            <w:tcW w:w="2268" w:type="dxa"/>
            <w:tcBorders>
              <w:top w:val="single" w:sz="6" w:space="0" w:color="auto"/>
              <w:left w:val="single" w:sz="6" w:space="0" w:color="auto"/>
              <w:right w:val="single" w:sz="6" w:space="0" w:color="auto"/>
            </w:tcBorders>
            <w:vAlign w:val="center"/>
          </w:tcPr>
          <w:p>
            <w:pPr>
              <w:pStyle w:val="20"/>
            </w:pPr>
            <w:r>
              <w:t>进一步节约</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项目持续发挥作用年限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受服务群体满意度</w:t>
            </w:r>
          </w:p>
        </w:tc>
        <w:tc>
          <w:tcPr>
            <w:tcW w:w="5386" w:type="dxa"/>
            <w:tcBorders>
              <w:top w:val="single" w:sz="6" w:space="0" w:color="auto"/>
              <w:left w:val="single" w:sz="6" w:space="0" w:color="auto"/>
              <w:right w:val="single" w:sz="6" w:space="0" w:color="auto"/>
            </w:tcBorders>
            <w:vAlign w:val="center"/>
          </w:tcPr>
          <w:p>
            <w:pPr>
              <w:pStyle w:val="20"/>
            </w:pPr>
            <w:r>
              <w:t>受服务群体满意度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2、2025年中央财政医疗服务与保障能力提升补助资金绩效目标表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13032225P00223410002R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2025年中央财政医疗服务与保障能力提升补助资金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贯彻执行医疗保障基金监督管理办法。建立健全医疗保障基金安全防控机制，建立健全医疗保障信用评价体系和信息披露制度。</w:t>
              <w:tab/>
              <w:tab/>
              <w:tab/>
              <w:tab/>
              <w:tab/>
              <w:tab/>
            </w:r>
          </w:p>
          <w:p>
            <w:pPr>
              <w:pStyle w:val="20"/>
            </w:pPr>
            <w:r>
              <w:t>"</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1.贯彻执行医疗保障基金监督管理办法。建立健全医疗保障基金安全防控机制，建立健全医疗保障信用评价体系和信息披露制度。</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召开医保工作会议或培训</w:t>
            </w:r>
          </w:p>
        </w:tc>
        <w:tc>
          <w:tcPr>
            <w:tcW w:w="5386" w:type="dxa"/>
            <w:tcBorders>
              <w:top w:val="single" w:sz="6" w:space="0" w:color="auto"/>
              <w:left w:val="single" w:sz="6" w:space="0" w:color="auto"/>
              <w:right w:val="single" w:sz="6" w:space="0" w:color="auto"/>
            </w:tcBorders>
            <w:vAlign w:val="center"/>
          </w:tcPr>
          <w:p>
            <w:pPr>
              <w:pStyle w:val="20"/>
            </w:pPr>
            <w:r>
              <w:t>召开医保工作会议或培训</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医保信息系统正常运行率</w:t>
            </w:r>
          </w:p>
        </w:tc>
        <w:tc>
          <w:tcPr>
            <w:tcW w:w="5386" w:type="dxa"/>
            <w:tcBorders>
              <w:top w:val="single" w:sz="6" w:space="0" w:color="auto"/>
              <w:left w:val="single" w:sz="6" w:space="0" w:color="auto"/>
              <w:right w:val="single" w:sz="6" w:space="0" w:color="auto"/>
            </w:tcBorders>
            <w:vAlign w:val="center"/>
          </w:tcPr>
          <w:p>
            <w:pPr>
              <w:pStyle w:val="20"/>
            </w:pPr>
            <w:r>
              <w:t>医保信息系统正常运行率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电子医疗凭证运行时间</w:t>
            </w:r>
          </w:p>
        </w:tc>
        <w:tc>
          <w:tcPr>
            <w:tcW w:w="5386" w:type="dxa"/>
            <w:tcBorders>
              <w:top w:val="single" w:sz="6" w:space="0" w:color="auto"/>
              <w:left w:val="single" w:sz="6" w:space="0" w:color="auto"/>
              <w:right w:val="single" w:sz="6" w:space="0" w:color="auto"/>
            </w:tcBorders>
            <w:vAlign w:val="center"/>
          </w:tcPr>
          <w:p>
            <w:pPr>
              <w:pStyle w:val="20"/>
            </w:pPr>
            <w:r>
              <w:t>电子医疗凭证运行时间</w:t>
            </w:r>
          </w:p>
        </w:tc>
        <w:tc>
          <w:tcPr>
            <w:tcW w:w="2268" w:type="dxa"/>
            <w:tcBorders>
              <w:top w:val="single" w:sz="6" w:space="0" w:color="auto"/>
              <w:left w:val="single" w:sz="6" w:space="0" w:color="auto"/>
              <w:right w:val="single" w:sz="6" w:space="0" w:color="auto"/>
            </w:tcBorders>
            <w:vAlign w:val="center"/>
          </w:tcPr>
          <w:p>
            <w:pPr>
              <w:pStyle w:val="20"/>
            </w:pPr>
            <w:r>
              <w:t>不晚于12月底</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按照国家相关文件支付资金</w:t>
            </w:r>
          </w:p>
        </w:tc>
        <w:tc>
          <w:tcPr>
            <w:tcW w:w="5386" w:type="dxa"/>
            <w:tcBorders>
              <w:top w:val="single" w:sz="6" w:space="0" w:color="auto"/>
              <w:left w:val="single" w:sz="6" w:space="0" w:color="auto"/>
              <w:right w:val="single" w:sz="6" w:space="0" w:color="auto"/>
            </w:tcBorders>
            <w:vAlign w:val="center"/>
          </w:tcPr>
          <w:p>
            <w:pPr>
              <w:pStyle w:val="20"/>
            </w:pPr>
            <w:r>
              <w:t>按照国家相关文件支付资金</w:t>
            </w:r>
          </w:p>
        </w:tc>
        <w:tc>
          <w:tcPr>
            <w:tcW w:w="2268" w:type="dxa"/>
            <w:tcBorders>
              <w:top w:val="single" w:sz="6" w:space="0" w:color="auto"/>
              <w:left w:val="single" w:sz="6" w:space="0" w:color="auto"/>
              <w:right w:val="single" w:sz="6" w:space="0" w:color="auto"/>
            </w:tcBorders>
            <w:vAlign w:val="center"/>
          </w:tcPr>
          <w:p>
            <w:pPr>
              <w:pStyle w:val="20"/>
            </w:pPr>
            <w:r>
              <w:t>≤31万元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节约财政开支</w:t>
            </w:r>
          </w:p>
        </w:tc>
        <w:tc>
          <w:tcPr>
            <w:tcW w:w="5386" w:type="dxa"/>
            <w:tcBorders>
              <w:top w:val="single" w:sz="6" w:space="0" w:color="auto"/>
              <w:left w:val="single" w:sz="6" w:space="0" w:color="auto"/>
              <w:right w:val="single" w:sz="6" w:space="0" w:color="auto"/>
            </w:tcBorders>
            <w:vAlign w:val="center"/>
          </w:tcPr>
          <w:p>
            <w:pPr>
              <w:pStyle w:val="20"/>
            </w:pPr>
            <w:r>
              <w:t>节约财政开支</w:t>
            </w:r>
          </w:p>
        </w:tc>
        <w:tc>
          <w:tcPr>
            <w:tcW w:w="2268" w:type="dxa"/>
            <w:tcBorders>
              <w:top w:val="single" w:sz="6" w:space="0" w:color="auto"/>
              <w:left w:val="single" w:sz="6" w:space="0" w:color="auto"/>
              <w:right w:val="single" w:sz="6" w:space="0" w:color="auto"/>
            </w:tcBorders>
            <w:vAlign w:val="center"/>
          </w:tcPr>
          <w:p>
            <w:pPr>
              <w:pStyle w:val="20"/>
            </w:pPr>
            <w:r>
              <w:t>较上年节约10%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提升办事效率和水平</w:t>
            </w:r>
          </w:p>
        </w:tc>
        <w:tc>
          <w:tcPr>
            <w:tcW w:w="5386" w:type="dxa"/>
            <w:tcBorders>
              <w:top w:val="single" w:sz="6" w:space="0" w:color="auto"/>
              <w:left w:val="single" w:sz="6" w:space="0" w:color="auto"/>
              <w:right w:val="single" w:sz="6" w:space="0" w:color="auto"/>
            </w:tcBorders>
            <w:vAlign w:val="center"/>
          </w:tcPr>
          <w:p>
            <w:pPr>
              <w:pStyle w:val="20"/>
            </w:pPr>
            <w:r>
              <w:t>提升办事效率和水平</w:t>
            </w:r>
          </w:p>
        </w:tc>
        <w:tc>
          <w:tcPr>
            <w:tcW w:w="2268" w:type="dxa"/>
            <w:tcBorders>
              <w:top w:val="single" w:sz="6" w:space="0" w:color="auto"/>
              <w:left w:val="single" w:sz="6" w:space="0" w:color="auto"/>
              <w:right w:val="single" w:sz="6" w:space="0" w:color="auto"/>
            </w:tcBorders>
            <w:vAlign w:val="center"/>
          </w:tcPr>
          <w:p>
            <w:pPr>
              <w:pStyle w:val="20"/>
            </w:pPr>
            <w:r>
              <w:t>较上年提升10%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绿色办公无污染</w:t>
            </w:r>
          </w:p>
        </w:tc>
        <w:tc>
          <w:tcPr>
            <w:tcW w:w="5386" w:type="dxa"/>
            <w:tcBorders>
              <w:top w:val="single" w:sz="6" w:space="0" w:color="auto"/>
              <w:left w:val="single" w:sz="6" w:space="0" w:color="auto"/>
              <w:right w:val="single" w:sz="6" w:space="0" w:color="auto"/>
            </w:tcBorders>
            <w:vAlign w:val="center"/>
          </w:tcPr>
          <w:p>
            <w:pPr>
              <w:pStyle w:val="20"/>
            </w:pPr>
            <w:r>
              <w:t>绿色办公无污染</w:t>
            </w:r>
          </w:p>
        </w:tc>
        <w:tc>
          <w:tcPr>
            <w:tcW w:w="2268" w:type="dxa"/>
            <w:tcBorders>
              <w:top w:val="single" w:sz="6" w:space="0" w:color="auto"/>
              <w:left w:val="single" w:sz="6" w:space="0" w:color="auto"/>
              <w:right w:val="single" w:sz="6" w:space="0" w:color="auto"/>
            </w:tcBorders>
            <w:vAlign w:val="center"/>
          </w:tcPr>
          <w:p>
            <w:pPr>
              <w:pStyle w:val="20"/>
            </w:pPr>
            <w:r>
              <w:t>较上年节约10%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可持续期限</w:t>
            </w:r>
          </w:p>
        </w:tc>
        <w:tc>
          <w:tcPr>
            <w:tcW w:w="5386" w:type="dxa"/>
            <w:tcBorders>
              <w:top w:val="single" w:sz="6" w:space="0" w:color="auto"/>
              <w:left w:val="single" w:sz="6" w:space="0" w:color="auto"/>
              <w:right w:val="single" w:sz="6" w:space="0" w:color="auto"/>
            </w:tcBorders>
            <w:vAlign w:val="center"/>
          </w:tcPr>
          <w:p>
            <w:pPr>
              <w:pStyle w:val="20"/>
            </w:pPr>
            <w:r>
              <w:t>可持续期限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受服务群体满意度</w:t>
            </w:r>
          </w:p>
        </w:tc>
        <w:tc>
          <w:tcPr>
            <w:tcW w:w="5386" w:type="dxa"/>
            <w:tcBorders>
              <w:top w:val="single" w:sz="6" w:space="0" w:color="auto"/>
              <w:left w:val="single" w:sz="6" w:space="0" w:color="auto"/>
              <w:right w:val="single" w:sz="6" w:space="0" w:color="auto"/>
            </w:tcBorders>
            <w:vAlign w:val="center"/>
          </w:tcPr>
          <w:p>
            <w:pPr>
              <w:pStyle w:val="20"/>
            </w:pPr>
            <w:r>
              <w:t>受服务群体满意度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450001昌黎县医疗保障局本级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昌黎县医疗保障局本级上年末固定资产金额为0.00万元（详见下表）。本年度拟购置固定资产总额为0.00万元，已按要求列入政府采购预算，详见政府采购预算表。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450001昌黎县医疗保障局本级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eastAsia="方正小标宋_GBK" w:cs="方正小标宋_GBK" w:hAnsi="方正小标宋_GBK"/>
          <w:b w:val="0"/>
          <w:color w:val="000000"/>
          <w:sz w:val="44"/>
        </w:rPr>
        <w:t>二、昌黎县职工医疗保险中心收支预算</w:t>
      </w:r>
      <w:bookmarkEnd w:id="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148.28</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17.35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122.53</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8.40</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148.28</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148.28</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148.28</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148.28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450004昌黎县职工医疗保险中心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148.28</w:t>
            </w:r>
          </w:p>
        </w:tc>
        <w:tc>
          <w:tcPr>
            <w:tcW w:w="1134" w:type="dxa"/>
            <w:tcBorders>
              <w:top w:val="single" w:sz="6" w:space="0" w:color="auto"/>
              <w:left w:val="single" w:sz="6" w:space="0" w:color="auto"/>
              <w:right w:val="single" w:sz="6" w:space="0" w:color="auto"/>
            </w:tcBorders>
            <w:vAlign w:val="center"/>
          </w:tcPr>
          <w:p>
            <w:pPr>
              <w:pStyle w:val="23"/>
            </w:pPr>
            <w:r>
              <w:t>148.28</w:t>
            </w:r>
          </w:p>
        </w:tc>
        <w:tc>
          <w:tcPr>
            <w:tcW w:w="1134" w:type="dxa"/>
            <w:tcBorders>
              <w:top w:val="single" w:sz="6" w:space="0" w:color="auto"/>
              <w:left w:val="single" w:sz="6" w:space="0" w:color="auto"/>
              <w:right w:val="single" w:sz="6" w:space="0" w:color="auto"/>
            </w:tcBorders>
            <w:vAlign w:val="center"/>
          </w:tcPr>
          <w:p>
            <w:pPr>
              <w:pStyle w:val="23"/>
            </w:pPr>
            <w:r>
              <w:t>148.28</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r>
              <w:t>17.35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16.81</w:t>
            </w:r>
          </w:p>
        </w:tc>
        <w:tc>
          <w:tcPr>
            <w:tcW w:w="1134" w:type="dxa"/>
            <w:tcBorders>
              <w:top w:val="single" w:sz="6" w:space="0" w:color="auto"/>
              <w:left w:val="single" w:sz="6" w:space="0" w:color="auto"/>
              <w:right w:val="single" w:sz="6" w:space="0" w:color="auto"/>
            </w:tcBorders>
            <w:vAlign w:val="center"/>
          </w:tcPr>
          <w:p>
            <w:pPr>
              <w:pStyle w:val="19"/>
            </w:pPr>
            <w:r>
              <w:t>16.81</w:t>
            </w:r>
          </w:p>
        </w:tc>
        <w:tc>
          <w:tcPr>
            <w:tcW w:w="1134" w:type="dxa"/>
            <w:tcBorders>
              <w:top w:val="single" w:sz="6" w:space="0" w:color="auto"/>
              <w:left w:val="single" w:sz="6" w:space="0" w:color="auto"/>
              <w:right w:val="single" w:sz="6" w:space="0" w:color="auto"/>
            </w:tcBorders>
            <w:vAlign w:val="center"/>
          </w:tcPr>
          <w:p>
            <w:pPr>
              <w:pStyle w:val="19"/>
            </w:pPr>
            <w:r>
              <w:t>16.81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0.54</w:t>
            </w:r>
          </w:p>
        </w:tc>
        <w:tc>
          <w:tcPr>
            <w:tcW w:w="1134" w:type="dxa"/>
            <w:tcBorders>
              <w:top w:val="single" w:sz="6" w:space="0" w:color="auto"/>
              <w:left w:val="single" w:sz="6" w:space="0" w:color="auto"/>
              <w:right w:val="single" w:sz="6" w:space="0" w:color="auto"/>
            </w:tcBorders>
            <w:vAlign w:val="center"/>
          </w:tcPr>
          <w:p>
            <w:pPr>
              <w:pStyle w:val="19"/>
            </w:pPr>
            <w:r>
              <w:t>0.54</w:t>
            </w:r>
          </w:p>
        </w:tc>
        <w:tc>
          <w:tcPr>
            <w:tcW w:w="1134" w:type="dxa"/>
            <w:tcBorders>
              <w:top w:val="single" w:sz="6" w:space="0" w:color="auto"/>
              <w:left w:val="single" w:sz="6" w:space="0" w:color="auto"/>
              <w:right w:val="single" w:sz="6" w:space="0" w:color="auto"/>
            </w:tcBorders>
            <w:vAlign w:val="center"/>
          </w:tcPr>
          <w:p>
            <w:pPr>
              <w:pStyle w:val="19"/>
            </w:pPr>
            <w:r>
              <w:t>0.54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122.53</w:t>
            </w:r>
          </w:p>
        </w:tc>
        <w:tc>
          <w:tcPr>
            <w:tcW w:w="1134" w:type="dxa"/>
            <w:tcBorders>
              <w:top w:val="single" w:sz="6" w:space="0" w:color="auto"/>
              <w:left w:val="single" w:sz="6" w:space="0" w:color="auto"/>
              <w:right w:val="single" w:sz="6" w:space="0" w:color="auto"/>
            </w:tcBorders>
            <w:vAlign w:val="center"/>
          </w:tcPr>
          <w:p>
            <w:pPr>
              <w:pStyle w:val="19"/>
            </w:pPr>
            <w:r>
              <w:t>122.53</w:t>
            </w:r>
          </w:p>
        </w:tc>
        <w:tc>
          <w:tcPr>
            <w:tcW w:w="1134" w:type="dxa"/>
            <w:tcBorders>
              <w:top w:val="single" w:sz="6" w:space="0" w:color="auto"/>
              <w:left w:val="single" w:sz="6" w:space="0" w:color="auto"/>
              <w:right w:val="single" w:sz="6" w:space="0" w:color="auto"/>
            </w:tcBorders>
            <w:vAlign w:val="center"/>
          </w:tcPr>
          <w:p>
            <w:pPr>
              <w:pStyle w:val="19"/>
            </w:pPr>
            <w:r>
              <w:t>122.53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r>
              <w:t>9.37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1559" w:type="dxa"/>
            <w:tcBorders>
              <w:top w:val="single" w:sz="6" w:space="0" w:color="auto"/>
              <w:left w:val="single" w:sz="6" w:space="0" w:color="auto"/>
              <w:right w:val="single" w:sz="6" w:space="0" w:color="auto"/>
            </w:tcBorders>
            <w:vAlign w:val="center"/>
          </w:tcPr>
          <w:p>
            <w:pPr>
              <w:pStyle w:val="20"/>
            </w:pPr>
            <w:r>
              <w:t>医疗保障管理事务</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r>
              <w:t>113.16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r>
              <w:t>8.40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148.28</w:t>
            </w:r>
          </w:p>
        </w:tc>
        <w:tc>
          <w:tcPr>
            <w:tcW w:w="1361" w:type="dxa"/>
            <w:tcBorders>
              <w:top w:val="single" w:sz="6" w:space="0" w:color="auto"/>
              <w:left w:val="single" w:sz="6" w:space="0" w:color="auto"/>
              <w:right w:val="single" w:sz="6" w:space="0" w:color="auto"/>
            </w:tcBorders>
            <w:vAlign w:val="center"/>
          </w:tcPr>
          <w:p>
            <w:pPr>
              <w:pStyle w:val="23"/>
            </w:pPr>
            <w:r>
              <w:t>148.28</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17.35</w:t>
            </w:r>
          </w:p>
        </w:tc>
        <w:tc>
          <w:tcPr>
            <w:tcW w:w="1361" w:type="dxa"/>
            <w:tcBorders>
              <w:top w:val="single" w:sz="6" w:space="0" w:color="auto"/>
              <w:left w:val="single" w:sz="6" w:space="0" w:color="auto"/>
              <w:right w:val="single" w:sz="6" w:space="0" w:color="auto"/>
            </w:tcBorders>
            <w:vAlign w:val="center"/>
          </w:tcPr>
          <w:p>
            <w:pPr>
              <w:pStyle w:val="19"/>
            </w:pPr>
            <w:r>
              <w:t>17.35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17.35</w:t>
            </w:r>
          </w:p>
        </w:tc>
        <w:tc>
          <w:tcPr>
            <w:tcW w:w="1361" w:type="dxa"/>
            <w:tcBorders>
              <w:top w:val="single" w:sz="6" w:space="0" w:color="auto"/>
              <w:left w:val="single" w:sz="6" w:space="0" w:color="auto"/>
              <w:right w:val="single" w:sz="6" w:space="0" w:color="auto"/>
            </w:tcBorders>
            <w:vAlign w:val="center"/>
          </w:tcPr>
          <w:p>
            <w:pPr>
              <w:pStyle w:val="19"/>
            </w:pPr>
            <w:r>
              <w:t>17.35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16.81</w:t>
            </w:r>
          </w:p>
        </w:tc>
        <w:tc>
          <w:tcPr>
            <w:tcW w:w="1361" w:type="dxa"/>
            <w:tcBorders>
              <w:top w:val="single" w:sz="6" w:space="0" w:color="auto"/>
              <w:left w:val="single" w:sz="6" w:space="0" w:color="auto"/>
              <w:right w:val="single" w:sz="6" w:space="0" w:color="auto"/>
            </w:tcBorders>
            <w:vAlign w:val="center"/>
          </w:tcPr>
          <w:p>
            <w:pPr>
              <w:pStyle w:val="19"/>
            </w:pPr>
            <w:r>
              <w:t>16.81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0.54</w:t>
            </w:r>
          </w:p>
        </w:tc>
        <w:tc>
          <w:tcPr>
            <w:tcW w:w="1361" w:type="dxa"/>
            <w:tcBorders>
              <w:top w:val="single" w:sz="6" w:space="0" w:color="auto"/>
              <w:left w:val="single" w:sz="6" w:space="0" w:color="auto"/>
              <w:right w:val="single" w:sz="6" w:space="0" w:color="auto"/>
            </w:tcBorders>
            <w:vAlign w:val="center"/>
          </w:tcPr>
          <w:p>
            <w:pPr>
              <w:pStyle w:val="19"/>
            </w:pPr>
            <w:r>
              <w:t>0.54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122.53</w:t>
            </w:r>
          </w:p>
        </w:tc>
        <w:tc>
          <w:tcPr>
            <w:tcW w:w="1361" w:type="dxa"/>
            <w:tcBorders>
              <w:top w:val="single" w:sz="6" w:space="0" w:color="auto"/>
              <w:left w:val="single" w:sz="6" w:space="0" w:color="auto"/>
              <w:right w:val="single" w:sz="6" w:space="0" w:color="auto"/>
            </w:tcBorders>
            <w:vAlign w:val="center"/>
          </w:tcPr>
          <w:p>
            <w:pPr>
              <w:pStyle w:val="19"/>
            </w:pPr>
            <w:r>
              <w:t>122.53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r>
              <w:t>9.37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1361" w:type="dxa"/>
            <w:tcBorders>
              <w:top w:val="single" w:sz="6" w:space="0" w:color="auto"/>
              <w:left w:val="single" w:sz="6" w:space="0" w:color="auto"/>
              <w:right w:val="single" w:sz="6" w:space="0" w:color="auto"/>
            </w:tcBorders>
            <w:vAlign w:val="center"/>
          </w:tcPr>
          <w:p>
            <w:pPr>
              <w:pStyle w:val="19"/>
            </w:pPr>
            <w:r>
              <w:t>113.16</w:t>
            </w:r>
          </w:p>
        </w:tc>
        <w:tc>
          <w:tcPr>
            <w:tcW w:w="1361" w:type="dxa"/>
            <w:tcBorders>
              <w:top w:val="single" w:sz="6" w:space="0" w:color="auto"/>
              <w:left w:val="single" w:sz="6" w:space="0" w:color="auto"/>
              <w:right w:val="single" w:sz="6" w:space="0" w:color="auto"/>
            </w:tcBorders>
            <w:vAlign w:val="center"/>
          </w:tcPr>
          <w:p>
            <w:pPr>
              <w:pStyle w:val="19"/>
            </w:pPr>
            <w:r>
              <w:t>113.16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113.16</w:t>
            </w:r>
          </w:p>
        </w:tc>
        <w:tc>
          <w:tcPr>
            <w:tcW w:w="1361" w:type="dxa"/>
            <w:tcBorders>
              <w:top w:val="single" w:sz="6" w:space="0" w:color="auto"/>
              <w:left w:val="single" w:sz="6" w:space="0" w:color="auto"/>
              <w:right w:val="single" w:sz="6" w:space="0" w:color="auto"/>
            </w:tcBorders>
            <w:vAlign w:val="center"/>
          </w:tcPr>
          <w:p>
            <w:pPr>
              <w:pStyle w:val="19"/>
            </w:pPr>
            <w:r>
              <w:t>113.16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r>
              <w:t>8.40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148.28</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17.35</w:t>
            </w:r>
          </w:p>
        </w:tc>
        <w:tc>
          <w:tcPr>
            <w:tcW w:w="1474" w:type="dxa"/>
            <w:tcBorders>
              <w:top w:val="single" w:sz="6" w:space="0" w:color="auto"/>
              <w:left w:val="single" w:sz="6" w:space="0" w:color="auto"/>
              <w:right w:val="single" w:sz="6" w:space="0" w:color="auto"/>
            </w:tcBorders>
            <w:vAlign w:val="center"/>
          </w:tcPr>
          <w:p>
            <w:pPr>
              <w:pStyle w:val="19"/>
            </w:pPr>
            <w:r>
              <w:t>17.35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122.53</w:t>
            </w:r>
          </w:p>
        </w:tc>
        <w:tc>
          <w:tcPr>
            <w:tcW w:w="1474" w:type="dxa"/>
            <w:tcBorders>
              <w:top w:val="single" w:sz="6" w:space="0" w:color="auto"/>
              <w:left w:val="single" w:sz="6" w:space="0" w:color="auto"/>
              <w:right w:val="single" w:sz="6" w:space="0" w:color="auto"/>
            </w:tcBorders>
            <w:vAlign w:val="center"/>
          </w:tcPr>
          <w:p>
            <w:pPr>
              <w:pStyle w:val="19"/>
            </w:pPr>
            <w:r>
              <w:t>122.53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8.40</w:t>
            </w:r>
          </w:p>
        </w:tc>
        <w:tc>
          <w:tcPr>
            <w:tcW w:w="1474" w:type="dxa"/>
            <w:tcBorders>
              <w:top w:val="single" w:sz="6" w:space="0" w:color="auto"/>
              <w:left w:val="single" w:sz="6" w:space="0" w:color="auto"/>
              <w:right w:val="single" w:sz="6" w:space="0" w:color="auto"/>
            </w:tcBorders>
            <w:vAlign w:val="center"/>
          </w:tcPr>
          <w:p>
            <w:pPr>
              <w:pStyle w:val="19"/>
            </w:pPr>
            <w:r>
              <w:t>8.40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1474" w:type="dxa"/>
            <w:tcBorders>
              <w:top w:val="single" w:sz="6" w:space="0" w:color="auto"/>
              <w:left w:val="single" w:sz="6" w:space="0" w:color="auto"/>
              <w:right w:val="single" w:sz="6" w:space="0" w:color="auto"/>
            </w:tcBorders>
            <w:vAlign w:val="center"/>
          </w:tcPr>
          <w:p>
            <w:pPr>
              <w:pStyle w:val="23"/>
            </w:pPr>
            <w:r>
              <w:t>148.28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148.28</w:t>
            </w:r>
          </w:p>
        </w:tc>
        <w:tc>
          <w:tcPr>
            <w:tcW w:w="2551" w:type="dxa"/>
            <w:tcBorders>
              <w:top w:val="single" w:sz="6" w:space="0" w:color="auto"/>
              <w:left w:val="single" w:sz="6" w:space="0" w:color="auto"/>
              <w:right w:val="single" w:sz="6" w:space="0" w:color="auto"/>
            </w:tcBorders>
            <w:vAlign w:val="center"/>
          </w:tcPr>
          <w:p>
            <w:pPr>
              <w:pStyle w:val="23"/>
            </w:pPr>
            <w:r>
              <w:t>148.28</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17.35</w:t>
            </w:r>
          </w:p>
        </w:tc>
        <w:tc>
          <w:tcPr>
            <w:tcW w:w="2551" w:type="dxa"/>
            <w:tcBorders>
              <w:top w:val="single" w:sz="6" w:space="0" w:color="auto"/>
              <w:left w:val="single" w:sz="6" w:space="0" w:color="auto"/>
              <w:right w:val="single" w:sz="6" w:space="0" w:color="auto"/>
            </w:tcBorders>
            <w:vAlign w:val="center"/>
          </w:tcPr>
          <w:p>
            <w:pPr>
              <w:pStyle w:val="19"/>
            </w:pPr>
            <w:r>
              <w:t>17.35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17.35</w:t>
            </w:r>
          </w:p>
        </w:tc>
        <w:tc>
          <w:tcPr>
            <w:tcW w:w="2551" w:type="dxa"/>
            <w:tcBorders>
              <w:top w:val="single" w:sz="6" w:space="0" w:color="auto"/>
              <w:left w:val="single" w:sz="6" w:space="0" w:color="auto"/>
              <w:right w:val="single" w:sz="6" w:space="0" w:color="auto"/>
            </w:tcBorders>
            <w:vAlign w:val="center"/>
          </w:tcPr>
          <w:p>
            <w:pPr>
              <w:pStyle w:val="19"/>
            </w:pPr>
            <w:r>
              <w:t>17.35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16.81</w:t>
            </w:r>
          </w:p>
        </w:tc>
        <w:tc>
          <w:tcPr>
            <w:tcW w:w="2551" w:type="dxa"/>
            <w:tcBorders>
              <w:top w:val="single" w:sz="6" w:space="0" w:color="auto"/>
              <w:left w:val="single" w:sz="6" w:space="0" w:color="auto"/>
              <w:right w:val="single" w:sz="6" w:space="0" w:color="auto"/>
            </w:tcBorders>
            <w:vAlign w:val="center"/>
          </w:tcPr>
          <w:p>
            <w:pPr>
              <w:pStyle w:val="19"/>
            </w:pPr>
            <w:r>
              <w:t>16.81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0.54</w:t>
            </w:r>
          </w:p>
        </w:tc>
        <w:tc>
          <w:tcPr>
            <w:tcW w:w="2551" w:type="dxa"/>
            <w:tcBorders>
              <w:top w:val="single" w:sz="6" w:space="0" w:color="auto"/>
              <w:left w:val="single" w:sz="6" w:space="0" w:color="auto"/>
              <w:right w:val="single" w:sz="6" w:space="0" w:color="auto"/>
            </w:tcBorders>
            <w:vAlign w:val="center"/>
          </w:tcPr>
          <w:p>
            <w:pPr>
              <w:pStyle w:val="19"/>
            </w:pPr>
            <w:r>
              <w:t>0.54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122.53</w:t>
            </w:r>
          </w:p>
        </w:tc>
        <w:tc>
          <w:tcPr>
            <w:tcW w:w="2551" w:type="dxa"/>
            <w:tcBorders>
              <w:top w:val="single" w:sz="6" w:space="0" w:color="auto"/>
              <w:left w:val="single" w:sz="6" w:space="0" w:color="auto"/>
              <w:right w:val="single" w:sz="6" w:space="0" w:color="auto"/>
            </w:tcBorders>
            <w:vAlign w:val="center"/>
          </w:tcPr>
          <w:p>
            <w:pPr>
              <w:pStyle w:val="19"/>
            </w:pPr>
            <w:r>
              <w:t>122.53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2551" w:type="dxa"/>
            <w:tcBorders>
              <w:top w:val="single" w:sz="6" w:space="0" w:color="auto"/>
              <w:left w:val="single" w:sz="6" w:space="0" w:color="auto"/>
              <w:right w:val="single" w:sz="6" w:space="0" w:color="auto"/>
            </w:tcBorders>
            <w:vAlign w:val="center"/>
          </w:tcPr>
          <w:p>
            <w:pPr>
              <w:pStyle w:val="19"/>
            </w:pPr>
            <w:r>
              <w:t>113.16</w:t>
            </w:r>
          </w:p>
        </w:tc>
        <w:tc>
          <w:tcPr>
            <w:tcW w:w="2551" w:type="dxa"/>
            <w:tcBorders>
              <w:top w:val="single" w:sz="6" w:space="0" w:color="auto"/>
              <w:left w:val="single" w:sz="6" w:space="0" w:color="auto"/>
              <w:right w:val="single" w:sz="6" w:space="0" w:color="auto"/>
            </w:tcBorders>
            <w:vAlign w:val="center"/>
          </w:tcPr>
          <w:p>
            <w:pPr>
              <w:pStyle w:val="19"/>
            </w:pPr>
            <w:r>
              <w:t>113.16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113.16</w:t>
            </w:r>
          </w:p>
        </w:tc>
        <w:tc>
          <w:tcPr>
            <w:tcW w:w="2551" w:type="dxa"/>
            <w:tcBorders>
              <w:top w:val="single" w:sz="6" w:space="0" w:color="auto"/>
              <w:left w:val="single" w:sz="6" w:space="0" w:color="auto"/>
              <w:right w:val="single" w:sz="6" w:space="0" w:color="auto"/>
            </w:tcBorders>
            <w:vAlign w:val="center"/>
          </w:tcPr>
          <w:p>
            <w:pPr>
              <w:pStyle w:val="19"/>
            </w:pPr>
            <w:r>
              <w:t>113.16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148.28</w:t>
            </w:r>
          </w:p>
        </w:tc>
        <w:tc>
          <w:tcPr>
            <w:tcW w:w="2551" w:type="dxa"/>
            <w:tcBorders>
              <w:top w:val="single" w:sz="6" w:space="0" w:color="auto"/>
              <w:left w:val="single" w:sz="6" w:space="0" w:color="auto"/>
              <w:right w:val="single" w:sz="6" w:space="0" w:color="auto"/>
            </w:tcBorders>
            <w:vAlign w:val="center"/>
          </w:tcPr>
          <w:p>
            <w:pPr>
              <w:pStyle w:val="23"/>
            </w:pPr>
            <w:r>
              <w:t>144.22</w:t>
            </w:r>
          </w:p>
        </w:tc>
        <w:tc>
          <w:tcPr>
            <w:tcW w:w="2551" w:type="dxa"/>
            <w:vAlign w:val="center"/>
          </w:tcPr>
          <w:p>
            <w:pPr>
              <w:pStyle w:val="23"/>
            </w:pPr>
            <w:r>
              <w:t>4.06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139.38</w:t>
            </w:r>
          </w:p>
        </w:tc>
        <w:tc>
          <w:tcPr>
            <w:tcW w:w="2551" w:type="dxa"/>
            <w:tcBorders>
              <w:top w:val="single" w:sz="6" w:space="0" w:color="auto"/>
              <w:left w:val="single" w:sz="6" w:space="0" w:color="auto"/>
              <w:right w:val="single" w:sz="6" w:space="0" w:color="auto"/>
            </w:tcBorders>
            <w:vAlign w:val="center"/>
          </w:tcPr>
          <w:p>
            <w:pPr>
              <w:pStyle w:val="19"/>
            </w:pPr>
            <w:r>
              <w:t>139.38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62.11</w:t>
            </w:r>
          </w:p>
        </w:tc>
        <w:tc>
          <w:tcPr>
            <w:tcW w:w="2551" w:type="dxa"/>
            <w:tcBorders>
              <w:top w:val="single" w:sz="6" w:space="0" w:color="auto"/>
              <w:left w:val="single" w:sz="6" w:space="0" w:color="auto"/>
              <w:right w:val="single" w:sz="6" w:space="0" w:color="auto"/>
            </w:tcBorders>
            <w:vAlign w:val="center"/>
          </w:tcPr>
          <w:p>
            <w:pPr>
              <w:pStyle w:val="19"/>
            </w:pPr>
            <w:r>
              <w:t>62.11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6.68</w:t>
            </w:r>
          </w:p>
        </w:tc>
        <w:tc>
          <w:tcPr>
            <w:tcW w:w="2551" w:type="dxa"/>
            <w:tcBorders>
              <w:top w:val="single" w:sz="6" w:space="0" w:color="auto"/>
              <w:left w:val="single" w:sz="6" w:space="0" w:color="auto"/>
              <w:right w:val="single" w:sz="6" w:space="0" w:color="auto"/>
            </w:tcBorders>
            <w:vAlign w:val="center"/>
          </w:tcPr>
          <w:p>
            <w:pPr>
              <w:pStyle w:val="19"/>
            </w:pPr>
            <w:r>
              <w:t>6.68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34.35</w:t>
            </w:r>
          </w:p>
        </w:tc>
        <w:tc>
          <w:tcPr>
            <w:tcW w:w="2551" w:type="dxa"/>
            <w:tcBorders>
              <w:top w:val="single" w:sz="6" w:space="0" w:color="auto"/>
              <w:left w:val="single" w:sz="6" w:space="0" w:color="auto"/>
              <w:right w:val="single" w:sz="6" w:space="0" w:color="auto"/>
            </w:tcBorders>
            <w:vAlign w:val="center"/>
          </w:tcPr>
          <w:p>
            <w:pPr>
              <w:pStyle w:val="19"/>
            </w:pPr>
            <w:r>
              <w:t>34.35</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16.81</w:t>
            </w:r>
          </w:p>
        </w:tc>
        <w:tc>
          <w:tcPr>
            <w:tcW w:w="2551" w:type="dxa"/>
            <w:tcBorders>
              <w:top w:val="single" w:sz="6" w:space="0" w:color="auto"/>
              <w:left w:val="single" w:sz="6" w:space="0" w:color="auto"/>
              <w:right w:val="single" w:sz="6" w:space="0" w:color="auto"/>
            </w:tcBorders>
            <w:vAlign w:val="center"/>
          </w:tcPr>
          <w:p>
            <w:pPr>
              <w:pStyle w:val="19"/>
            </w:pPr>
            <w:r>
              <w:t>16.81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0.54</w:t>
            </w:r>
          </w:p>
        </w:tc>
        <w:tc>
          <w:tcPr>
            <w:tcW w:w="2551" w:type="dxa"/>
            <w:tcBorders>
              <w:top w:val="single" w:sz="6" w:space="0" w:color="auto"/>
              <w:left w:val="single" w:sz="6" w:space="0" w:color="auto"/>
              <w:right w:val="single" w:sz="6" w:space="0" w:color="auto"/>
            </w:tcBorders>
            <w:vAlign w:val="center"/>
          </w:tcPr>
          <w:p>
            <w:pPr>
              <w:pStyle w:val="19"/>
            </w:pPr>
            <w:r>
              <w:t>0.54</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tcBorders>
              <w:top w:val="single" w:sz="6" w:space="0" w:color="auto"/>
              <w:left w:val="single" w:sz="6" w:space="0" w:color="auto"/>
              <w:right w:val="single" w:sz="6" w:space="0" w:color="auto"/>
            </w:tcBorders>
            <w:vAlign w:val="center"/>
          </w:tcPr>
          <w:p>
            <w:pPr>
              <w:pStyle w:val="19"/>
            </w:pPr>
            <w:r>
              <w:t>9.37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1.12</w:t>
            </w:r>
          </w:p>
        </w:tc>
        <w:tc>
          <w:tcPr>
            <w:tcW w:w="2551" w:type="dxa"/>
            <w:tcBorders>
              <w:top w:val="single" w:sz="6" w:space="0" w:color="auto"/>
              <w:left w:val="single" w:sz="6" w:space="0" w:color="auto"/>
              <w:right w:val="single" w:sz="6" w:space="0" w:color="auto"/>
            </w:tcBorders>
            <w:vAlign w:val="center"/>
          </w:tcPr>
          <w:p>
            <w:pPr>
              <w:pStyle w:val="19"/>
            </w:pPr>
            <w:r>
              <w:t>1.12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tcBorders>
              <w:top w:val="single" w:sz="6" w:space="0" w:color="auto"/>
              <w:left w:val="single" w:sz="6" w:space="0" w:color="auto"/>
              <w:right w:val="single" w:sz="6" w:space="0" w:color="auto"/>
            </w:tcBorders>
            <w:vAlign w:val="center"/>
          </w:tcPr>
          <w:p>
            <w:pPr>
              <w:pStyle w:val="19"/>
            </w:pPr>
            <w:r>
              <w:t>8.40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4.06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4.06</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1.26</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1.26</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4.84</w:t>
            </w:r>
          </w:p>
        </w:tc>
        <w:tc>
          <w:tcPr>
            <w:tcW w:w="2551" w:type="dxa"/>
            <w:tcBorders>
              <w:top w:val="single" w:sz="6" w:space="0" w:color="auto"/>
              <w:left w:val="single" w:sz="6" w:space="0" w:color="auto"/>
              <w:right w:val="single" w:sz="6" w:space="0" w:color="auto"/>
            </w:tcBorders>
            <w:vAlign w:val="center"/>
          </w:tcPr>
          <w:p>
            <w:pPr>
              <w:pStyle w:val="19"/>
            </w:pPr>
            <w:r>
              <w:t>4.84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4.84</w:t>
            </w:r>
          </w:p>
        </w:tc>
        <w:tc>
          <w:tcPr>
            <w:tcW w:w="2551" w:type="dxa"/>
            <w:tcBorders>
              <w:top w:val="single" w:sz="6" w:space="0" w:color="auto"/>
              <w:left w:val="single" w:sz="6" w:space="0" w:color="auto"/>
              <w:right w:val="single" w:sz="6" w:space="0" w:color="auto"/>
            </w:tcBorders>
            <w:vAlign w:val="center"/>
          </w:tcPr>
          <w:p>
            <w:pPr>
              <w:pStyle w:val="19"/>
            </w:pPr>
            <w:r>
              <w:t>4.84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450004昌黎县职工医疗保险中心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昌黎县职工医疗保险中心2025年单位预算信息公开情况说明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按照《中华人民共和国预算法》、《地方预决算公开操作规程》和《关于进一步推进预算公开工作的实施意见》规定，现将昌黎县职工医疗保险中心2025年单位预算公开如下：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按照国家有关政策征缴参保单位和个人的医疗保险基金；按政策规定。会同银行、财政部门使医疗保险基金保值。增值；负责对定点医疗机构。定点药店的资格审查和认定；会同财政、卫生、药品监督、物价、审计等部门，对定点医疗机构、药店、参保单位和参保人员执行职工基本医疗保险情况进行监督检查，并实施奖惩；具体负责对全县城镇职工基本医疗保险工作的综合和协调。</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昌黎县职工医疗保险中心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148.28万元，其中：一般公共预算收入148.28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职工医疗保险中心年度单位预算中支出预算的总体情况。2025年支出预算148.28万元，其中基本支出148.28万元，包括人员经费144.22万元和日常公用经费4.06万元；项目支出0.00万元，主要为我单位2025年无年初预算安排。</w:t>
      </w:r>
    </w:p>
    <w:p>
      <w:pPr>
        <w:pStyle w:val="26"/>
      </w:pPr>
      <w:r>
        <w:t>3、比上年增减情况</w:t>
      </w:r>
    </w:p>
    <w:p>
      <w:pPr>
        <w:pStyle w:val="26"/>
      </w:pPr>
      <w:r>
        <w:t>2025年预算收支安排148.28万元，较2024年预算增加11.00万元，其中：基本支出增加11.00万元，主要为2025年新增两人，人员经费增加。项目支出增加0.00万元，主要为2025年我单位无年初预算安排。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2025年，我单位机关运行经费共计安排4.06万元，主要用于日常维修、办公用房水电费、办公用房取暖费、办公用房物业管理费等日常运行支出。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450004昌黎县职工医疗保险中心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昌黎县职工医疗保险中心上年末固定资产金额为34.52万元（详见下表）。本年度拟购置固定资产总额为0.00万元，已按要求列入政府采购预算，详见政府采购预算表。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450004昌黎县职工医疗保险中心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34.52</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10.75</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23.77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03"/>
      <w:r>
        <w:rPr>
          <w:rFonts w:ascii="方正小标宋_GBK" w:eastAsia="方正小标宋_GBK" w:cs="方正小标宋_GBK" w:hAnsi="方正小标宋_GBK"/>
          <w:b w:val="0"/>
          <w:color w:val="000000"/>
          <w:sz w:val="44"/>
        </w:rPr>
        <w:t>三、昌黎县城乡居民基本医疗保险服务中心收支预算</w:t>
      </w:r>
      <w:bookmarkEnd w:id="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6031.97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21.61</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6008.47</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6.89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6031.97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6036.97</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5.00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6036.97</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6036.97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6036.97</w:t>
            </w:r>
          </w:p>
        </w:tc>
        <w:tc>
          <w:tcPr>
            <w:tcW w:w="1134" w:type="dxa"/>
            <w:tcBorders>
              <w:top w:val="single" w:sz="6" w:space="0" w:color="auto"/>
              <w:left w:val="single" w:sz="6" w:space="0" w:color="auto"/>
              <w:right w:val="single" w:sz="6" w:space="0" w:color="auto"/>
            </w:tcBorders>
            <w:vAlign w:val="center"/>
          </w:tcPr>
          <w:p>
            <w:pPr>
              <w:pStyle w:val="23"/>
            </w:pPr>
            <w:r>
              <w:t>6031.97</w:t>
            </w:r>
          </w:p>
        </w:tc>
        <w:tc>
          <w:tcPr>
            <w:tcW w:w="1134" w:type="dxa"/>
            <w:tcBorders>
              <w:top w:val="single" w:sz="6" w:space="0" w:color="auto"/>
              <w:left w:val="single" w:sz="6" w:space="0" w:color="auto"/>
              <w:right w:val="single" w:sz="6" w:space="0" w:color="auto"/>
            </w:tcBorders>
            <w:vAlign w:val="center"/>
          </w:tcPr>
          <w:p>
            <w:pPr>
              <w:pStyle w:val="23"/>
            </w:pPr>
            <w:r>
              <w:t>6031.97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5.00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21.61</w:t>
            </w:r>
          </w:p>
        </w:tc>
        <w:tc>
          <w:tcPr>
            <w:tcW w:w="1134" w:type="dxa"/>
            <w:tcBorders>
              <w:top w:val="single" w:sz="6" w:space="0" w:color="auto"/>
              <w:left w:val="single" w:sz="6" w:space="0" w:color="auto"/>
              <w:right w:val="single" w:sz="6" w:space="0" w:color="auto"/>
            </w:tcBorders>
            <w:vAlign w:val="center"/>
          </w:tcPr>
          <w:p>
            <w:pPr>
              <w:pStyle w:val="19"/>
            </w:pPr>
            <w:r>
              <w:t>16.61</w:t>
            </w:r>
          </w:p>
        </w:tc>
        <w:tc>
          <w:tcPr>
            <w:tcW w:w="1134" w:type="dxa"/>
            <w:tcBorders>
              <w:top w:val="single" w:sz="6" w:space="0" w:color="auto"/>
              <w:left w:val="single" w:sz="6" w:space="0" w:color="auto"/>
              <w:right w:val="single" w:sz="6" w:space="0" w:color="auto"/>
            </w:tcBorders>
            <w:vAlign w:val="center"/>
          </w:tcPr>
          <w:p>
            <w:pPr>
              <w:pStyle w:val="19"/>
            </w:pPr>
            <w:r>
              <w:t>16.61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16.61</w:t>
            </w:r>
          </w:p>
        </w:tc>
        <w:tc>
          <w:tcPr>
            <w:tcW w:w="1134" w:type="dxa"/>
            <w:tcBorders>
              <w:top w:val="single" w:sz="6" w:space="0" w:color="auto"/>
              <w:left w:val="single" w:sz="6" w:space="0" w:color="auto"/>
              <w:right w:val="single" w:sz="6" w:space="0" w:color="auto"/>
            </w:tcBorders>
            <w:vAlign w:val="center"/>
          </w:tcPr>
          <w:p>
            <w:pPr>
              <w:pStyle w:val="19"/>
            </w:pPr>
            <w:r>
              <w:t>16.61</w:t>
            </w:r>
          </w:p>
        </w:tc>
        <w:tc>
          <w:tcPr>
            <w:tcW w:w="1134" w:type="dxa"/>
            <w:tcBorders>
              <w:top w:val="single" w:sz="6" w:space="0" w:color="auto"/>
              <w:left w:val="single" w:sz="6" w:space="0" w:color="auto"/>
              <w:right w:val="single" w:sz="6" w:space="0" w:color="auto"/>
            </w:tcBorders>
            <w:vAlign w:val="center"/>
          </w:tcPr>
          <w:p>
            <w:pPr>
              <w:pStyle w:val="19"/>
            </w:pPr>
            <w:r>
              <w:t>16.61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13.78</w:t>
            </w:r>
          </w:p>
        </w:tc>
        <w:tc>
          <w:tcPr>
            <w:tcW w:w="1134" w:type="dxa"/>
            <w:tcBorders>
              <w:top w:val="single" w:sz="6" w:space="0" w:color="auto"/>
              <w:left w:val="single" w:sz="6" w:space="0" w:color="auto"/>
              <w:right w:val="single" w:sz="6" w:space="0" w:color="auto"/>
            </w:tcBorders>
            <w:vAlign w:val="center"/>
          </w:tcPr>
          <w:p>
            <w:pPr>
              <w:pStyle w:val="19"/>
            </w:pPr>
            <w:r>
              <w:t>13.78</w:t>
            </w:r>
          </w:p>
        </w:tc>
        <w:tc>
          <w:tcPr>
            <w:tcW w:w="1134" w:type="dxa"/>
            <w:tcBorders>
              <w:top w:val="single" w:sz="6" w:space="0" w:color="auto"/>
              <w:left w:val="single" w:sz="6" w:space="0" w:color="auto"/>
              <w:right w:val="single" w:sz="6" w:space="0" w:color="auto"/>
            </w:tcBorders>
            <w:vAlign w:val="center"/>
          </w:tcPr>
          <w:p>
            <w:pPr>
              <w:pStyle w:val="19"/>
            </w:pPr>
            <w:r>
              <w:t>13.78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2.83</w:t>
            </w:r>
          </w:p>
        </w:tc>
        <w:tc>
          <w:tcPr>
            <w:tcW w:w="1134" w:type="dxa"/>
            <w:tcBorders>
              <w:top w:val="single" w:sz="6" w:space="0" w:color="auto"/>
              <w:left w:val="single" w:sz="6" w:space="0" w:color="auto"/>
              <w:right w:val="single" w:sz="6" w:space="0" w:color="auto"/>
            </w:tcBorders>
            <w:vAlign w:val="center"/>
          </w:tcPr>
          <w:p>
            <w:pPr>
              <w:pStyle w:val="19"/>
            </w:pPr>
            <w:r>
              <w:t>2.83</w:t>
            </w:r>
          </w:p>
        </w:tc>
        <w:tc>
          <w:tcPr>
            <w:tcW w:w="1134" w:type="dxa"/>
            <w:tcBorders>
              <w:top w:val="single" w:sz="6" w:space="0" w:color="auto"/>
              <w:left w:val="single" w:sz="6" w:space="0" w:color="auto"/>
              <w:right w:val="single" w:sz="6" w:space="0" w:color="auto"/>
            </w:tcBorders>
            <w:vAlign w:val="center"/>
          </w:tcPr>
          <w:p>
            <w:pPr>
              <w:pStyle w:val="19"/>
            </w:pPr>
            <w:r>
              <w:t>2.83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20899</w:t>
            </w:r>
          </w:p>
        </w:tc>
        <w:tc>
          <w:tcPr>
            <w:tcW w:w="1559" w:type="dxa"/>
            <w:tcBorders>
              <w:top w:val="single" w:sz="6" w:space="0" w:color="auto"/>
              <w:left w:val="single" w:sz="6" w:space="0" w:color="auto"/>
              <w:right w:val="single" w:sz="6" w:space="0" w:color="auto"/>
            </w:tcBorders>
            <w:vAlign w:val="center"/>
          </w:tcPr>
          <w:p>
            <w:pPr>
              <w:pStyle w:val="20"/>
            </w:pPr>
            <w:r>
              <w:t>其他社会保障和就业支出</w:t>
            </w:r>
          </w:p>
        </w:tc>
        <w:tc>
          <w:tcPr>
            <w:tcW w:w="1134" w:type="dxa"/>
            <w:tcBorders>
              <w:top w:val="single" w:sz="6" w:space="0" w:color="auto"/>
              <w:left w:val="single" w:sz="6" w:space="0" w:color="auto"/>
              <w:right w:val="single" w:sz="6" w:space="0" w:color="auto"/>
            </w:tcBorders>
            <w:vAlign w:val="center"/>
          </w:tcPr>
          <w:p>
            <w:pPr>
              <w:pStyle w:val="19"/>
            </w:pPr>
            <w:r>
              <w:t>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2089999</w:t>
            </w:r>
          </w:p>
        </w:tc>
        <w:tc>
          <w:tcPr>
            <w:tcW w:w="1559" w:type="dxa"/>
            <w:tcBorders>
              <w:top w:val="single" w:sz="6" w:space="0" w:color="auto"/>
              <w:left w:val="single" w:sz="6" w:space="0" w:color="auto"/>
              <w:right w:val="single" w:sz="6" w:space="0" w:color="auto"/>
            </w:tcBorders>
            <w:vAlign w:val="center"/>
          </w:tcPr>
          <w:p>
            <w:pPr>
              <w:pStyle w:val="20"/>
            </w:pPr>
            <w:r>
              <w:t>其他社会保障和就业支出</w:t>
            </w:r>
          </w:p>
        </w:tc>
        <w:tc>
          <w:tcPr>
            <w:tcW w:w="1134" w:type="dxa"/>
            <w:tcBorders>
              <w:top w:val="single" w:sz="6" w:space="0" w:color="auto"/>
              <w:left w:val="single" w:sz="6" w:space="0" w:color="auto"/>
              <w:right w:val="single" w:sz="6" w:space="0" w:color="auto"/>
            </w:tcBorders>
            <w:vAlign w:val="center"/>
          </w:tcPr>
          <w:p>
            <w:pPr>
              <w:pStyle w:val="19"/>
            </w:pPr>
            <w:r>
              <w:t>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6008.47</w:t>
            </w:r>
          </w:p>
        </w:tc>
        <w:tc>
          <w:tcPr>
            <w:tcW w:w="1134" w:type="dxa"/>
            <w:tcBorders>
              <w:top w:val="single" w:sz="6" w:space="0" w:color="auto"/>
              <w:left w:val="single" w:sz="6" w:space="0" w:color="auto"/>
              <w:right w:val="single" w:sz="6" w:space="0" w:color="auto"/>
            </w:tcBorders>
            <w:vAlign w:val="center"/>
          </w:tcPr>
          <w:p>
            <w:pPr>
              <w:pStyle w:val="19"/>
            </w:pPr>
            <w:r>
              <w:t>6008.47</w:t>
            </w:r>
          </w:p>
        </w:tc>
        <w:tc>
          <w:tcPr>
            <w:tcW w:w="1134" w:type="dxa"/>
            <w:tcBorders>
              <w:top w:val="single" w:sz="6" w:space="0" w:color="auto"/>
              <w:left w:val="single" w:sz="6" w:space="0" w:color="auto"/>
              <w:right w:val="single" w:sz="6" w:space="0" w:color="auto"/>
            </w:tcBorders>
            <w:vAlign w:val="center"/>
          </w:tcPr>
          <w:p>
            <w:pPr>
              <w:pStyle w:val="19"/>
            </w:pPr>
            <w:r>
              <w:t>6008.47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r>
              <w:t>7.34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21012</w:t>
            </w:r>
          </w:p>
        </w:tc>
        <w:tc>
          <w:tcPr>
            <w:tcW w:w="1559"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2101202</w:t>
            </w:r>
          </w:p>
        </w:tc>
        <w:tc>
          <w:tcPr>
            <w:tcW w:w="1559"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21013</w:t>
            </w:r>
          </w:p>
        </w:tc>
        <w:tc>
          <w:tcPr>
            <w:tcW w:w="1559" w:type="dxa"/>
            <w:tcBorders>
              <w:top w:val="single" w:sz="6" w:space="0" w:color="auto"/>
              <w:left w:val="single" w:sz="6" w:space="0" w:color="auto"/>
              <w:right w:val="single" w:sz="6" w:space="0" w:color="auto"/>
            </w:tcBorders>
            <w:vAlign w:val="center"/>
          </w:tcPr>
          <w:p>
            <w:pPr>
              <w:pStyle w:val="20"/>
            </w:pPr>
            <w:r>
              <w:t>医疗救助</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2101301</w:t>
            </w:r>
          </w:p>
        </w:tc>
        <w:tc>
          <w:tcPr>
            <w:tcW w:w="1559" w:type="dxa"/>
            <w:tcBorders>
              <w:top w:val="single" w:sz="6" w:space="0" w:color="auto"/>
              <w:left w:val="single" w:sz="6" w:space="0" w:color="auto"/>
              <w:right w:val="single" w:sz="6" w:space="0" w:color="auto"/>
            </w:tcBorders>
            <w:vAlign w:val="center"/>
          </w:tcPr>
          <w:p>
            <w:pPr>
              <w:pStyle w:val="20"/>
            </w:pPr>
            <w:r>
              <w:t>城乡医疗救助</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1559" w:type="dxa"/>
            <w:tcBorders>
              <w:top w:val="single" w:sz="6" w:space="0" w:color="auto"/>
              <w:left w:val="single" w:sz="6" w:space="0" w:color="auto"/>
              <w:right w:val="single" w:sz="6" w:space="0" w:color="auto"/>
            </w:tcBorders>
            <w:vAlign w:val="center"/>
          </w:tcPr>
          <w:p>
            <w:pPr>
              <w:pStyle w:val="20"/>
            </w:pPr>
            <w:r>
              <w:t>医疗保障管理事务</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r>
              <w:t>91.13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r>
              <w:t>6.89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6036.97</w:t>
            </w:r>
          </w:p>
        </w:tc>
        <w:tc>
          <w:tcPr>
            <w:tcW w:w="1361" w:type="dxa"/>
            <w:tcBorders>
              <w:top w:val="single" w:sz="6" w:space="0" w:color="auto"/>
              <w:left w:val="single" w:sz="6" w:space="0" w:color="auto"/>
              <w:right w:val="single" w:sz="6" w:space="0" w:color="auto"/>
            </w:tcBorders>
            <w:vAlign w:val="center"/>
          </w:tcPr>
          <w:p>
            <w:pPr>
              <w:pStyle w:val="23"/>
            </w:pPr>
            <w:r>
              <w:t>121.97</w:t>
            </w:r>
          </w:p>
        </w:tc>
        <w:tc>
          <w:tcPr>
            <w:tcW w:w="1361" w:type="dxa"/>
            <w:tcBorders>
              <w:top w:val="single" w:sz="6" w:space="0" w:color="auto"/>
              <w:left w:val="single" w:sz="6" w:space="0" w:color="auto"/>
              <w:right w:val="single" w:sz="6" w:space="0" w:color="auto"/>
            </w:tcBorders>
            <w:vAlign w:val="center"/>
          </w:tcPr>
          <w:p>
            <w:pPr>
              <w:pStyle w:val="23"/>
            </w:pPr>
            <w:r>
              <w:t>5915.00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21.61</w:t>
            </w:r>
          </w:p>
        </w:tc>
        <w:tc>
          <w:tcPr>
            <w:tcW w:w="1361" w:type="dxa"/>
            <w:tcBorders>
              <w:top w:val="single" w:sz="6" w:space="0" w:color="auto"/>
              <w:left w:val="single" w:sz="6" w:space="0" w:color="auto"/>
              <w:right w:val="single" w:sz="6" w:space="0" w:color="auto"/>
            </w:tcBorders>
            <w:vAlign w:val="center"/>
          </w:tcPr>
          <w:p>
            <w:pPr>
              <w:pStyle w:val="19"/>
            </w:pPr>
            <w:r>
              <w:t>16.61</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16.61</w:t>
            </w:r>
          </w:p>
        </w:tc>
        <w:tc>
          <w:tcPr>
            <w:tcW w:w="1361" w:type="dxa"/>
            <w:tcBorders>
              <w:top w:val="single" w:sz="6" w:space="0" w:color="auto"/>
              <w:left w:val="single" w:sz="6" w:space="0" w:color="auto"/>
              <w:right w:val="single" w:sz="6" w:space="0" w:color="auto"/>
            </w:tcBorders>
            <w:vAlign w:val="center"/>
          </w:tcPr>
          <w:p>
            <w:pPr>
              <w:pStyle w:val="19"/>
            </w:pPr>
            <w:r>
              <w:t>16.61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13.78</w:t>
            </w:r>
          </w:p>
        </w:tc>
        <w:tc>
          <w:tcPr>
            <w:tcW w:w="1361" w:type="dxa"/>
            <w:tcBorders>
              <w:top w:val="single" w:sz="6" w:space="0" w:color="auto"/>
              <w:left w:val="single" w:sz="6" w:space="0" w:color="auto"/>
              <w:right w:val="single" w:sz="6" w:space="0" w:color="auto"/>
            </w:tcBorders>
            <w:vAlign w:val="center"/>
          </w:tcPr>
          <w:p>
            <w:pPr>
              <w:pStyle w:val="19"/>
            </w:pPr>
            <w:r>
              <w:t>13.78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2.83</w:t>
            </w:r>
          </w:p>
        </w:tc>
        <w:tc>
          <w:tcPr>
            <w:tcW w:w="1361" w:type="dxa"/>
            <w:tcBorders>
              <w:top w:val="single" w:sz="6" w:space="0" w:color="auto"/>
              <w:left w:val="single" w:sz="6" w:space="0" w:color="auto"/>
              <w:right w:val="single" w:sz="6" w:space="0" w:color="auto"/>
            </w:tcBorders>
            <w:vAlign w:val="center"/>
          </w:tcPr>
          <w:p>
            <w:pPr>
              <w:pStyle w:val="19"/>
            </w:pPr>
            <w:r>
              <w:t>2.83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2089999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6008.47</w:t>
            </w:r>
          </w:p>
        </w:tc>
        <w:tc>
          <w:tcPr>
            <w:tcW w:w="1361" w:type="dxa"/>
            <w:tcBorders>
              <w:top w:val="single" w:sz="6" w:space="0" w:color="auto"/>
              <w:left w:val="single" w:sz="6" w:space="0" w:color="auto"/>
              <w:right w:val="single" w:sz="6" w:space="0" w:color="auto"/>
            </w:tcBorders>
            <w:vAlign w:val="center"/>
          </w:tcPr>
          <w:p>
            <w:pPr>
              <w:pStyle w:val="19"/>
            </w:pPr>
            <w:r>
              <w:t>98.47</w:t>
            </w:r>
          </w:p>
        </w:tc>
        <w:tc>
          <w:tcPr>
            <w:tcW w:w="1361" w:type="dxa"/>
            <w:tcBorders>
              <w:top w:val="single" w:sz="6" w:space="0" w:color="auto"/>
              <w:left w:val="single" w:sz="6" w:space="0" w:color="auto"/>
              <w:right w:val="single" w:sz="6" w:space="0" w:color="auto"/>
            </w:tcBorders>
            <w:vAlign w:val="center"/>
          </w:tcPr>
          <w:p>
            <w:pPr>
              <w:pStyle w:val="19"/>
            </w:pPr>
            <w:r>
              <w:t>5910.00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7.34</w:t>
            </w:r>
          </w:p>
        </w:tc>
        <w:tc>
          <w:tcPr>
            <w:tcW w:w="1361" w:type="dxa"/>
            <w:tcBorders>
              <w:top w:val="single" w:sz="6" w:space="0" w:color="auto"/>
              <w:left w:val="single" w:sz="6" w:space="0" w:color="auto"/>
              <w:right w:val="single" w:sz="6" w:space="0" w:color="auto"/>
            </w:tcBorders>
            <w:vAlign w:val="center"/>
          </w:tcPr>
          <w:p>
            <w:pPr>
              <w:pStyle w:val="19"/>
            </w:pPr>
            <w:r>
              <w:t>7.34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7.34</w:t>
            </w:r>
          </w:p>
        </w:tc>
        <w:tc>
          <w:tcPr>
            <w:tcW w:w="1361" w:type="dxa"/>
            <w:tcBorders>
              <w:top w:val="single" w:sz="6" w:space="0" w:color="auto"/>
              <w:left w:val="single" w:sz="6" w:space="0" w:color="auto"/>
              <w:right w:val="single" w:sz="6" w:space="0" w:color="auto"/>
            </w:tcBorders>
            <w:vAlign w:val="center"/>
          </w:tcPr>
          <w:p>
            <w:pPr>
              <w:pStyle w:val="19"/>
            </w:pPr>
            <w:r>
              <w:t>7.34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21012</w:t>
            </w:r>
          </w:p>
        </w:tc>
        <w:tc>
          <w:tcPr>
            <w:tcW w:w="4535"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2101202</w:t>
            </w:r>
          </w:p>
        </w:tc>
        <w:tc>
          <w:tcPr>
            <w:tcW w:w="4535"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21013</w:t>
            </w:r>
          </w:p>
        </w:tc>
        <w:tc>
          <w:tcPr>
            <w:tcW w:w="4535" w:type="dxa"/>
            <w:tcBorders>
              <w:top w:val="single" w:sz="6" w:space="0" w:color="auto"/>
              <w:left w:val="single" w:sz="6" w:space="0" w:color="auto"/>
              <w:right w:val="single" w:sz="6" w:space="0" w:color="auto"/>
            </w:tcBorders>
            <w:vAlign w:val="center"/>
          </w:tcPr>
          <w:p>
            <w:pPr>
              <w:pStyle w:val="20"/>
            </w:pPr>
            <w:r>
              <w:t>医疗救助</w:t>
            </w: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2101301</w:t>
            </w:r>
          </w:p>
        </w:tc>
        <w:tc>
          <w:tcPr>
            <w:tcW w:w="4535" w:type="dxa"/>
            <w:tcBorders>
              <w:top w:val="single" w:sz="6" w:space="0" w:color="auto"/>
              <w:left w:val="single" w:sz="6" w:space="0" w:color="auto"/>
              <w:right w:val="single" w:sz="6" w:space="0" w:color="auto"/>
            </w:tcBorders>
            <w:vAlign w:val="center"/>
          </w:tcPr>
          <w:p>
            <w:pPr>
              <w:pStyle w:val="20"/>
            </w:pPr>
            <w:r>
              <w:t>城乡医疗救助</w:t>
            </w: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1361" w:type="dxa"/>
            <w:tcBorders>
              <w:top w:val="single" w:sz="6" w:space="0" w:color="auto"/>
              <w:left w:val="single" w:sz="6" w:space="0" w:color="auto"/>
              <w:right w:val="single" w:sz="6" w:space="0" w:color="auto"/>
            </w:tcBorders>
            <w:vAlign w:val="center"/>
          </w:tcPr>
          <w:p>
            <w:pPr>
              <w:pStyle w:val="19"/>
            </w:pPr>
            <w:r>
              <w:t>91.13</w:t>
            </w:r>
          </w:p>
        </w:tc>
        <w:tc>
          <w:tcPr>
            <w:tcW w:w="1361" w:type="dxa"/>
            <w:tcBorders>
              <w:top w:val="single" w:sz="6" w:space="0" w:color="auto"/>
              <w:left w:val="single" w:sz="6" w:space="0" w:color="auto"/>
              <w:right w:val="single" w:sz="6" w:space="0" w:color="auto"/>
            </w:tcBorders>
            <w:vAlign w:val="center"/>
          </w:tcPr>
          <w:p>
            <w:pPr>
              <w:pStyle w:val="19"/>
            </w:pPr>
            <w:r>
              <w:t>91.13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91.13</w:t>
            </w:r>
          </w:p>
        </w:tc>
        <w:tc>
          <w:tcPr>
            <w:tcW w:w="1361" w:type="dxa"/>
            <w:tcBorders>
              <w:top w:val="single" w:sz="6" w:space="0" w:color="auto"/>
              <w:left w:val="single" w:sz="6" w:space="0" w:color="auto"/>
              <w:right w:val="single" w:sz="6" w:space="0" w:color="auto"/>
            </w:tcBorders>
            <w:vAlign w:val="center"/>
          </w:tcPr>
          <w:p>
            <w:pPr>
              <w:pStyle w:val="19"/>
            </w:pPr>
            <w:r>
              <w:t>91.13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r>
              <w:t>6.89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6031.97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21.61</w:t>
            </w:r>
          </w:p>
        </w:tc>
        <w:tc>
          <w:tcPr>
            <w:tcW w:w="1474" w:type="dxa"/>
            <w:tcBorders>
              <w:top w:val="single" w:sz="6" w:space="0" w:color="auto"/>
              <w:left w:val="single" w:sz="6" w:space="0" w:color="auto"/>
              <w:right w:val="single" w:sz="6" w:space="0" w:color="auto"/>
            </w:tcBorders>
            <w:vAlign w:val="center"/>
          </w:tcPr>
          <w:p>
            <w:pPr>
              <w:pStyle w:val="19"/>
            </w:pPr>
            <w:r>
              <w:t>21.61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6008.47</w:t>
            </w:r>
          </w:p>
        </w:tc>
        <w:tc>
          <w:tcPr>
            <w:tcW w:w="1474" w:type="dxa"/>
            <w:tcBorders>
              <w:top w:val="single" w:sz="6" w:space="0" w:color="auto"/>
              <w:left w:val="single" w:sz="6" w:space="0" w:color="auto"/>
              <w:right w:val="single" w:sz="6" w:space="0" w:color="auto"/>
            </w:tcBorders>
            <w:vAlign w:val="center"/>
          </w:tcPr>
          <w:p>
            <w:pPr>
              <w:pStyle w:val="19"/>
            </w:pPr>
            <w:r>
              <w:t>6008.47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6.89</w:t>
            </w:r>
          </w:p>
        </w:tc>
        <w:tc>
          <w:tcPr>
            <w:tcW w:w="1474" w:type="dxa"/>
            <w:tcBorders>
              <w:top w:val="single" w:sz="6" w:space="0" w:color="auto"/>
              <w:left w:val="single" w:sz="6" w:space="0" w:color="auto"/>
              <w:right w:val="single" w:sz="6" w:space="0" w:color="auto"/>
            </w:tcBorders>
            <w:vAlign w:val="center"/>
          </w:tcPr>
          <w:p>
            <w:pPr>
              <w:pStyle w:val="19"/>
            </w:pPr>
            <w:r>
              <w:t>6.89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6031.97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6036.97</w:t>
            </w:r>
          </w:p>
        </w:tc>
        <w:tc>
          <w:tcPr>
            <w:tcW w:w="1474" w:type="dxa"/>
            <w:tcBorders>
              <w:top w:val="single" w:sz="6" w:space="0" w:color="auto"/>
              <w:left w:val="single" w:sz="6" w:space="0" w:color="auto"/>
              <w:right w:val="single" w:sz="6" w:space="0" w:color="auto"/>
            </w:tcBorders>
            <w:vAlign w:val="center"/>
          </w:tcPr>
          <w:p>
            <w:pPr>
              <w:pStyle w:val="23"/>
            </w:pPr>
            <w:r>
              <w:t>6036.97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5.00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5.00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6036.97</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6036.97</w:t>
            </w:r>
          </w:p>
        </w:tc>
        <w:tc>
          <w:tcPr>
            <w:tcW w:w="1474" w:type="dxa"/>
            <w:tcBorders>
              <w:top w:val="single" w:sz="6" w:space="0" w:color="auto"/>
              <w:left w:val="single" w:sz="6" w:space="0" w:color="auto"/>
              <w:right w:val="single" w:sz="6" w:space="0" w:color="auto"/>
            </w:tcBorders>
            <w:vAlign w:val="center"/>
          </w:tcPr>
          <w:p>
            <w:pPr>
              <w:pStyle w:val="23"/>
            </w:pPr>
            <w:r>
              <w:t>6036.97</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6036.97</w:t>
            </w:r>
          </w:p>
        </w:tc>
        <w:tc>
          <w:tcPr>
            <w:tcW w:w="2551" w:type="dxa"/>
            <w:tcBorders>
              <w:top w:val="single" w:sz="6" w:space="0" w:color="auto"/>
              <w:left w:val="single" w:sz="6" w:space="0" w:color="auto"/>
              <w:right w:val="single" w:sz="6" w:space="0" w:color="auto"/>
            </w:tcBorders>
            <w:vAlign w:val="center"/>
          </w:tcPr>
          <w:p>
            <w:pPr>
              <w:pStyle w:val="23"/>
            </w:pPr>
            <w:r>
              <w:t>121.97</w:t>
            </w:r>
          </w:p>
        </w:tc>
        <w:tc>
          <w:tcPr>
            <w:tcW w:w="2551" w:type="dxa"/>
            <w:vAlign w:val="center"/>
          </w:tcPr>
          <w:p>
            <w:pPr>
              <w:pStyle w:val="23"/>
            </w:pPr>
            <w:r>
              <w:t>5915.00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21.61</w:t>
            </w:r>
          </w:p>
        </w:tc>
        <w:tc>
          <w:tcPr>
            <w:tcW w:w="2551" w:type="dxa"/>
            <w:tcBorders>
              <w:top w:val="single" w:sz="6" w:space="0" w:color="auto"/>
              <w:left w:val="single" w:sz="6" w:space="0" w:color="auto"/>
              <w:right w:val="single" w:sz="6" w:space="0" w:color="auto"/>
            </w:tcBorders>
            <w:vAlign w:val="center"/>
          </w:tcPr>
          <w:p>
            <w:pPr>
              <w:pStyle w:val="19"/>
            </w:pPr>
            <w:r>
              <w:t>16.61</w:t>
            </w:r>
          </w:p>
        </w:tc>
        <w:tc>
          <w:tcPr>
            <w:tcW w:w="2551" w:type="dxa"/>
            <w:vAlign w:val="center"/>
          </w:tcPr>
          <w:p>
            <w:pPr>
              <w:pStyle w:val="19"/>
            </w:pPr>
            <w:r>
              <w:t>5.00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16.61</w:t>
            </w:r>
          </w:p>
        </w:tc>
        <w:tc>
          <w:tcPr>
            <w:tcW w:w="2551" w:type="dxa"/>
            <w:tcBorders>
              <w:top w:val="single" w:sz="6" w:space="0" w:color="auto"/>
              <w:left w:val="single" w:sz="6" w:space="0" w:color="auto"/>
              <w:right w:val="single" w:sz="6" w:space="0" w:color="auto"/>
            </w:tcBorders>
            <w:vAlign w:val="center"/>
          </w:tcPr>
          <w:p>
            <w:pPr>
              <w:pStyle w:val="19"/>
            </w:pPr>
            <w:r>
              <w:t>16.61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13.78</w:t>
            </w:r>
          </w:p>
        </w:tc>
        <w:tc>
          <w:tcPr>
            <w:tcW w:w="2551" w:type="dxa"/>
            <w:tcBorders>
              <w:top w:val="single" w:sz="6" w:space="0" w:color="auto"/>
              <w:left w:val="single" w:sz="6" w:space="0" w:color="auto"/>
              <w:right w:val="single" w:sz="6" w:space="0" w:color="auto"/>
            </w:tcBorders>
            <w:vAlign w:val="center"/>
          </w:tcPr>
          <w:p>
            <w:pPr>
              <w:pStyle w:val="19"/>
            </w:pPr>
            <w:r>
              <w:t>13.78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2.83</w:t>
            </w:r>
          </w:p>
        </w:tc>
        <w:tc>
          <w:tcPr>
            <w:tcW w:w="2551" w:type="dxa"/>
            <w:tcBorders>
              <w:top w:val="single" w:sz="6" w:space="0" w:color="auto"/>
              <w:left w:val="single" w:sz="6" w:space="0" w:color="auto"/>
              <w:right w:val="single" w:sz="6" w:space="0" w:color="auto"/>
            </w:tcBorders>
            <w:vAlign w:val="center"/>
          </w:tcPr>
          <w:p>
            <w:pPr>
              <w:pStyle w:val="19"/>
            </w:pPr>
            <w:r>
              <w:t>2.83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2089999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6008.47</w:t>
            </w:r>
          </w:p>
        </w:tc>
        <w:tc>
          <w:tcPr>
            <w:tcW w:w="2551" w:type="dxa"/>
            <w:tcBorders>
              <w:top w:val="single" w:sz="6" w:space="0" w:color="auto"/>
              <w:left w:val="single" w:sz="6" w:space="0" w:color="auto"/>
              <w:right w:val="single" w:sz="6" w:space="0" w:color="auto"/>
            </w:tcBorders>
            <w:vAlign w:val="center"/>
          </w:tcPr>
          <w:p>
            <w:pPr>
              <w:pStyle w:val="19"/>
            </w:pPr>
            <w:r>
              <w:t>98.47</w:t>
            </w:r>
          </w:p>
        </w:tc>
        <w:tc>
          <w:tcPr>
            <w:tcW w:w="2551" w:type="dxa"/>
            <w:vAlign w:val="center"/>
          </w:tcPr>
          <w:p>
            <w:pPr>
              <w:pStyle w:val="19"/>
            </w:pPr>
            <w:r>
              <w:t>5910.00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21012</w:t>
            </w:r>
          </w:p>
        </w:tc>
        <w:tc>
          <w:tcPr>
            <w:tcW w:w="4535"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2551" w:type="dxa"/>
            <w:tcBorders>
              <w:top w:val="single" w:sz="6" w:space="0" w:color="auto"/>
              <w:left w:val="single" w:sz="6" w:space="0" w:color="auto"/>
              <w:right w:val="single" w:sz="6" w:space="0" w:color="auto"/>
            </w:tcBorders>
            <w:vAlign w:val="center"/>
          </w:tcPr>
          <w:p>
            <w:pPr>
              <w:pStyle w:val="19"/>
            </w:pPr>
            <w:r>
              <w:t>5110.00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5110.00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2101202</w:t>
            </w:r>
          </w:p>
        </w:tc>
        <w:tc>
          <w:tcPr>
            <w:tcW w:w="4535"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2551" w:type="dxa"/>
            <w:tcBorders>
              <w:top w:val="single" w:sz="6" w:space="0" w:color="auto"/>
              <w:left w:val="single" w:sz="6" w:space="0" w:color="auto"/>
              <w:right w:val="single" w:sz="6" w:space="0" w:color="auto"/>
            </w:tcBorders>
            <w:vAlign w:val="center"/>
          </w:tcPr>
          <w:p>
            <w:pPr>
              <w:pStyle w:val="19"/>
            </w:pPr>
            <w:r>
              <w:t>5110.00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5110.00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21013</w:t>
            </w:r>
          </w:p>
        </w:tc>
        <w:tc>
          <w:tcPr>
            <w:tcW w:w="4535" w:type="dxa"/>
            <w:tcBorders>
              <w:top w:val="single" w:sz="6" w:space="0" w:color="auto"/>
              <w:left w:val="single" w:sz="6" w:space="0" w:color="auto"/>
              <w:right w:val="single" w:sz="6" w:space="0" w:color="auto"/>
            </w:tcBorders>
            <w:vAlign w:val="center"/>
          </w:tcPr>
          <w:p>
            <w:pPr>
              <w:pStyle w:val="20"/>
            </w:pPr>
            <w:r>
              <w:t>医疗救助</w:t>
            </w:r>
          </w:p>
        </w:tc>
        <w:tc>
          <w:tcPr>
            <w:tcW w:w="2551" w:type="dxa"/>
            <w:tcBorders>
              <w:top w:val="single" w:sz="6" w:space="0" w:color="auto"/>
              <w:left w:val="single" w:sz="6" w:space="0" w:color="auto"/>
              <w:right w:val="single" w:sz="6" w:space="0" w:color="auto"/>
            </w:tcBorders>
            <w:vAlign w:val="center"/>
          </w:tcPr>
          <w:p>
            <w:pPr>
              <w:pStyle w:val="19"/>
            </w:pPr>
            <w:r>
              <w:t>800.00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2101301</w:t>
            </w:r>
          </w:p>
        </w:tc>
        <w:tc>
          <w:tcPr>
            <w:tcW w:w="4535" w:type="dxa"/>
            <w:tcBorders>
              <w:top w:val="single" w:sz="6" w:space="0" w:color="auto"/>
              <w:left w:val="single" w:sz="6" w:space="0" w:color="auto"/>
              <w:right w:val="single" w:sz="6" w:space="0" w:color="auto"/>
            </w:tcBorders>
            <w:vAlign w:val="center"/>
          </w:tcPr>
          <w:p>
            <w:pPr>
              <w:pStyle w:val="20"/>
            </w:pPr>
            <w:r>
              <w:t>城乡医疗救助</w:t>
            </w:r>
          </w:p>
        </w:tc>
        <w:tc>
          <w:tcPr>
            <w:tcW w:w="2551" w:type="dxa"/>
            <w:tcBorders>
              <w:top w:val="single" w:sz="6" w:space="0" w:color="auto"/>
              <w:left w:val="single" w:sz="6" w:space="0" w:color="auto"/>
              <w:right w:val="single" w:sz="6" w:space="0" w:color="auto"/>
            </w:tcBorders>
            <w:vAlign w:val="center"/>
          </w:tcPr>
          <w:p>
            <w:pPr>
              <w:pStyle w:val="19"/>
            </w:pPr>
            <w:r>
              <w:t>800.00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2551" w:type="dxa"/>
            <w:tcBorders>
              <w:top w:val="single" w:sz="6" w:space="0" w:color="auto"/>
              <w:left w:val="single" w:sz="6" w:space="0" w:color="auto"/>
              <w:right w:val="single" w:sz="6" w:space="0" w:color="auto"/>
            </w:tcBorders>
            <w:vAlign w:val="center"/>
          </w:tcPr>
          <w:p>
            <w:pPr>
              <w:pStyle w:val="19"/>
            </w:pPr>
            <w:r>
              <w:t>91.13</w:t>
            </w:r>
          </w:p>
        </w:tc>
        <w:tc>
          <w:tcPr>
            <w:tcW w:w="2551" w:type="dxa"/>
            <w:tcBorders>
              <w:top w:val="single" w:sz="6" w:space="0" w:color="auto"/>
              <w:left w:val="single" w:sz="6" w:space="0" w:color="auto"/>
              <w:right w:val="single" w:sz="6" w:space="0" w:color="auto"/>
            </w:tcBorders>
            <w:vAlign w:val="center"/>
          </w:tcPr>
          <w:p>
            <w:pPr>
              <w:pStyle w:val="19"/>
            </w:pPr>
            <w:r>
              <w:t>91.13</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91.13</w:t>
            </w:r>
          </w:p>
        </w:tc>
        <w:tc>
          <w:tcPr>
            <w:tcW w:w="2551" w:type="dxa"/>
            <w:tcBorders>
              <w:top w:val="single" w:sz="6" w:space="0" w:color="auto"/>
              <w:left w:val="single" w:sz="6" w:space="0" w:color="auto"/>
              <w:right w:val="single" w:sz="6" w:space="0" w:color="auto"/>
            </w:tcBorders>
            <w:vAlign w:val="center"/>
          </w:tcPr>
          <w:p>
            <w:pPr>
              <w:pStyle w:val="19"/>
            </w:pPr>
            <w:r>
              <w:t>91.13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121.97</w:t>
            </w:r>
          </w:p>
        </w:tc>
        <w:tc>
          <w:tcPr>
            <w:tcW w:w="2551" w:type="dxa"/>
            <w:tcBorders>
              <w:top w:val="single" w:sz="6" w:space="0" w:color="auto"/>
              <w:left w:val="single" w:sz="6" w:space="0" w:color="auto"/>
              <w:right w:val="single" w:sz="6" w:space="0" w:color="auto"/>
            </w:tcBorders>
            <w:vAlign w:val="center"/>
          </w:tcPr>
          <w:p>
            <w:pPr>
              <w:pStyle w:val="23"/>
            </w:pPr>
            <w:r>
              <w:t>118.78</w:t>
            </w:r>
          </w:p>
        </w:tc>
        <w:tc>
          <w:tcPr>
            <w:tcW w:w="2551" w:type="dxa"/>
            <w:vAlign w:val="center"/>
          </w:tcPr>
          <w:p>
            <w:pPr>
              <w:pStyle w:val="23"/>
            </w:pPr>
            <w:r>
              <w:t>3.19</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116.56</w:t>
            </w:r>
          </w:p>
        </w:tc>
        <w:tc>
          <w:tcPr>
            <w:tcW w:w="2551" w:type="dxa"/>
            <w:tcBorders>
              <w:top w:val="single" w:sz="6" w:space="0" w:color="auto"/>
              <w:left w:val="single" w:sz="6" w:space="0" w:color="auto"/>
              <w:right w:val="single" w:sz="6" w:space="0" w:color="auto"/>
            </w:tcBorders>
            <w:vAlign w:val="center"/>
          </w:tcPr>
          <w:p>
            <w:pPr>
              <w:pStyle w:val="19"/>
            </w:pPr>
            <w:r>
              <w:t>116.56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51.77</w:t>
            </w:r>
          </w:p>
        </w:tc>
        <w:tc>
          <w:tcPr>
            <w:tcW w:w="2551" w:type="dxa"/>
            <w:tcBorders>
              <w:top w:val="single" w:sz="6" w:space="0" w:color="auto"/>
              <w:left w:val="single" w:sz="6" w:space="0" w:color="auto"/>
              <w:right w:val="single" w:sz="6" w:space="0" w:color="auto"/>
            </w:tcBorders>
            <w:vAlign w:val="center"/>
          </w:tcPr>
          <w:p>
            <w:pPr>
              <w:pStyle w:val="19"/>
            </w:pPr>
            <w:r>
              <w:t>51.77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5.44</w:t>
            </w:r>
          </w:p>
        </w:tc>
        <w:tc>
          <w:tcPr>
            <w:tcW w:w="2551" w:type="dxa"/>
            <w:tcBorders>
              <w:top w:val="single" w:sz="6" w:space="0" w:color="auto"/>
              <w:left w:val="single" w:sz="6" w:space="0" w:color="auto"/>
              <w:right w:val="single" w:sz="6" w:space="0" w:color="auto"/>
            </w:tcBorders>
            <w:vAlign w:val="center"/>
          </w:tcPr>
          <w:p>
            <w:pPr>
              <w:pStyle w:val="19"/>
            </w:pPr>
            <w:r>
              <w:t>5.44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27.59</w:t>
            </w:r>
          </w:p>
        </w:tc>
        <w:tc>
          <w:tcPr>
            <w:tcW w:w="2551" w:type="dxa"/>
            <w:tcBorders>
              <w:top w:val="single" w:sz="6" w:space="0" w:color="auto"/>
              <w:left w:val="single" w:sz="6" w:space="0" w:color="auto"/>
              <w:right w:val="single" w:sz="6" w:space="0" w:color="auto"/>
            </w:tcBorders>
            <w:vAlign w:val="center"/>
          </w:tcPr>
          <w:p>
            <w:pPr>
              <w:pStyle w:val="19"/>
            </w:pPr>
            <w:r>
              <w:t>27.59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13.78</w:t>
            </w:r>
          </w:p>
        </w:tc>
        <w:tc>
          <w:tcPr>
            <w:tcW w:w="2551" w:type="dxa"/>
            <w:tcBorders>
              <w:top w:val="single" w:sz="6" w:space="0" w:color="auto"/>
              <w:left w:val="single" w:sz="6" w:space="0" w:color="auto"/>
              <w:right w:val="single" w:sz="6" w:space="0" w:color="auto"/>
            </w:tcBorders>
            <w:vAlign w:val="center"/>
          </w:tcPr>
          <w:p>
            <w:pPr>
              <w:pStyle w:val="19"/>
            </w:pPr>
            <w:r>
              <w:t>13.78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2.83</w:t>
            </w:r>
          </w:p>
        </w:tc>
        <w:tc>
          <w:tcPr>
            <w:tcW w:w="2551" w:type="dxa"/>
            <w:tcBorders>
              <w:top w:val="single" w:sz="6" w:space="0" w:color="auto"/>
              <w:left w:val="single" w:sz="6" w:space="0" w:color="auto"/>
              <w:right w:val="single" w:sz="6" w:space="0" w:color="auto"/>
            </w:tcBorders>
            <w:vAlign w:val="center"/>
          </w:tcPr>
          <w:p>
            <w:pPr>
              <w:pStyle w:val="19"/>
            </w:pPr>
            <w:r>
              <w:t>2.83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tcBorders>
              <w:top w:val="single" w:sz="6" w:space="0" w:color="auto"/>
              <w:left w:val="single" w:sz="6" w:space="0" w:color="auto"/>
              <w:right w:val="single" w:sz="6" w:space="0" w:color="auto"/>
            </w:tcBorders>
            <w:vAlign w:val="center"/>
          </w:tcPr>
          <w:p>
            <w:pPr>
              <w:pStyle w:val="19"/>
            </w:pPr>
            <w:r>
              <w:t>7.34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0.92</w:t>
            </w:r>
          </w:p>
        </w:tc>
        <w:tc>
          <w:tcPr>
            <w:tcW w:w="2551" w:type="dxa"/>
            <w:tcBorders>
              <w:top w:val="single" w:sz="6" w:space="0" w:color="auto"/>
              <w:left w:val="single" w:sz="6" w:space="0" w:color="auto"/>
              <w:right w:val="single" w:sz="6" w:space="0" w:color="auto"/>
            </w:tcBorders>
            <w:vAlign w:val="center"/>
          </w:tcPr>
          <w:p>
            <w:pPr>
              <w:pStyle w:val="19"/>
            </w:pPr>
            <w:r>
              <w:t>0.92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tcBorders>
              <w:top w:val="single" w:sz="6" w:space="0" w:color="auto"/>
              <w:left w:val="single" w:sz="6" w:space="0" w:color="auto"/>
              <w:right w:val="single" w:sz="6" w:space="0" w:color="auto"/>
            </w:tcBorders>
            <w:vAlign w:val="center"/>
          </w:tcPr>
          <w:p>
            <w:pPr>
              <w:pStyle w:val="19"/>
            </w:pPr>
            <w:r>
              <w:t>6.89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3.19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3.19</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2.20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0.99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0.99</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2.22</w:t>
            </w:r>
          </w:p>
        </w:tc>
        <w:tc>
          <w:tcPr>
            <w:tcW w:w="2551" w:type="dxa"/>
            <w:tcBorders>
              <w:top w:val="single" w:sz="6" w:space="0" w:color="auto"/>
              <w:left w:val="single" w:sz="6" w:space="0" w:color="auto"/>
              <w:right w:val="single" w:sz="6" w:space="0" w:color="auto"/>
            </w:tcBorders>
            <w:vAlign w:val="center"/>
          </w:tcPr>
          <w:p>
            <w:pPr>
              <w:pStyle w:val="19"/>
            </w:pPr>
            <w:r>
              <w:t>2.22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2.22</w:t>
            </w:r>
          </w:p>
        </w:tc>
        <w:tc>
          <w:tcPr>
            <w:tcW w:w="2551" w:type="dxa"/>
            <w:tcBorders>
              <w:top w:val="single" w:sz="6" w:space="0" w:color="auto"/>
              <w:left w:val="single" w:sz="6" w:space="0" w:color="auto"/>
              <w:right w:val="single" w:sz="6" w:space="0" w:color="auto"/>
            </w:tcBorders>
            <w:vAlign w:val="center"/>
          </w:tcPr>
          <w:p>
            <w:pPr>
              <w:pStyle w:val="19"/>
            </w:pPr>
            <w:r>
              <w:t>2.22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昌黎县城乡居民基本医疗保险服务中心2025年单位预算信息公开情况说明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按照《中华人民共和国预算法》、《地方预决算公开操作规程》和《关于进一步推进预算公开工作的实施意见》规定，现将昌黎县城乡居民基本医疗保险服务中心2025年单位预算公开如下：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负责城乡居民基本医疗保险基金的筹集、营运、调配等管理工作，负责编制城乡居民医疗保险基金预决算；负责医疗机构、定点零售药店的服务质量考核管理；负责城乡居民医疗保险信息系统日常运行和维护工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昌黎县城乡居民基本医疗保险服务中心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6036.97万元，其中：一般公共预算收入6031.97万元，基金预算收入0.00万元，国有资本经营预算收入0.00万元，财政专户核拨收入0.00万元，单位资金收入0.00万元，上年结转结余5.00万元。</w:t>
      </w:r>
    </w:p>
    <w:p>
      <w:pPr>
        <w:pStyle w:val="26"/>
      </w:pPr>
      <w:r>
        <w:t>2、支出说明</w:t>
      </w:r>
    </w:p>
    <w:p>
      <w:pPr>
        <w:pStyle w:val="26"/>
      </w:pPr>
      <w:r>
        <w:t>收支预算总表支出栏、基本支出表、项目支出表按经济分类和支出功能分类科目编制，反映昌黎县城乡居民基本医疗保险服务中心年度单位预算中支出预算的总体情况。2025年支出预算6036.97万元，其中基本支出121.97万元，包括人员经费118.78万元和日常公用经费3.19万元；项目支出5915.00万元，主要为2025年城乡居民医疗保险县级配套资金5110万元，2025年城乡居民医疗保险县级配套资金</w:t>
        <w:tab/>
        <w:t>480万元，2025年医疗救助县级配套资金360万元。结转2024年省级财政城乡社会保险代办员补助资金5万元。</w:t>
      </w:r>
    </w:p>
    <w:p>
      <w:pPr>
        <w:pStyle w:val="26"/>
      </w:pPr>
    </w:p>
    <w:p>
      <w:pPr>
        <w:pStyle w:val="26"/>
      </w:pPr>
    </w:p>
    <w:p>
      <w:pPr>
        <w:pStyle w:val="26"/>
      </w:pPr>
    </w:p>
    <w:p>
      <w:pPr>
        <w:pStyle w:val="26"/>
      </w:pPr>
    </w:p>
    <w:p>
      <w:pPr>
        <w:pStyle w:val="26"/>
      </w:pPr>
      <w:r>
        <w:t>3、比上年增减情况</w:t>
      </w:r>
    </w:p>
    <w:p>
      <w:pPr>
        <w:pStyle w:val="26"/>
      </w:pPr>
      <w:r>
        <w:t>2025年预算收支安排6036.97万元，较2024年预算减少180.42万元，其中：基本支出增加10.86万元，主要为2025年新增人员两人，人员经费增加。项目支出减少191.28万元，主要为城乡居民医疗保险县级配套资金减少。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2025年，我单位机关运行经费共计安排3.19万元，主要用于日常维修、办公用房水电费、办公用房取暖费、办公用房物业管理费等日常运行支出。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1、2024年省级财政城乡社会保险代办员补助资金绩效目标表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13032224P0042LF100139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2024年省级财政城乡社会保险代办员补助资金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用于财政城乡社会保险代办员补助，提高资金及时支付率。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1.按资金支出计划，及时拨付资金，确保补助资金发放及时，发展得到较好的保障，高效有序的开展各项工作。</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总基层村数</w:t>
            </w:r>
          </w:p>
        </w:tc>
        <w:tc>
          <w:tcPr>
            <w:tcW w:w="5386" w:type="dxa"/>
            <w:tcBorders>
              <w:top w:val="single" w:sz="6" w:space="0" w:color="auto"/>
              <w:left w:val="single" w:sz="6" w:space="0" w:color="auto"/>
              <w:right w:val="single" w:sz="6" w:space="0" w:color="auto"/>
            </w:tcBorders>
            <w:vAlign w:val="center"/>
          </w:tcPr>
          <w:p>
            <w:pPr>
              <w:pStyle w:val="20"/>
            </w:pPr>
            <w:r>
              <w:t>总基层村数</w:t>
            </w:r>
          </w:p>
        </w:tc>
        <w:tc>
          <w:tcPr>
            <w:tcW w:w="2268" w:type="dxa"/>
            <w:tcBorders>
              <w:top w:val="single" w:sz="6" w:space="0" w:color="auto"/>
              <w:left w:val="single" w:sz="6" w:space="0" w:color="auto"/>
              <w:right w:val="single" w:sz="6" w:space="0" w:color="auto"/>
            </w:tcBorders>
            <w:vAlign w:val="center"/>
          </w:tcPr>
          <w:p>
            <w:pPr>
              <w:pStyle w:val="20"/>
            </w:pPr>
            <w:r>
              <w:t>≥418座</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补助资金足额发放率</w:t>
            </w:r>
          </w:p>
        </w:tc>
        <w:tc>
          <w:tcPr>
            <w:tcW w:w="5386" w:type="dxa"/>
            <w:tcBorders>
              <w:top w:val="single" w:sz="6" w:space="0" w:color="auto"/>
              <w:left w:val="single" w:sz="6" w:space="0" w:color="auto"/>
              <w:right w:val="single" w:sz="6" w:space="0" w:color="auto"/>
            </w:tcBorders>
            <w:vAlign w:val="center"/>
          </w:tcPr>
          <w:p>
            <w:pPr>
              <w:pStyle w:val="20"/>
            </w:pPr>
            <w:r>
              <w:t>补助资金足额发放率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补助资金发放及时率</w:t>
            </w:r>
          </w:p>
        </w:tc>
        <w:tc>
          <w:tcPr>
            <w:tcW w:w="5386" w:type="dxa"/>
            <w:tcBorders>
              <w:top w:val="single" w:sz="6" w:space="0" w:color="auto"/>
              <w:left w:val="single" w:sz="6" w:space="0" w:color="auto"/>
              <w:right w:val="single" w:sz="6" w:space="0" w:color="auto"/>
            </w:tcBorders>
            <w:vAlign w:val="center"/>
          </w:tcPr>
          <w:p>
            <w:pPr>
              <w:pStyle w:val="20"/>
            </w:pPr>
            <w:r>
              <w:t>补助资金发放及时率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按照相关文件执行补贴发放</w:t>
            </w:r>
          </w:p>
        </w:tc>
        <w:tc>
          <w:tcPr>
            <w:tcW w:w="5386" w:type="dxa"/>
            <w:tcBorders>
              <w:top w:val="single" w:sz="6" w:space="0" w:color="auto"/>
              <w:left w:val="single" w:sz="6" w:space="0" w:color="auto"/>
              <w:right w:val="single" w:sz="6" w:space="0" w:color="auto"/>
            </w:tcBorders>
            <w:vAlign w:val="center"/>
          </w:tcPr>
          <w:p>
            <w:pPr>
              <w:pStyle w:val="20"/>
            </w:pPr>
            <w:r>
              <w:t>按照相关文件执行补贴发放</w:t>
            </w:r>
          </w:p>
        </w:tc>
        <w:tc>
          <w:tcPr>
            <w:tcW w:w="2268" w:type="dxa"/>
            <w:tcBorders>
              <w:top w:val="single" w:sz="6" w:space="0" w:color="auto"/>
              <w:left w:val="single" w:sz="6" w:space="0" w:color="auto"/>
              <w:right w:val="single" w:sz="6" w:space="0" w:color="auto"/>
            </w:tcBorders>
            <w:vAlign w:val="center"/>
          </w:tcPr>
          <w:p>
            <w:pPr>
              <w:pStyle w:val="20"/>
            </w:pPr>
            <w:r>
              <w:t>≤120元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提升公众服务水平</w:t>
            </w:r>
          </w:p>
        </w:tc>
        <w:tc>
          <w:tcPr>
            <w:tcW w:w="5386" w:type="dxa"/>
            <w:tcBorders>
              <w:top w:val="single" w:sz="6" w:space="0" w:color="auto"/>
              <w:left w:val="single" w:sz="6" w:space="0" w:color="auto"/>
              <w:right w:val="single" w:sz="6" w:space="0" w:color="auto"/>
            </w:tcBorders>
            <w:vAlign w:val="center"/>
          </w:tcPr>
          <w:p>
            <w:pPr>
              <w:pStyle w:val="20"/>
            </w:pPr>
            <w:r>
              <w:t>提升公众服务水平</w:t>
            </w:r>
          </w:p>
        </w:tc>
        <w:tc>
          <w:tcPr>
            <w:tcW w:w="2268" w:type="dxa"/>
            <w:tcBorders>
              <w:top w:val="single" w:sz="6" w:space="0" w:color="auto"/>
              <w:left w:val="single" w:sz="6" w:space="0" w:color="auto"/>
              <w:right w:val="single" w:sz="6" w:space="0" w:color="auto"/>
            </w:tcBorders>
            <w:vAlign w:val="center"/>
          </w:tcPr>
          <w:p>
            <w:pPr>
              <w:pStyle w:val="20"/>
            </w:pPr>
            <w:r>
              <w:t>进一步提升</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为我县医疗提供了有效的保障</w:t>
            </w:r>
          </w:p>
        </w:tc>
        <w:tc>
          <w:tcPr>
            <w:tcW w:w="5386" w:type="dxa"/>
            <w:tcBorders>
              <w:top w:val="single" w:sz="6" w:space="0" w:color="auto"/>
              <w:left w:val="single" w:sz="6" w:space="0" w:color="auto"/>
              <w:right w:val="single" w:sz="6" w:space="0" w:color="auto"/>
            </w:tcBorders>
            <w:vAlign w:val="center"/>
          </w:tcPr>
          <w:p>
            <w:pPr>
              <w:pStyle w:val="20"/>
            </w:pPr>
            <w:r>
              <w:t>为我县医疗提供了有效的保障</w:t>
            </w:r>
          </w:p>
        </w:tc>
        <w:tc>
          <w:tcPr>
            <w:tcW w:w="2268" w:type="dxa"/>
            <w:tcBorders>
              <w:top w:val="single" w:sz="6" w:space="0" w:color="auto"/>
              <w:left w:val="single" w:sz="6" w:space="0" w:color="auto"/>
              <w:right w:val="single" w:sz="6" w:space="0" w:color="auto"/>
            </w:tcBorders>
            <w:vAlign w:val="center"/>
          </w:tcPr>
          <w:p>
            <w:pPr>
              <w:pStyle w:val="20"/>
            </w:pPr>
            <w:r>
              <w:t xml:space="preserve">≥1年 </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实际调查满意度调查情况</w:t>
            </w:r>
          </w:p>
        </w:tc>
        <w:tc>
          <w:tcPr>
            <w:tcW w:w="5386" w:type="dxa"/>
            <w:tcBorders>
              <w:top w:val="single" w:sz="6" w:space="0" w:color="auto"/>
              <w:left w:val="single" w:sz="6" w:space="0" w:color="auto"/>
              <w:right w:val="single" w:sz="6" w:space="0" w:color="auto"/>
            </w:tcBorders>
            <w:vAlign w:val="center"/>
          </w:tcPr>
          <w:p>
            <w:pPr>
              <w:pStyle w:val="20"/>
            </w:pPr>
            <w:r>
              <w:t>实际调查满意度调查情况</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2、2025年城乡居民医疗保险县级配套资金绩效目标表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13032225P002216100013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2025年城乡居民医疗保险县级配套资金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5110.00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5110.00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及时拨付资金，确保补助资金发放及时。</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1.按资金支出计划，及时拨付资金，确保补助资金发放及时。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农村人口参加医疗保险率</w:t>
            </w:r>
          </w:p>
        </w:tc>
        <w:tc>
          <w:tcPr>
            <w:tcW w:w="5386" w:type="dxa"/>
            <w:tcBorders>
              <w:top w:val="single" w:sz="6" w:space="0" w:color="auto"/>
              <w:left w:val="single" w:sz="6" w:space="0" w:color="auto"/>
              <w:right w:val="single" w:sz="6" w:space="0" w:color="auto"/>
            </w:tcBorders>
            <w:vAlign w:val="center"/>
          </w:tcPr>
          <w:p>
            <w:pPr>
              <w:pStyle w:val="20"/>
            </w:pPr>
            <w:r>
              <w:t>参加医疗保险人数占享受医疗待遇人数比率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2025年人均城乡居民医疗保险救助成本</w:t>
            </w:r>
          </w:p>
        </w:tc>
        <w:tc>
          <w:tcPr>
            <w:tcW w:w="5386" w:type="dxa"/>
            <w:tcBorders>
              <w:top w:val="single" w:sz="6" w:space="0" w:color="auto"/>
              <w:left w:val="single" w:sz="6" w:space="0" w:color="auto"/>
              <w:right w:val="single" w:sz="6" w:space="0" w:color="auto"/>
            </w:tcBorders>
            <w:vAlign w:val="center"/>
          </w:tcPr>
          <w:p>
            <w:pPr>
              <w:pStyle w:val="20"/>
            </w:pPr>
            <w:r>
              <w:t>2025年城乡居民医疗保险每人每年生活补助标准</w:t>
            </w:r>
          </w:p>
        </w:tc>
        <w:tc>
          <w:tcPr>
            <w:tcW w:w="2268" w:type="dxa"/>
            <w:tcBorders>
              <w:top w:val="single" w:sz="6" w:space="0" w:color="auto"/>
              <w:left w:val="single" w:sz="6" w:space="0" w:color="auto"/>
              <w:right w:val="single" w:sz="6" w:space="0" w:color="auto"/>
            </w:tcBorders>
            <w:vAlign w:val="center"/>
          </w:tcPr>
          <w:p>
            <w:pPr>
              <w:pStyle w:val="20"/>
            </w:pPr>
            <w:r>
              <w:t>140元</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救助资金上缴金额准确性</w:t>
              <w:tab/>
            </w:r>
          </w:p>
        </w:tc>
        <w:tc>
          <w:tcPr>
            <w:tcW w:w="5386" w:type="dxa"/>
            <w:tcBorders>
              <w:top w:val="single" w:sz="6" w:space="0" w:color="auto"/>
              <w:left w:val="single" w:sz="6" w:space="0" w:color="auto"/>
              <w:right w:val="single" w:sz="6" w:space="0" w:color="auto"/>
            </w:tcBorders>
            <w:vAlign w:val="center"/>
          </w:tcPr>
          <w:p>
            <w:pPr>
              <w:pStyle w:val="20"/>
            </w:pPr>
            <w:r>
              <w:t>救助资金上缴金额准确性</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上缴财政专户时间</w:t>
            </w:r>
          </w:p>
        </w:tc>
        <w:tc>
          <w:tcPr>
            <w:tcW w:w="5386" w:type="dxa"/>
            <w:tcBorders>
              <w:top w:val="single" w:sz="6" w:space="0" w:color="auto"/>
              <w:left w:val="single" w:sz="6" w:space="0" w:color="auto"/>
              <w:right w:val="single" w:sz="6" w:space="0" w:color="auto"/>
            </w:tcBorders>
            <w:vAlign w:val="center"/>
          </w:tcPr>
          <w:p>
            <w:pPr>
              <w:pStyle w:val="20"/>
            </w:pPr>
            <w:r>
              <w:t>享受城乡居民医疗保险待遇的全部部分上缴市财政专户时间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享受待遇人群医疗保障</w:t>
            </w:r>
          </w:p>
        </w:tc>
        <w:tc>
          <w:tcPr>
            <w:tcW w:w="5386" w:type="dxa"/>
            <w:tcBorders>
              <w:top w:val="single" w:sz="6" w:space="0" w:color="auto"/>
              <w:left w:val="single" w:sz="6" w:space="0" w:color="auto"/>
              <w:right w:val="single" w:sz="6" w:space="0" w:color="auto"/>
            </w:tcBorders>
            <w:vAlign w:val="center"/>
          </w:tcPr>
          <w:p>
            <w:pPr>
              <w:pStyle w:val="20"/>
            </w:pPr>
            <w:r>
              <w:t>反应对待享受待遇的城乡居民医保覆盖率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受益人口数</w:t>
            </w:r>
          </w:p>
        </w:tc>
        <w:tc>
          <w:tcPr>
            <w:tcW w:w="5386" w:type="dxa"/>
            <w:tcBorders>
              <w:top w:val="single" w:sz="6" w:space="0" w:color="auto"/>
              <w:left w:val="single" w:sz="6" w:space="0" w:color="auto"/>
              <w:right w:val="single" w:sz="6" w:space="0" w:color="auto"/>
            </w:tcBorders>
            <w:vAlign w:val="center"/>
          </w:tcPr>
          <w:p>
            <w:pPr>
              <w:pStyle w:val="20"/>
            </w:pPr>
            <w:r>
              <w:t>享受待遇的城乡居民人口受益人群数</w:t>
            </w:r>
          </w:p>
        </w:tc>
        <w:tc>
          <w:tcPr>
            <w:tcW w:w="2268" w:type="dxa"/>
            <w:tcBorders>
              <w:top w:val="single" w:sz="6" w:space="0" w:color="auto"/>
              <w:left w:val="single" w:sz="6" w:space="0" w:color="auto"/>
              <w:right w:val="single" w:sz="6" w:space="0" w:color="auto"/>
            </w:tcBorders>
            <w:vAlign w:val="center"/>
          </w:tcPr>
          <w:p>
            <w:pPr>
              <w:pStyle w:val="20"/>
            </w:pPr>
            <w:r>
              <w:t>≥365000人</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减轻参加医疗保险人群的经济负担</w:t>
            </w:r>
          </w:p>
        </w:tc>
        <w:tc>
          <w:tcPr>
            <w:tcW w:w="5386" w:type="dxa"/>
            <w:tcBorders>
              <w:top w:val="single" w:sz="6" w:space="0" w:color="auto"/>
              <w:left w:val="single" w:sz="6" w:space="0" w:color="auto"/>
              <w:right w:val="single" w:sz="6" w:space="0" w:color="auto"/>
            </w:tcBorders>
            <w:vAlign w:val="center"/>
          </w:tcPr>
          <w:p>
            <w:pPr>
              <w:pStyle w:val="20"/>
            </w:pPr>
            <w:r>
              <w:t>通过对享受待遇人群补助，进一步减轻其经济负担</w:t>
            </w:r>
          </w:p>
        </w:tc>
        <w:tc>
          <w:tcPr>
            <w:tcW w:w="2268" w:type="dxa"/>
            <w:tcBorders>
              <w:top w:val="single" w:sz="6" w:space="0" w:color="auto"/>
              <w:left w:val="single" w:sz="6" w:space="0" w:color="auto"/>
              <w:right w:val="single" w:sz="6" w:space="0" w:color="auto"/>
            </w:tcBorders>
            <w:vAlign w:val="center"/>
          </w:tcPr>
          <w:p>
            <w:pPr>
              <w:pStyle w:val="20"/>
            </w:pPr>
            <w:r>
              <w:t>较上年减轻10%</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受益人口满意度</w:t>
            </w:r>
          </w:p>
        </w:tc>
        <w:tc>
          <w:tcPr>
            <w:tcW w:w="5386" w:type="dxa"/>
            <w:tcBorders>
              <w:top w:val="single" w:sz="6" w:space="0" w:color="auto"/>
              <w:left w:val="single" w:sz="6" w:space="0" w:color="auto"/>
              <w:right w:val="single" w:sz="6" w:space="0" w:color="auto"/>
            </w:tcBorders>
            <w:vAlign w:val="center"/>
          </w:tcPr>
          <w:p>
            <w:pPr>
              <w:pStyle w:val="20"/>
            </w:pPr>
            <w:r>
              <w:t>受益群众满意人数量占调查总人数的比例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3、2025年医疗救助县级配套资金绩效目标表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13032225P00221910003B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2025年医疗救助县级配套资金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保障困难群众获得医疗救助，统筹协调搞好城乡医疗救助与基本医保、大病保险、其他补充医疗保险和相关保障制度的衔接，达到提高医疗救助水平。</w:t>
              <w:tab/>
              <w:t>基本诊疗费用减免、特殊门诊定额救助、住院医疗救助、重病救助”五位一体作为作为医疗救助方式，达到降低困难群众医疗负担。</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1.通过保障困难群众获得医疗救助，统筹协调搞好城乡医疗救助与基本医保、大病保险、其他补充医疗保险和相关保障制度的衔接，达到提高医疗救助水平。</w:t>
              <w:tab/>
              <w:tab/>
              <w:tab/>
              <w:tab/>
              <w:tab/>
              <w:tab/>
            </w:r>
          </w:p>
          <w:p>
            <w:pPr>
              <w:pStyle w:val="20"/>
            </w:pPr>
            <w:r>
              <w:t>2.通过基本诊疗费用减免、特殊门诊定额救助、住院医疗救助、重病救助”五位一体作为作为医疗救助方式，达到降低困难群众医疗负担。</w:t>
            </w:r>
          </w:p>
          <w:p>
            <w:pPr>
              <w:pStyle w:val="20"/>
            </w:pPr>
          </w:p>
          <w:p>
            <w:pPr>
              <w:pStyle w:val="20"/>
            </w:pPr>
          </w:p>
          <w:p>
            <w:pPr>
              <w:pStyle w:val="20"/>
            </w:pPr>
          </w:p>
          <w:p>
            <w:pPr>
              <w:pStyle w:val="20"/>
            </w:pPr>
          </w:p>
          <w:p>
            <w:pPr>
              <w:pStyle w:val="20"/>
            </w:pPr>
          </w:p>
          <w:p>
            <w:pPr>
              <w:pStyle w:val="20"/>
            </w:pPr>
            <w:r>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救助低保五保重残困难户</w:t>
            </w:r>
          </w:p>
        </w:tc>
        <w:tc>
          <w:tcPr>
            <w:tcW w:w="5386" w:type="dxa"/>
            <w:tcBorders>
              <w:top w:val="single" w:sz="6" w:space="0" w:color="auto"/>
              <w:left w:val="single" w:sz="6" w:space="0" w:color="auto"/>
              <w:right w:val="single" w:sz="6" w:space="0" w:color="auto"/>
            </w:tcBorders>
            <w:vAlign w:val="center"/>
          </w:tcPr>
          <w:p>
            <w:pPr>
              <w:pStyle w:val="20"/>
            </w:pPr>
            <w:r>
              <w:t>救助低保五保重残困难户的数量</w:t>
            </w:r>
          </w:p>
        </w:tc>
        <w:tc>
          <w:tcPr>
            <w:tcW w:w="2268" w:type="dxa"/>
            <w:tcBorders>
              <w:top w:val="single" w:sz="6" w:space="0" w:color="auto"/>
              <w:left w:val="single" w:sz="6" w:space="0" w:color="auto"/>
              <w:right w:val="single" w:sz="6" w:space="0" w:color="auto"/>
            </w:tcBorders>
            <w:vAlign w:val="center"/>
          </w:tcPr>
          <w:p>
            <w:pPr>
              <w:pStyle w:val="20"/>
            </w:pPr>
            <w:r>
              <w:t>≥100户</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救助低保五保重残困难户的比率</w:t>
            </w:r>
          </w:p>
        </w:tc>
        <w:tc>
          <w:tcPr>
            <w:tcW w:w="5386" w:type="dxa"/>
            <w:tcBorders>
              <w:top w:val="single" w:sz="6" w:space="0" w:color="auto"/>
              <w:left w:val="single" w:sz="6" w:space="0" w:color="auto"/>
              <w:right w:val="single" w:sz="6" w:space="0" w:color="auto"/>
            </w:tcBorders>
            <w:vAlign w:val="center"/>
          </w:tcPr>
          <w:p>
            <w:pPr>
              <w:pStyle w:val="20"/>
            </w:pPr>
            <w:r>
              <w:t>救助的低保五保重残困难户人数占应救助低保五保重残困难户总人数的比率</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2025年医疗救助县级配套资金支付及时率</w:t>
            </w:r>
          </w:p>
        </w:tc>
        <w:tc>
          <w:tcPr>
            <w:tcW w:w="5386" w:type="dxa"/>
            <w:tcBorders>
              <w:top w:val="single" w:sz="6" w:space="0" w:color="auto"/>
              <w:left w:val="single" w:sz="6" w:space="0" w:color="auto"/>
              <w:right w:val="single" w:sz="6" w:space="0" w:color="auto"/>
            </w:tcBorders>
            <w:vAlign w:val="center"/>
          </w:tcPr>
          <w:p>
            <w:pPr>
              <w:pStyle w:val="20"/>
            </w:pPr>
            <w:r>
              <w:t>2025年医疗救助县级配套资金时限要求内支付金额占应支付金额的比例及时比率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2025年医疗救助县级配套资金成本</w:t>
            </w:r>
          </w:p>
        </w:tc>
        <w:tc>
          <w:tcPr>
            <w:tcW w:w="5386" w:type="dxa"/>
            <w:tcBorders>
              <w:top w:val="single" w:sz="6" w:space="0" w:color="auto"/>
              <w:left w:val="single" w:sz="6" w:space="0" w:color="auto"/>
              <w:right w:val="single" w:sz="6" w:space="0" w:color="auto"/>
            </w:tcBorders>
            <w:vAlign w:val="center"/>
          </w:tcPr>
          <w:p>
            <w:pPr>
              <w:pStyle w:val="20"/>
            </w:pPr>
            <w:r>
              <w:t>按照国家相关补助政策要求支付补助的标准</w:t>
            </w:r>
          </w:p>
        </w:tc>
        <w:tc>
          <w:tcPr>
            <w:tcW w:w="2268" w:type="dxa"/>
            <w:tcBorders>
              <w:top w:val="single" w:sz="6" w:space="0" w:color="auto"/>
              <w:left w:val="single" w:sz="6" w:space="0" w:color="auto"/>
              <w:right w:val="single" w:sz="6" w:space="0" w:color="auto"/>
            </w:tcBorders>
            <w:vAlign w:val="center"/>
          </w:tcPr>
          <w:p>
            <w:pPr>
              <w:pStyle w:val="20"/>
            </w:pPr>
            <w:r>
              <w:t>≤320万元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减轻困难户参加医保的经济负担</w:t>
            </w:r>
          </w:p>
        </w:tc>
        <w:tc>
          <w:tcPr>
            <w:tcW w:w="5386" w:type="dxa"/>
            <w:tcBorders>
              <w:top w:val="single" w:sz="6" w:space="0" w:color="auto"/>
              <w:left w:val="single" w:sz="6" w:space="0" w:color="auto"/>
              <w:right w:val="single" w:sz="6" w:space="0" w:color="auto"/>
            </w:tcBorders>
            <w:vAlign w:val="center"/>
          </w:tcPr>
          <w:p>
            <w:pPr>
              <w:pStyle w:val="20"/>
            </w:pPr>
            <w:r>
              <w:t>合理支出财政资金，减轻低保五保重残困难户参加医疗保险的经济负担</w:t>
            </w:r>
          </w:p>
        </w:tc>
        <w:tc>
          <w:tcPr>
            <w:tcW w:w="2268" w:type="dxa"/>
            <w:tcBorders>
              <w:top w:val="single" w:sz="6" w:space="0" w:color="auto"/>
              <w:left w:val="single" w:sz="6" w:space="0" w:color="auto"/>
              <w:right w:val="single" w:sz="6" w:space="0" w:color="auto"/>
            </w:tcBorders>
            <w:vAlign w:val="center"/>
          </w:tcPr>
          <w:p>
            <w:pPr>
              <w:pStyle w:val="20"/>
            </w:pPr>
            <w:r>
              <w:t>较上年减轻</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贫困户救助率</w:t>
            </w:r>
          </w:p>
        </w:tc>
        <w:tc>
          <w:tcPr>
            <w:tcW w:w="5386" w:type="dxa"/>
            <w:tcBorders>
              <w:top w:val="single" w:sz="6" w:space="0" w:color="auto"/>
              <w:left w:val="single" w:sz="6" w:space="0" w:color="auto"/>
              <w:right w:val="single" w:sz="6" w:space="0" w:color="auto"/>
            </w:tcBorders>
            <w:vAlign w:val="center"/>
          </w:tcPr>
          <w:p>
            <w:pPr>
              <w:pStyle w:val="20"/>
            </w:pPr>
            <w:r>
              <w:t>减轻贫困户医疗负担户数占昌黎县贫困户总数的比例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2025年医疗救助县级配套资金的可持续影响</w:t>
            </w:r>
          </w:p>
        </w:tc>
        <w:tc>
          <w:tcPr>
            <w:tcW w:w="5386" w:type="dxa"/>
            <w:tcBorders>
              <w:top w:val="single" w:sz="6" w:space="0" w:color="auto"/>
              <w:left w:val="single" w:sz="6" w:space="0" w:color="auto"/>
              <w:right w:val="single" w:sz="6" w:space="0" w:color="auto"/>
            </w:tcBorders>
            <w:vAlign w:val="center"/>
          </w:tcPr>
          <w:p>
            <w:pPr>
              <w:pStyle w:val="20"/>
            </w:pPr>
            <w:r>
              <w:t>为我县医疗提供了有效保障的可持续影响时限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受益群众的满意度</w:t>
            </w:r>
          </w:p>
        </w:tc>
        <w:tc>
          <w:tcPr>
            <w:tcW w:w="5386" w:type="dxa"/>
            <w:tcBorders>
              <w:top w:val="single" w:sz="6" w:space="0" w:color="auto"/>
              <w:left w:val="single" w:sz="6" w:space="0" w:color="auto"/>
              <w:right w:val="single" w:sz="6" w:space="0" w:color="auto"/>
            </w:tcBorders>
            <w:vAlign w:val="center"/>
          </w:tcPr>
          <w:p>
            <w:pPr>
              <w:pStyle w:val="20"/>
            </w:pPr>
            <w:r>
              <w:t>经调查受益群众满意的人数占调查总人数的比例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4、2025年政府资助城乡个人缴费补助资金绩效目标表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13032225P002219100014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2025年政府资助城乡个人缴费补助资金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按照预算绩效管理的要求，完善绩效目标管理，确保财政资金安全有效。按资金支出计划，及时拨付资金，确保医疗救助资金发放及时，发展得到较好的保障，高效有序的开展各项工资。</w:t>
              <w:tab/>
              <w:tab/>
              <w:tab/>
              <w:tab/>
              <w:tab/>
              <w:tab/>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1.按资金支出计划，及时拨付资金，确保资助个人参保资金发放及时。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资助人口参加基本医疗保险人数</w:t>
            </w:r>
          </w:p>
        </w:tc>
        <w:tc>
          <w:tcPr>
            <w:tcW w:w="5386" w:type="dxa"/>
            <w:tcBorders>
              <w:top w:val="single" w:sz="6" w:space="0" w:color="auto"/>
              <w:left w:val="single" w:sz="6" w:space="0" w:color="auto"/>
              <w:right w:val="single" w:sz="6" w:space="0" w:color="auto"/>
            </w:tcBorders>
            <w:vAlign w:val="center"/>
          </w:tcPr>
          <w:p>
            <w:pPr>
              <w:pStyle w:val="20"/>
            </w:pPr>
            <w:r>
              <w:t>救助建档立卡的低保、五保、重残人员数量</w:t>
            </w:r>
          </w:p>
        </w:tc>
        <w:tc>
          <w:tcPr>
            <w:tcW w:w="2268" w:type="dxa"/>
            <w:tcBorders>
              <w:top w:val="single" w:sz="6" w:space="0" w:color="auto"/>
              <w:left w:val="single" w:sz="6" w:space="0" w:color="auto"/>
              <w:right w:val="single" w:sz="6" w:space="0" w:color="auto"/>
            </w:tcBorders>
            <w:vAlign w:val="center"/>
          </w:tcPr>
          <w:p>
            <w:pPr>
              <w:pStyle w:val="20"/>
            </w:pPr>
            <w:r>
              <w:t>≤12000人</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资助人口参加基本医疗保险待遇到位率</w:t>
            </w:r>
          </w:p>
        </w:tc>
        <w:tc>
          <w:tcPr>
            <w:tcW w:w="5386" w:type="dxa"/>
            <w:tcBorders>
              <w:top w:val="single" w:sz="6" w:space="0" w:color="auto"/>
              <w:left w:val="single" w:sz="6" w:space="0" w:color="auto"/>
              <w:right w:val="single" w:sz="6" w:space="0" w:color="auto"/>
            </w:tcBorders>
            <w:vAlign w:val="center"/>
          </w:tcPr>
          <w:p>
            <w:pPr>
              <w:pStyle w:val="20"/>
            </w:pPr>
            <w:r>
              <w:t>享受待遇人数与应享受待遇人数之间比率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上缴及时率</w:t>
            </w:r>
          </w:p>
        </w:tc>
        <w:tc>
          <w:tcPr>
            <w:tcW w:w="5386" w:type="dxa"/>
            <w:tcBorders>
              <w:top w:val="single" w:sz="6" w:space="0" w:color="auto"/>
              <w:left w:val="single" w:sz="6" w:space="0" w:color="auto"/>
              <w:right w:val="single" w:sz="6" w:space="0" w:color="auto"/>
            </w:tcBorders>
            <w:vAlign w:val="center"/>
          </w:tcPr>
          <w:p>
            <w:pPr>
              <w:pStyle w:val="20"/>
            </w:pPr>
            <w:r>
              <w:t>符合条件的特困人群城乡居民个人部分全额上缴市财政专户的比率</w:t>
            </w:r>
          </w:p>
        </w:tc>
        <w:tc>
          <w:tcPr>
            <w:tcW w:w="2268" w:type="dxa"/>
            <w:tcBorders>
              <w:top w:val="single" w:sz="6" w:space="0" w:color="auto"/>
              <w:left w:val="single" w:sz="6" w:space="0" w:color="auto"/>
              <w:right w:val="single" w:sz="6" w:space="0" w:color="auto"/>
            </w:tcBorders>
            <w:vAlign w:val="center"/>
          </w:tcPr>
          <w:p>
            <w:pPr>
              <w:pStyle w:val="20"/>
            </w:pPr>
            <w:r>
              <w:t>及时</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2025年人均城乡居民资助参保救助成本</w:t>
            </w:r>
          </w:p>
        </w:tc>
        <w:tc>
          <w:tcPr>
            <w:tcW w:w="5386" w:type="dxa"/>
            <w:tcBorders>
              <w:top w:val="single" w:sz="6" w:space="0" w:color="auto"/>
              <w:left w:val="single" w:sz="6" w:space="0" w:color="auto"/>
              <w:right w:val="single" w:sz="6" w:space="0" w:color="auto"/>
            </w:tcBorders>
            <w:vAlign w:val="center"/>
          </w:tcPr>
          <w:p>
            <w:pPr>
              <w:pStyle w:val="20"/>
            </w:pPr>
            <w:r>
              <w:t>2025年城乡居民医疗保险每人每年生活补助标准</w:t>
            </w:r>
          </w:p>
        </w:tc>
        <w:tc>
          <w:tcPr>
            <w:tcW w:w="2268" w:type="dxa"/>
            <w:tcBorders>
              <w:top w:val="single" w:sz="6" w:space="0" w:color="auto"/>
              <w:left w:val="single" w:sz="6" w:space="0" w:color="auto"/>
              <w:right w:val="single" w:sz="6" w:space="0" w:color="auto"/>
            </w:tcBorders>
            <w:vAlign w:val="center"/>
          </w:tcPr>
          <w:p>
            <w:pPr>
              <w:pStyle w:val="20"/>
            </w:pPr>
            <w:r>
              <w:t>400元/人/年</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救助资金上缴金额准确性</w:t>
            </w:r>
          </w:p>
        </w:tc>
        <w:tc>
          <w:tcPr>
            <w:tcW w:w="5386" w:type="dxa"/>
            <w:tcBorders>
              <w:top w:val="single" w:sz="6" w:space="0" w:color="auto"/>
              <w:left w:val="single" w:sz="6" w:space="0" w:color="auto"/>
              <w:right w:val="single" w:sz="6" w:space="0" w:color="auto"/>
            </w:tcBorders>
            <w:vAlign w:val="center"/>
          </w:tcPr>
          <w:p>
            <w:pPr>
              <w:pStyle w:val="20"/>
            </w:pPr>
            <w:r>
              <w:t>救助资金上缴金额准确性</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特困人群医疗保障</w:t>
            </w:r>
          </w:p>
        </w:tc>
        <w:tc>
          <w:tcPr>
            <w:tcW w:w="5386" w:type="dxa"/>
            <w:tcBorders>
              <w:top w:val="single" w:sz="6" w:space="0" w:color="auto"/>
              <w:left w:val="single" w:sz="6" w:space="0" w:color="auto"/>
              <w:right w:val="single" w:sz="6" w:space="0" w:color="auto"/>
            </w:tcBorders>
            <w:vAlign w:val="center"/>
          </w:tcPr>
          <w:p>
            <w:pPr>
              <w:pStyle w:val="20"/>
            </w:pPr>
            <w:r>
              <w:t>反应对特困群众城乡居民医保覆盖率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受益人口数</w:t>
            </w:r>
          </w:p>
        </w:tc>
        <w:tc>
          <w:tcPr>
            <w:tcW w:w="5386" w:type="dxa"/>
            <w:tcBorders>
              <w:top w:val="single" w:sz="6" w:space="0" w:color="auto"/>
              <w:left w:val="single" w:sz="6" w:space="0" w:color="auto"/>
              <w:right w:val="single" w:sz="6" w:space="0" w:color="auto"/>
            </w:tcBorders>
            <w:vAlign w:val="center"/>
          </w:tcPr>
          <w:p>
            <w:pPr>
              <w:pStyle w:val="20"/>
            </w:pPr>
            <w:r>
              <w:t>资助参保人口受益人群数</w:t>
            </w:r>
          </w:p>
        </w:tc>
        <w:tc>
          <w:tcPr>
            <w:tcW w:w="2268" w:type="dxa"/>
            <w:tcBorders>
              <w:top w:val="single" w:sz="6" w:space="0" w:color="auto"/>
              <w:left w:val="single" w:sz="6" w:space="0" w:color="auto"/>
              <w:right w:val="single" w:sz="6" w:space="0" w:color="auto"/>
            </w:tcBorders>
            <w:vAlign w:val="center"/>
          </w:tcPr>
          <w:p>
            <w:pPr>
              <w:pStyle w:val="20"/>
            </w:pPr>
            <w:r>
              <w:t>≤12000人次</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减轻救助的特殊群体的经济负担</w:t>
            </w:r>
          </w:p>
        </w:tc>
        <w:tc>
          <w:tcPr>
            <w:tcW w:w="5386" w:type="dxa"/>
            <w:tcBorders>
              <w:top w:val="single" w:sz="6" w:space="0" w:color="auto"/>
              <w:left w:val="single" w:sz="6" w:space="0" w:color="auto"/>
              <w:right w:val="single" w:sz="6" w:space="0" w:color="auto"/>
            </w:tcBorders>
            <w:vAlign w:val="center"/>
          </w:tcPr>
          <w:p>
            <w:pPr>
              <w:pStyle w:val="20"/>
            </w:pPr>
            <w:r>
              <w:t>通过对特殊群体的医疗救助，进一步减轻其经济负担</w:t>
            </w:r>
          </w:p>
        </w:tc>
        <w:tc>
          <w:tcPr>
            <w:tcW w:w="2268" w:type="dxa"/>
            <w:tcBorders>
              <w:top w:val="single" w:sz="6" w:space="0" w:color="auto"/>
              <w:left w:val="single" w:sz="6" w:space="0" w:color="auto"/>
              <w:right w:val="single" w:sz="6" w:space="0" w:color="auto"/>
            </w:tcBorders>
            <w:vAlign w:val="center"/>
          </w:tcPr>
          <w:p>
            <w:pPr>
              <w:pStyle w:val="20"/>
            </w:pPr>
            <w:r>
              <w:t>较上年减轻10%</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受益群众满意度</w:t>
            </w:r>
          </w:p>
        </w:tc>
        <w:tc>
          <w:tcPr>
            <w:tcW w:w="5386" w:type="dxa"/>
            <w:tcBorders>
              <w:top w:val="single" w:sz="6" w:space="0" w:color="auto"/>
              <w:left w:val="single" w:sz="6" w:space="0" w:color="auto"/>
              <w:right w:val="single" w:sz="6" w:space="0" w:color="auto"/>
            </w:tcBorders>
            <w:vAlign w:val="center"/>
          </w:tcPr>
          <w:p>
            <w:pPr>
              <w:pStyle w:val="20"/>
            </w:pPr>
            <w:r>
              <w:t>受益群众满意人数量占调查总人数的比例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昌黎县城乡居民基本医疗保险服务中心上年末固定资产金额为13.22万元（详见下表）。本年度拟购置固定资产总额为0.00万元，已按要求列入政府采购预算，详见政府采购预算表。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450005昌黎县城乡居民基本医疗保险服务中心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13.22</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12.00</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1.22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143603C-2778-44A9-9C9F-502E5A7F702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12</Pages>
  <Words>0</Words>
  <Characters>21203</Characters>
  <Lines>0</Lines>
  <Paragraphs>267</Paragraphs>
  <CharactersWithSpaces>28271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2025-01-19T15:53:47Z</dcterms:created>
  <dcterms:modified xsi:type="dcterms:W3CDTF">2025-01-20T01:01:12Z</dcterms:modified>
</cp:coreProperties>
</file>