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731昌黎县科学技术协会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48.98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48.98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48.98</w:t>
            </w:r>
          </w:p>
        </w:tc>
        <w:tc>
          <w:tcPr>
            <w:tcW w:w="4535" w:type="dxa"/>
            <w:vAlign w:val="center"/>
          </w:tcPr>
          <w:p>
            <w:pPr>
              <w:pStyle w:val="15"/>
            </w:pPr>
            <w:r>
              <w:t>本年支出合计</w:t>
            </w:r>
          </w:p>
        </w:tc>
        <w:tc>
          <w:tcPr>
            <w:tcW w:w="2126" w:type="dxa"/>
            <w:vAlign w:val="center"/>
          </w:tcPr>
          <w:p>
            <w:pPr>
              <w:pStyle w:val="16"/>
            </w:pPr>
            <w:r>
              <w:t>48.98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48.98</w:t>
            </w:r>
          </w:p>
        </w:tc>
        <w:tc>
          <w:tcPr>
            <w:tcW w:w="4535" w:type="dxa"/>
            <w:vAlign w:val="center"/>
          </w:tcPr>
          <w:p>
            <w:pPr>
              <w:pStyle w:val="15"/>
            </w:pPr>
            <w:r>
              <w:t>支出总计</w:t>
            </w:r>
          </w:p>
        </w:tc>
        <w:tc>
          <w:tcPr>
            <w:tcW w:w="2126" w:type="dxa"/>
            <w:vAlign w:val="center"/>
          </w:tcPr>
          <w:p>
            <w:pPr>
              <w:pStyle w:val="16"/>
            </w:pPr>
            <w:r>
              <w:t>48.98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731昌黎县科学技术协会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48.98</w:t>
            </w:r>
          </w:p>
        </w:tc>
        <w:tc>
          <w:tcPr>
            <w:tcW w:w="1134" w:type="dxa"/>
            <w:vAlign w:val="center"/>
          </w:tcPr>
          <w:p>
            <w:pPr>
              <w:pStyle w:val="16"/>
            </w:pPr>
            <w:r>
              <w:t>48.98</w:t>
            </w:r>
          </w:p>
        </w:tc>
        <w:tc>
          <w:tcPr>
            <w:tcW w:w="1134" w:type="dxa"/>
            <w:vAlign w:val="center"/>
          </w:tcPr>
          <w:p>
            <w:pPr>
              <w:pStyle w:val="16"/>
            </w:pPr>
            <w:r>
              <w:t>48.98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48.98</w:t>
            </w:r>
          </w:p>
        </w:tc>
        <w:tc>
          <w:tcPr>
            <w:tcW w:w="1134" w:type="dxa"/>
            <w:vAlign w:val="center"/>
          </w:tcPr>
          <w:p>
            <w:pPr>
              <w:pStyle w:val="12"/>
            </w:pPr>
            <w:r>
              <w:t>48.98</w:t>
            </w:r>
          </w:p>
        </w:tc>
        <w:tc>
          <w:tcPr>
            <w:tcW w:w="1134" w:type="dxa"/>
            <w:vAlign w:val="center"/>
          </w:tcPr>
          <w:p>
            <w:pPr>
              <w:pStyle w:val="12"/>
            </w:pPr>
            <w:r>
              <w:t>48.98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20601</w:t>
            </w:r>
          </w:p>
        </w:tc>
        <w:tc>
          <w:tcPr>
            <w:tcW w:w="1559" w:type="dxa"/>
            <w:vAlign w:val="center"/>
          </w:tcPr>
          <w:p>
            <w:pPr>
              <w:pStyle w:val="13"/>
            </w:pPr>
            <w:r>
              <w:t>科学技术管理事务</w:t>
            </w:r>
          </w:p>
        </w:tc>
        <w:tc>
          <w:tcPr>
            <w:tcW w:w="1134" w:type="dxa"/>
            <w:vAlign w:val="center"/>
          </w:tcPr>
          <w:p>
            <w:pPr>
              <w:pStyle w:val="12"/>
            </w:pPr>
            <w:r>
              <w:t>48.98</w:t>
            </w:r>
          </w:p>
        </w:tc>
        <w:tc>
          <w:tcPr>
            <w:tcW w:w="1134" w:type="dxa"/>
            <w:vAlign w:val="center"/>
          </w:tcPr>
          <w:p>
            <w:pPr>
              <w:pStyle w:val="12"/>
            </w:pPr>
            <w:r>
              <w:t>48.98</w:t>
            </w:r>
          </w:p>
        </w:tc>
        <w:tc>
          <w:tcPr>
            <w:tcW w:w="1134" w:type="dxa"/>
            <w:vAlign w:val="center"/>
          </w:tcPr>
          <w:p>
            <w:pPr>
              <w:pStyle w:val="12"/>
            </w:pPr>
            <w:r>
              <w:t>48.98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2060101</w:t>
            </w:r>
          </w:p>
        </w:tc>
        <w:tc>
          <w:tcPr>
            <w:tcW w:w="1559" w:type="dxa"/>
            <w:vAlign w:val="center"/>
          </w:tcPr>
          <w:p>
            <w:pPr>
              <w:pStyle w:val="13"/>
            </w:pPr>
            <w:r>
              <w:t>行政运行</w:t>
            </w:r>
          </w:p>
        </w:tc>
        <w:tc>
          <w:tcPr>
            <w:tcW w:w="1134" w:type="dxa"/>
            <w:vAlign w:val="center"/>
          </w:tcPr>
          <w:p>
            <w:pPr>
              <w:pStyle w:val="12"/>
            </w:pPr>
            <w:r>
              <w:t>48.98</w:t>
            </w:r>
          </w:p>
        </w:tc>
        <w:tc>
          <w:tcPr>
            <w:tcW w:w="1134" w:type="dxa"/>
            <w:vAlign w:val="center"/>
          </w:tcPr>
          <w:p>
            <w:pPr>
              <w:pStyle w:val="12"/>
            </w:pPr>
            <w:r>
              <w:t>48.98</w:t>
            </w:r>
          </w:p>
        </w:tc>
        <w:tc>
          <w:tcPr>
            <w:tcW w:w="1134" w:type="dxa"/>
            <w:vAlign w:val="center"/>
          </w:tcPr>
          <w:p>
            <w:pPr>
              <w:pStyle w:val="12"/>
            </w:pPr>
            <w:r>
              <w:t>48.98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731昌黎县科学技术协会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48.98</w:t>
            </w:r>
          </w:p>
        </w:tc>
        <w:tc>
          <w:tcPr>
            <w:tcW w:w="1361" w:type="dxa"/>
            <w:vAlign w:val="center"/>
          </w:tcPr>
          <w:p>
            <w:pPr>
              <w:pStyle w:val="16"/>
            </w:pPr>
            <w:r>
              <w:t>48.98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48.98</w:t>
            </w:r>
          </w:p>
        </w:tc>
        <w:tc>
          <w:tcPr>
            <w:tcW w:w="1361" w:type="dxa"/>
            <w:vAlign w:val="center"/>
          </w:tcPr>
          <w:p>
            <w:pPr>
              <w:pStyle w:val="12"/>
            </w:pPr>
            <w:r>
              <w:t>48.98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20601</w:t>
            </w:r>
          </w:p>
        </w:tc>
        <w:tc>
          <w:tcPr>
            <w:tcW w:w="4535" w:type="dxa"/>
            <w:vAlign w:val="center"/>
          </w:tcPr>
          <w:p>
            <w:pPr>
              <w:pStyle w:val="13"/>
            </w:pPr>
            <w:r>
              <w:t>科学技术管理事务</w:t>
            </w:r>
          </w:p>
        </w:tc>
        <w:tc>
          <w:tcPr>
            <w:tcW w:w="1361" w:type="dxa"/>
            <w:vAlign w:val="center"/>
          </w:tcPr>
          <w:p>
            <w:pPr>
              <w:pStyle w:val="12"/>
            </w:pPr>
            <w:r>
              <w:t>48.98</w:t>
            </w:r>
          </w:p>
        </w:tc>
        <w:tc>
          <w:tcPr>
            <w:tcW w:w="1361" w:type="dxa"/>
            <w:vAlign w:val="center"/>
          </w:tcPr>
          <w:p>
            <w:pPr>
              <w:pStyle w:val="12"/>
            </w:pPr>
            <w:r>
              <w:t>48.98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2060101</w:t>
            </w:r>
          </w:p>
        </w:tc>
        <w:tc>
          <w:tcPr>
            <w:tcW w:w="4535" w:type="dxa"/>
            <w:vAlign w:val="center"/>
          </w:tcPr>
          <w:p>
            <w:pPr>
              <w:pStyle w:val="13"/>
            </w:pPr>
            <w:r>
              <w:t>行政运行</w:t>
            </w:r>
          </w:p>
        </w:tc>
        <w:tc>
          <w:tcPr>
            <w:tcW w:w="1361" w:type="dxa"/>
            <w:vAlign w:val="center"/>
          </w:tcPr>
          <w:p>
            <w:pPr>
              <w:pStyle w:val="12"/>
            </w:pPr>
            <w:r>
              <w:t>48.98</w:t>
            </w:r>
          </w:p>
        </w:tc>
        <w:tc>
          <w:tcPr>
            <w:tcW w:w="1361" w:type="dxa"/>
            <w:vAlign w:val="center"/>
          </w:tcPr>
          <w:p>
            <w:pPr>
              <w:pStyle w:val="12"/>
            </w:pPr>
            <w:r>
              <w:t>48.98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731昌黎县科学技术协会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48.98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48.98</w:t>
            </w:r>
          </w:p>
        </w:tc>
        <w:tc>
          <w:tcPr>
            <w:tcW w:w="1474" w:type="dxa"/>
            <w:vAlign w:val="center"/>
          </w:tcPr>
          <w:p>
            <w:pPr>
              <w:pStyle w:val="12"/>
            </w:pPr>
            <w:r>
              <w:t>48.98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48.98</w:t>
            </w:r>
          </w:p>
        </w:tc>
        <w:tc>
          <w:tcPr>
            <w:tcW w:w="3402" w:type="dxa"/>
            <w:vAlign w:val="center"/>
          </w:tcPr>
          <w:p>
            <w:pPr>
              <w:pStyle w:val="15"/>
            </w:pPr>
            <w:r>
              <w:t>本年支出合计</w:t>
            </w:r>
          </w:p>
        </w:tc>
        <w:tc>
          <w:tcPr>
            <w:tcW w:w="1474" w:type="dxa"/>
            <w:vAlign w:val="center"/>
          </w:tcPr>
          <w:p>
            <w:pPr>
              <w:pStyle w:val="16"/>
            </w:pPr>
            <w:r>
              <w:t>48.98</w:t>
            </w:r>
          </w:p>
        </w:tc>
        <w:tc>
          <w:tcPr>
            <w:tcW w:w="1474" w:type="dxa"/>
            <w:vAlign w:val="center"/>
          </w:tcPr>
          <w:p>
            <w:pPr>
              <w:pStyle w:val="16"/>
            </w:pPr>
            <w:r>
              <w:t>48.98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48.98</w:t>
            </w:r>
          </w:p>
        </w:tc>
        <w:tc>
          <w:tcPr>
            <w:tcW w:w="3402" w:type="dxa"/>
            <w:vAlign w:val="center"/>
          </w:tcPr>
          <w:p>
            <w:pPr>
              <w:pStyle w:val="15"/>
            </w:pPr>
            <w:r>
              <w:t>支出总计</w:t>
            </w:r>
          </w:p>
        </w:tc>
        <w:tc>
          <w:tcPr>
            <w:tcW w:w="1474" w:type="dxa"/>
            <w:vAlign w:val="center"/>
          </w:tcPr>
          <w:p>
            <w:pPr>
              <w:pStyle w:val="16"/>
            </w:pPr>
            <w:r>
              <w:t>48.98</w:t>
            </w:r>
          </w:p>
        </w:tc>
        <w:tc>
          <w:tcPr>
            <w:tcW w:w="1474" w:type="dxa"/>
            <w:vAlign w:val="center"/>
          </w:tcPr>
          <w:p>
            <w:pPr>
              <w:pStyle w:val="16"/>
            </w:pPr>
            <w:r>
              <w:t>48.98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731昌黎县科学技术协会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48.98</w:t>
            </w:r>
          </w:p>
        </w:tc>
        <w:tc>
          <w:tcPr>
            <w:tcW w:w="2551" w:type="dxa"/>
            <w:vAlign w:val="center"/>
          </w:tcPr>
          <w:p>
            <w:pPr>
              <w:pStyle w:val="16"/>
            </w:pPr>
            <w:r>
              <w:t>48.98</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48.98</w:t>
            </w:r>
          </w:p>
        </w:tc>
        <w:tc>
          <w:tcPr>
            <w:tcW w:w="2551" w:type="dxa"/>
            <w:vAlign w:val="center"/>
          </w:tcPr>
          <w:p>
            <w:pPr>
              <w:pStyle w:val="12"/>
            </w:pPr>
            <w:r>
              <w:t>48.98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20601</w:t>
            </w:r>
          </w:p>
        </w:tc>
        <w:tc>
          <w:tcPr>
            <w:tcW w:w="4535" w:type="dxa"/>
            <w:vAlign w:val="center"/>
          </w:tcPr>
          <w:p>
            <w:pPr>
              <w:pStyle w:val="13"/>
            </w:pPr>
            <w:r>
              <w:t>科学技术管理事务</w:t>
            </w:r>
          </w:p>
        </w:tc>
        <w:tc>
          <w:tcPr>
            <w:tcW w:w="2551" w:type="dxa"/>
            <w:vAlign w:val="center"/>
          </w:tcPr>
          <w:p>
            <w:pPr>
              <w:pStyle w:val="12"/>
            </w:pPr>
            <w:r>
              <w:t>48.98</w:t>
            </w:r>
          </w:p>
        </w:tc>
        <w:tc>
          <w:tcPr>
            <w:tcW w:w="2551" w:type="dxa"/>
            <w:vAlign w:val="center"/>
          </w:tcPr>
          <w:p>
            <w:pPr>
              <w:pStyle w:val="12"/>
            </w:pPr>
            <w:r>
              <w:t>48.98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2060101</w:t>
            </w:r>
          </w:p>
        </w:tc>
        <w:tc>
          <w:tcPr>
            <w:tcW w:w="4535" w:type="dxa"/>
            <w:vAlign w:val="center"/>
          </w:tcPr>
          <w:p>
            <w:pPr>
              <w:pStyle w:val="13"/>
            </w:pPr>
            <w:r>
              <w:t>行政运行</w:t>
            </w:r>
          </w:p>
        </w:tc>
        <w:tc>
          <w:tcPr>
            <w:tcW w:w="2551" w:type="dxa"/>
            <w:vAlign w:val="center"/>
          </w:tcPr>
          <w:p>
            <w:pPr>
              <w:pStyle w:val="12"/>
            </w:pPr>
            <w:r>
              <w:t>48.98</w:t>
            </w:r>
          </w:p>
        </w:tc>
        <w:tc>
          <w:tcPr>
            <w:tcW w:w="2551" w:type="dxa"/>
            <w:vAlign w:val="center"/>
          </w:tcPr>
          <w:p>
            <w:pPr>
              <w:pStyle w:val="12"/>
            </w:pPr>
            <w:r>
              <w:t>48.98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731昌黎县科学技术协会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48.98</w:t>
            </w:r>
          </w:p>
        </w:tc>
        <w:tc>
          <w:tcPr>
            <w:tcW w:w="2551" w:type="dxa"/>
            <w:vAlign w:val="center"/>
          </w:tcPr>
          <w:p>
            <w:pPr>
              <w:pStyle w:val="16"/>
            </w:pPr>
            <w:r>
              <w:t>43.36</w:t>
            </w:r>
          </w:p>
        </w:tc>
        <w:tc>
          <w:tcPr>
            <w:tcW w:w="2551" w:type="dxa"/>
            <w:vAlign w:val="center"/>
          </w:tcPr>
          <w:p>
            <w:pPr>
              <w:pStyle w:val="16"/>
            </w:pPr>
            <w:r>
              <w:t>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39.44</w:t>
            </w:r>
          </w:p>
        </w:tc>
        <w:tc>
          <w:tcPr>
            <w:tcW w:w="2551" w:type="dxa"/>
            <w:vAlign w:val="center"/>
          </w:tcPr>
          <w:p>
            <w:pPr>
              <w:pStyle w:val="12"/>
            </w:pPr>
            <w:r>
              <w:t>39.44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17.63</w:t>
            </w:r>
          </w:p>
        </w:tc>
        <w:tc>
          <w:tcPr>
            <w:tcW w:w="2551" w:type="dxa"/>
            <w:vAlign w:val="center"/>
          </w:tcPr>
          <w:p>
            <w:pPr>
              <w:pStyle w:val="12"/>
            </w:pPr>
            <w:r>
              <w:t>17.63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7.87</w:t>
            </w:r>
          </w:p>
        </w:tc>
        <w:tc>
          <w:tcPr>
            <w:tcW w:w="2551" w:type="dxa"/>
            <w:vAlign w:val="center"/>
          </w:tcPr>
          <w:p>
            <w:pPr>
              <w:pStyle w:val="12"/>
            </w:pPr>
            <w:r>
              <w:t>7.87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4.21</w:t>
            </w:r>
          </w:p>
        </w:tc>
        <w:tc>
          <w:tcPr>
            <w:tcW w:w="2551" w:type="dxa"/>
            <w:vAlign w:val="center"/>
          </w:tcPr>
          <w:p>
            <w:pPr>
              <w:pStyle w:val="12"/>
            </w:pPr>
            <w:r>
              <w:t>4.21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4.68</w:t>
            </w:r>
          </w:p>
        </w:tc>
        <w:tc>
          <w:tcPr>
            <w:tcW w:w="2551" w:type="dxa"/>
            <w:vAlign w:val="center"/>
          </w:tcPr>
          <w:p>
            <w:pPr>
              <w:pStyle w:val="12"/>
            </w:pPr>
            <w:r>
              <w:t>4.68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2.69</w:t>
            </w:r>
          </w:p>
        </w:tc>
        <w:tc>
          <w:tcPr>
            <w:tcW w:w="2551" w:type="dxa"/>
            <w:vAlign w:val="center"/>
          </w:tcPr>
          <w:p>
            <w:pPr>
              <w:pStyle w:val="12"/>
            </w:pPr>
            <w:r>
              <w:t>2.69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0.13</w:t>
            </w:r>
          </w:p>
        </w:tc>
        <w:tc>
          <w:tcPr>
            <w:tcW w:w="2551" w:type="dxa"/>
            <w:vAlign w:val="center"/>
          </w:tcPr>
          <w:p>
            <w:pPr>
              <w:pStyle w:val="12"/>
            </w:pPr>
            <w:r>
              <w:t>0.13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2.23</w:t>
            </w:r>
          </w:p>
        </w:tc>
        <w:tc>
          <w:tcPr>
            <w:tcW w:w="2551" w:type="dxa"/>
            <w:vAlign w:val="center"/>
          </w:tcPr>
          <w:p>
            <w:pPr>
              <w:pStyle w:val="12"/>
            </w:pPr>
            <w:r>
              <w:t>2.23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5.62</w:t>
            </w:r>
          </w:p>
        </w:tc>
        <w:tc>
          <w:tcPr>
            <w:tcW w:w="2551" w:type="dxa"/>
            <w:vAlign w:val="center"/>
          </w:tcPr>
          <w:p>
            <w:pPr>
              <w:pStyle w:val="12"/>
            </w:pPr>
          </w:p>
        </w:tc>
        <w:tc>
          <w:tcPr>
            <w:tcW w:w="2551" w:type="dxa"/>
            <w:vAlign w:val="center"/>
          </w:tcPr>
          <w:p>
            <w:pPr>
              <w:pStyle w:val="12"/>
            </w:pPr>
            <w:r>
              <w:t>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2.10</w:t>
            </w:r>
          </w:p>
        </w:tc>
        <w:tc>
          <w:tcPr>
            <w:tcW w:w="2551" w:type="dxa"/>
            <w:vAlign w:val="center"/>
          </w:tcPr>
          <w:p>
            <w:pPr>
              <w:pStyle w:val="12"/>
            </w:pPr>
          </w:p>
        </w:tc>
        <w:tc>
          <w:tcPr>
            <w:tcW w:w="2551" w:type="dxa"/>
            <w:vAlign w:val="center"/>
          </w:tcPr>
          <w:p>
            <w:pPr>
              <w:pStyle w:val="12"/>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2.64</w:t>
            </w:r>
          </w:p>
        </w:tc>
        <w:tc>
          <w:tcPr>
            <w:tcW w:w="2551" w:type="dxa"/>
            <w:vAlign w:val="center"/>
          </w:tcPr>
          <w:p>
            <w:pPr>
              <w:pStyle w:val="12"/>
            </w:pPr>
          </w:p>
        </w:tc>
        <w:tc>
          <w:tcPr>
            <w:tcW w:w="2551" w:type="dxa"/>
            <w:vAlign w:val="center"/>
          </w:tcPr>
          <w:p>
            <w:pPr>
              <w:pStyle w:val="12"/>
            </w:pPr>
            <w:r>
              <w:t>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0.02</w:t>
            </w:r>
          </w:p>
        </w:tc>
        <w:tc>
          <w:tcPr>
            <w:tcW w:w="2551" w:type="dxa"/>
            <w:vAlign w:val="center"/>
          </w:tcPr>
          <w:p>
            <w:pPr>
              <w:pStyle w:val="12"/>
            </w:pPr>
          </w:p>
        </w:tc>
        <w:tc>
          <w:tcPr>
            <w:tcW w:w="2551" w:type="dxa"/>
            <w:vAlign w:val="center"/>
          </w:tcPr>
          <w:p>
            <w:pPr>
              <w:pStyle w:val="12"/>
            </w:pPr>
            <w: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3.92</w:t>
            </w:r>
          </w:p>
        </w:tc>
        <w:tc>
          <w:tcPr>
            <w:tcW w:w="2551" w:type="dxa"/>
            <w:vAlign w:val="center"/>
          </w:tcPr>
          <w:p>
            <w:pPr>
              <w:pStyle w:val="12"/>
            </w:pPr>
            <w:r>
              <w:t>3.92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3.92</w:t>
            </w:r>
          </w:p>
        </w:tc>
        <w:tc>
          <w:tcPr>
            <w:tcW w:w="2551" w:type="dxa"/>
            <w:vAlign w:val="center"/>
          </w:tcPr>
          <w:p>
            <w:pPr>
              <w:pStyle w:val="12"/>
            </w:pPr>
            <w:r>
              <w:t>3.92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731昌黎县科学技术协会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731昌黎县科学技术协会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731昌黎县科学技术协会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昌黎县科学技术协会2025年部门预算信息公开情况说明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昌黎县科学技术协会2025年部门预算信息公开情况说明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按照《中华人民共和国预算法》、《地方预决算公开操作规程》和《关于进一步推进预算公开工作的实施意见》规定，现将昌黎县科学技术协会2025年部门预算公开如下：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根据《昌黎县科学技术协会职能配置、内设机构和人员编制规定》，昌黎县科学技术协会的主要职责是：</w:t>
      </w:r>
    </w:p>
    <w:p>
      <w:pPr>
        <w:pStyle w:val="18"/>
      </w:pPr>
      <w:r>
        <w:t>团结和动员广大科技工作者以经济建设为中心，坚持科学技术是第一生产力的思想，积极开展学术交流，活跃学术思想，开展各种形式的活动向广大干部群众普及科学知识，对全县的科技事业提出建议，对科技经济进行决策咨询、技术服务，进行各种形式的技术培训，维护科技工作者的正当权益，向上级有关部门反映科技工作者的意见和要求</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昌黎县科学技术协会本级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按照预算管理有关规定，目前部门预算的编制实行综合预算管理，即全部收入和支出都反映在预算中。昌黎县科学技术协会机关及所属事业单位的收支包含在部门预算中。</w:t>
      </w:r>
    </w:p>
    <w:p>
      <w:pPr>
        <w:pStyle w:val="19"/>
      </w:pPr>
      <w:r>
        <w:t>1、收入说明</w:t>
      </w:r>
    </w:p>
    <w:p>
      <w:pPr>
        <w:pStyle w:val="19"/>
      </w:pPr>
      <w:r>
        <w:t>反映本部门当年全部收入。2025年预算收入48.98万元，其中：一般公共预算收入48.98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昌黎县科学技术协会年度部门预算中支出预算的总体情况。2025年支出预算48.98万元，其中基本支出48.98万元，包括人员经费43.36万元和日常公用经费5.62万元；项目支出0.00万元，主要为本年度未安排项目支出。</w:t>
      </w:r>
    </w:p>
    <w:p>
      <w:pPr>
        <w:pStyle w:val="19"/>
      </w:pPr>
      <w:r>
        <w:t>3、比上年增减情况</w:t>
      </w:r>
    </w:p>
    <w:p>
      <w:pPr>
        <w:pStyle w:val="19"/>
      </w:pPr>
      <w:r>
        <w:t>2025年预算收支安排48.98万元，较2024年预算减少3.81万元，其中：基本支出减少3.81万元，主要为主要为日常公用经费减少3万元。项目支出增加0.00万元，主要为本年度未安排项目支出，与上年持平。</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2025年，我部门机关运行经费共计安排5.62万元，主要用于日常维修、办公用房水电费、办公用房取暖费、办公用房物业管理费等日常运行支出。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按照市科协及县委的安排部署，县科协坚持党建引领科协工作发展，全面履行服务科技工作者、服务创新驱动发展、服务提高全面科学素质服务、服务党和政府科学决策。一是开展高质量科普宣传活动，全力推进全民科学素质工作。依据全民科学素质行动计划纲要，在重要节假日、纪念日、全国科普日等时间节点精心组织开展科普宣传活动。普及科学知识，探索加强科普工作的有效途径，深入推进全民科学素质；二是抓好科普基地建设。充分发挥我县13个科普基地的前沿阵地作用，加强与各行业科技工作者联系，整合科技资源，发挥作用，切实增强科协组织的吸引力、凝聚力；三是充分发挥科桥梁纽带作用，加深与单位包联专家人才的联系，继续推进加强校地合作、校企合作，推进产学研活动深入开展；四是保障机关工作有序开展，组织4名在职工作人员，离退休人员4人，按照科协职责开展一系列活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（一）科普活动质量、数量双提升</w:t>
      </w:r>
    </w:p>
    <w:p>
      <w:pPr>
        <w:pStyle w:val="23"/>
      </w:pPr>
      <w:r>
        <w:t>绩效目标：通过开展系列科普活动，在全县营造讲科学、爱科学、学科学、用科学的浓厚氛围，促进我县全民科学素质跨越提升，巩固脱贫成果，助力乡村振兴。</w:t>
      </w:r>
    </w:p>
    <w:p>
      <w:pPr>
        <w:pStyle w:val="23"/>
      </w:pPr>
      <w:r>
        <w:t>绩效指标：开展科普活动大于5次，科普活动宣传覆盖人数达到1万人。</w:t>
      </w:r>
    </w:p>
    <w:p>
      <w:pPr>
        <w:pStyle w:val="23"/>
      </w:pPr>
    </w:p>
    <w:p>
      <w:pPr>
        <w:pStyle w:val="23"/>
      </w:pPr>
      <w:r>
        <w:t>（二）进一步完善科普基地建设</w:t>
      </w:r>
    </w:p>
    <w:p>
      <w:pPr>
        <w:pStyle w:val="23"/>
      </w:pPr>
      <w:r>
        <w:t>绩效目标：发挥科普基地的科普阵地作用，指导科普基地开展科普活动，实施社会科普资源开发共享，加强大众媒体科普传播能力建设。</w:t>
      </w:r>
    </w:p>
    <w:p>
      <w:pPr>
        <w:pStyle w:val="23"/>
      </w:pPr>
      <w:r>
        <w:t>绩效指标：进一步完善13家科普基地建设。</w:t>
      </w:r>
    </w:p>
    <w:p>
      <w:pPr>
        <w:pStyle w:val="23"/>
      </w:pPr>
      <w:r>
        <w:t>（三）规范综合业务管理工作</w:t>
      </w:r>
    </w:p>
    <w:p>
      <w:pPr>
        <w:pStyle w:val="23"/>
      </w:pPr>
      <w:r>
        <w:t>绩效目标：保障机关网站运行、科普项目管理、机关织建设等各项工作开展。</w:t>
      </w:r>
    </w:p>
    <w:p>
      <w:pPr>
        <w:pStyle w:val="23"/>
      </w:pPr>
      <w:r>
        <w:t>绩效指标：按质按量完成全年工作任务，任务完成率达到95%以上。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r>
        <w:t>制定完善预算绩效管理制度、资金管理办法、工作保障制度等，为全年预算绩效目标的实现奠定制度基础。</w:t>
      </w:r>
    </w:p>
    <w:p>
      <w:pPr>
        <w:pStyle w:val="24"/>
      </w:pPr>
      <w:r>
        <w:t>（二）加强支出管理。</w:t>
      </w:r>
    </w:p>
    <w:p>
      <w:pPr>
        <w:pStyle w:val="24"/>
      </w:pPr>
      <w:r>
        <w:t>通过优化支出结构、编细编实预算、加快履行政府采购手续、尽快启动项目、及时支付资金、6月底前细化代编预算、按规定及时下达资金等多种措施，确保支出进度达标。</w:t>
      </w:r>
    </w:p>
    <w:p>
      <w:pPr>
        <w:pStyle w:val="24"/>
      </w:pPr>
      <w:r>
        <w:t>（三）加强绩效运行监控。</w:t>
      </w:r>
    </w:p>
    <w:p>
      <w:pPr>
        <w:pStyle w:val="24"/>
      </w:pPr>
      <w:r>
        <w:t>按要求开展绩效运行监控，发现问题及时采取措施，确保绩效目标如期保质实现。</w:t>
      </w:r>
    </w:p>
    <w:p>
      <w:pPr>
        <w:pStyle w:val="24"/>
      </w:pPr>
      <w:r>
        <w:t>（四）做好绩效自评。</w:t>
      </w:r>
    </w:p>
    <w:p>
      <w:pPr>
        <w:pStyle w:val="24"/>
      </w:pPr>
      <w:r>
        <w:t>按要求开展上年度部门预算绩效自评和重点评价工作，对评价中发现的问题及时整改，调整优化支出结构，提高财政资金使用效益。</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w:t>
      </w:r>
    </w:p>
    <w:p>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w:t>
      </w:r>
    </w:p>
    <w:p>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加强人员培训，提高本部门职工业务素质；加强调研，提出优化财政资金配置、提高资金使用效益的意见意见；加大宣传力度，强化预算绩效管理意识，促进预算绩效管理水平进一步提升。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jc w:val="left"/>
        <w:outlineLvl w:val="2"/>
        <w:rPr>
          <w:rFonts w:ascii="黑体" w:hAnsi="黑体" w:eastAsia="黑体" w:cs="黑体"/>
          <w:color w:val="000000"/>
          <w:sz w:val="32"/>
        </w:rPr>
      </w:pPr>
    </w:p>
    <w:p>
      <w:pPr>
        <w:numPr>
          <w:numId w:val="0"/>
        </w:numPr>
        <w:spacing w:before="10" w:after="10" w:line="360" w:lineRule="auto"/>
        <w:ind w:firstLine="1280" w:firstLineChars="4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pPr>
        <w:numPr>
          <w:numId w:val="0"/>
        </w:numPr>
        <w:spacing w:before="10" w:after="10" w:line="360" w:lineRule="auto"/>
        <w:jc w:val="left"/>
        <w:outlineLvl w:val="2"/>
        <w:rPr>
          <w:rFonts w:ascii="黑体" w:hAnsi="黑体" w:eastAsia="黑体" w:cs="黑体"/>
          <w:color w:val="000000"/>
          <w:sz w:val="32"/>
        </w:rPr>
      </w:pPr>
    </w:p>
    <w:p>
      <w:pPr>
        <w:numPr>
          <w:numId w:val="0"/>
        </w:numPr>
        <w:spacing w:before="10" w:after="10" w:line="360" w:lineRule="auto"/>
        <w:ind w:firstLine="1600" w:firstLineChars="5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bookmarkStart w:id="20" w:name="_GoBack"/>
      <w:bookmarkEnd w:id="20"/>
      <w:r>
        <w:rPr>
          <w:rFonts w:hint="eastAsia" w:ascii="黑体" w:hAnsi="黑体" w:eastAsia="黑体" w:cs="黑体"/>
          <w:color w:val="000000"/>
          <w:sz w:val="32"/>
          <w:lang w:eastAsia="zh-CN"/>
        </w:rPr>
        <w:t>无</w:t>
      </w: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731昌黎县科学技术协会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昌黎县科学技术协会（含所属单位）上年末固定资产金额为5.12万元（详见下表）。本年度拟购置固定资产总额为0.00万元，已按要求列入政府采购预算，详见政府采购预算表。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731昌黎县科学技术协会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34</w:t>
            </w:r>
          </w:p>
        </w:tc>
        <w:tc>
          <w:tcPr>
            <w:tcW w:w="2835" w:type="dxa"/>
            <w:vAlign w:val="center"/>
          </w:tcPr>
          <w:p>
            <w:pPr>
              <w:pStyle w:val="12"/>
            </w:pPr>
            <w:r>
              <w:t>5.12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8E621"/>
    <w:multiLevelType w:val="singleLevel"/>
    <w:tmpl w:val="9578E62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B1C0E11"/>
    <w:rsid w:val="6658337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TotalTime>0</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2025-01-19T11:50:00Z</dcterms:created>
  <dc:creator>Administrator</dc:creator>
  <cp:lastModifiedBy>Administrator</cp:lastModifiedBy>
  <dcterms:modified xsi:type="dcterms:W3CDTF">2025-01-20T08:29:05Z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7E74CB5D355049619FB9FF3768E13867</vt:lpwstr>
  </property>
</Properties>
</file>