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319昌黎县审计局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345.46</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271.18</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36.65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19.76</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17.87</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345.46</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345.46</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345.46</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345.46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319昌黎县审计局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r>
              <w:t>345.46</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20108</w:t>
            </w:r>
          </w:p>
        </w:tc>
        <w:tc>
          <w:tcPr>
            <w:tcW w:w="1559" w:type="dxa"/>
            <w:tcBorders>
              <w:top w:val="single" w:sz="6" w:space="0" w:color="auto"/>
              <w:left w:val="single" w:sz="6" w:space="0" w:color="auto"/>
              <w:right w:val="single" w:sz="6" w:space="0" w:color="auto"/>
            </w:tcBorders>
            <w:vAlign w:val="center"/>
          </w:tcPr>
          <w:p>
            <w:pPr>
              <w:pStyle w:val="20"/>
            </w:pPr>
            <w:r>
              <w:t>审计事务</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r>
              <w:t>271.18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2010801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r>
              <w:t>165.74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2010850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r>
              <w:t>105.44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r>
              <w:t>36.65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r>
              <w:t>19.76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r>
              <w:t>10.24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r>
              <w:t>9.52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r>
              <w:t>17.87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345.46</w:t>
            </w:r>
          </w:p>
        </w:tc>
        <w:tc>
          <w:tcPr>
            <w:tcW w:w="1361" w:type="dxa"/>
            <w:tcBorders>
              <w:top w:val="single" w:sz="6" w:space="0" w:color="auto"/>
              <w:left w:val="single" w:sz="6" w:space="0" w:color="auto"/>
              <w:right w:val="single" w:sz="6" w:space="0" w:color="auto"/>
            </w:tcBorders>
            <w:vAlign w:val="center"/>
          </w:tcPr>
          <w:p>
            <w:pPr>
              <w:pStyle w:val="23"/>
            </w:pPr>
            <w:r>
              <w:t>345.46</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20108</w:t>
            </w:r>
          </w:p>
        </w:tc>
        <w:tc>
          <w:tcPr>
            <w:tcW w:w="4535" w:type="dxa"/>
            <w:tcBorders>
              <w:top w:val="single" w:sz="6" w:space="0" w:color="auto"/>
              <w:left w:val="single" w:sz="6" w:space="0" w:color="auto"/>
              <w:right w:val="single" w:sz="6" w:space="0" w:color="auto"/>
            </w:tcBorders>
            <w:vAlign w:val="center"/>
          </w:tcPr>
          <w:p>
            <w:pPr>
              <w:pStyle w:val="20"/>
            </w:pPr>
            <w:r>
              <w:t>审计事务</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r>
              <w:t>271.18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165.74</w:t>
            </w:r>
          </w:p>
        </w:tc>
        <w:tc>
          <w:tcPr>
            <w:tcW w:w="1361" w:type="dxa"/>
            <w:tcBorders>
              <w:top w:val="single" w:sz="6" w:space="0" w:color="auto"/>
              <w:left w:val="single" w:sz="6" w:space="0" w:color="auto"/>
              <w:right w:val="single" w:sz="6" w:space="0" w:color="auto"/>
            </w:tcBorders>
            <w:vAlign w:val="center"/>
          </w:tcPr>
          <w:p>
            <w:pPr>
              <w:pStyle w:val="19"/>
            </w:pPr>
            <w:r>
              <w:t>165.74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105.44</w:t>
            </w:r>
          </w:p>
        </w:tc>
        <w:tc>
          <w:tcPr>
            <w:tcW w:w="1361" w:type="dxa"/>
            <w:tcBorders>
              <w:top w:val="single" w:sz="6" w:space="0" w:color="auto"/>
              <w:left w:val="single" w:sz="6" w:space="0" w:color="auto"/>
              <w:right w:val="single" w:sz="6" w:space="0" w:color="auto"/>
            </w:tcBorders>
            <w:vAlign w:val="center"/>
          </w:tcPr>
          <w:p>
            <w:pPr>
              <w:pStyle w:val="19"/>
            </w:pPr>
            <w:r>
              <w:t>105.44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r>
              <w:t>36.65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r>
              <w:t>19.76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10.24</w:t>
            </w:r>
          </w:p>
        </w:tc>
        <w:tc>
          <w:tcPr>
            <w:tcW w:w="1361" w:type="dxa"/>
            <w:tcBorders>
              <w:top w:val="single" w:sz="6" w:space="0" w:color="auto"/>
              <w:left w:val="single" w:sz="6" w:space="0" w:color="auto"/>
              <w:right w:val="single" w:sz="6" w:space="0" w:color="auto"/>
            </w:tcBorders>
            <w:vAlign w:val="center"/>
          </w:tcPr>
          <w:p>
            <w:pPr>
              <w:pStyle w:val="19"/>
            </w:pPr>
            <w:r>
              <w:t>10.24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9.52</w:t>
            </w:r>
          </w:p>
        </w:tc>
        <w:tc>
          <w:tcPr>
            <w:tcW w:w="1361" w:type="dxa"/>
            <w:tcBorders>
              <w:top w:val="single" w:sz="6" w:space="0" w:color="auto"/>
              <w:left w:val="single" w:sz="6" w:space="0" w:color="auto"/>
              <w:right w:val="single" w:sz="6" w:space="0" w:color="auto"/>
            </w:tcBorders>
            <w:vAlign w:val="center"/>
          </w:tcPr>
          <w:p>
            <w:pPr>
              <w:pStyle w:val="19"/>
            </w:pPr>
            <w:r>
              <w:t>9.52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r>
              <w:t>17.87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345.46</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271.18</w:t>
            </w:r>
          </w:p>
        </w:tc>
        <w:tc>
          <w:tcPr>
            <w:tcW w:w="1474" w:type="dxa"/>
            <w:tcBorders>
              <w:top w:val="single" w:sz="6" w:space="0" w:color="auto"/>
              <w:left w:val="single" w:sz="6" w:space="0" w:color="auto"/>
              <w:right w:val="single" w:sz="6" w:space="0" w:color="auto"/>
            </w:tcBorders>
            <w:vAlign w:val="center"/>
          </w:tcPr>
          <w:p>
            <w:pPr>
              <w:pStyle w:val="19"/>
            </w:pPr>
            <w:r>
              <w:t>271.18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36.65</w:t>
            </w:r>
          </w:p>
        </w:tc>
        <w:tc>
          <w:tcPr>
            <w:tcW w:w="1474" w:type="dxa"/>
            <w:tcBorders>
              <w:top w:val="single" w:sz="6" w:space="0" w:color="auto"/>
              <w:left w:val="single" w:sz="6" w:space="0" w:color="auto"/>
              <w:right w:val="single" w:sz="6" w:space="0" w:color="auto"/>
            </w:tcBorders>
            <w:vAlign w:val="center"/>
          </w:tcPr>
          <w:p>
            <w:pPr>
              <w:pStyle w:val="19"/>
            </w:pPr>
            <w:r>
              <w:t>36.65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19.76</w:t>
            </w:r>
          </w:p>
        </w:tc>
        <w:tc>
          <w:tcPr>
            <w:tcW w:w="1474" w:type="dxa"/>
            <w:tcBorders>
              <w:top w:val="single" w:sz="6" w:space="0" w:color="auto"/>
              <w:left w:val="single" w:sz="6" w:space="0" w:color="auto"/>
              <w:right w:val="single" w:sz="6" w:space="0" w:color="auto"/>
            </w:tcBorders>
            <w:vAlign w:val="center"/>
          </w:tcPr>
          <w:p>
            <w:pPr>
              <w:pStyle w:val="19"/>
            </w:pPr>
            <w:r>
              <w:t>19.76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17.87</w:t>
            </w:r>
          </w:p>
        </w:tc>
        <w:tc>
          <w:tcPr>
            <w:tcW w:w="1474" w:type="dxa"/>
            <w:tcBorders>
              <w:top w:val="single" w:sz="6" w:space="0" w:color="auto"/>
              <w:left w:val="single" w:sz="6" w:space="0" w:color="auto"/>
              <w:right w:val="single" w:sz="6" w:space="0" w:color="auto"/>
            </w:tcBorders>
            <w:vAlign w:val="center"/>
          </w:tcPr>
          <w:p>
            <w:pPr>
              <w:pStyle w:val="19"/>
            </w:pPr>
            <w:r>
              <w:t>17.87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r>
              <w:t>345.46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20108</w:t>
            </w:r>
          </w:p>
        </w:tc>
        <w:tc>
          <w:tcPr>
            <w:tcW w:w="4535" w:type="dxa"/>
            <w:tcBorders>
              <w:top w:val="single" w:sz="6" w:space="0" w:color="auto"/>
              <w:left w:val="single" w:sz="6" w:space="0" w:color="auto"/>
              <w:right w:val="single" w:sz="6" w:space="0" w:color="auto"/>
            </w:tcBorders>
            <w:vAlign w:val="center"/>
          </w:tcPr>
          <w:p>
            <w:pPr>
              <w:pStyle w:val="20"/>
            </w:pPr>
            <w:r>
              <w:t>审计事务</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tcBorders>
              <w:top w:val="single" w:sz="6" w:space="0" w:color="auto"/>
              <w:left w:val="single" w:sz="6" w:space="0" w:color="auto"/>
              <w:right w:val="single" w:sz="6" w:space="0" w:color="auto"/>
            </w:tcBorders>
            <w:vAlign w:val="center"/>
          </w:tcPr>
          <w:p>
            <w:pPr>
              <w:pStyle w:val="19"/>
            </w:pPr>
            <w:r>
              <w:t>271.18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2010801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165.74</w:t>
            </w:r>
          </w:p>
        </w:tc>
        <w:tc>
          <w:tcPr>
            <w:tcW w:w="2551" w:type="dxa"/>
            <w:tcBorders>
              <w:top w:val="single" w:sz="6" w:space="0" w:color="auto"/>
              <w:left w:val="single" w:sz="6" w:space="0" w:color="auto"/>
              <w:right w:val="single" w:sz="6" w:space="0" w:color="auto"/>
            </w:tcBorders>
            <w:vAlign w:val="center"/>
          </w:tcPr>
          <w:p>
            <w:pPr>
              <w:pStyle w:val="19"/>
            </w:pPr>
            <w:r>
              <w:t>165.74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2010850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105.44</w:t>
            </w:r>
          </w:p>
        </w:tc>
        <w:tc>
          <w:tcPr>
            <w:tcW w:w="2551" w:type="dxa"/>
            <w:tcBorders>
              <w:top w:val="single" w:sz="6" w:space="0" w:color="auto"/>
              <w:left w:val="single" w:sz="6" w:space="0" w:color="auto"/>
              <w:right w:val="single" w:sz="6" w:space="0" w:color="auto"/>
            </w:tcBorders>
            <w:vAlign w:val="center"/>
          </w:tcPr>
          <w:p>
            <w:pPr>
              <w:pStyle w:val="19"/>
            </w:pPr>
            <w:r>
              <w:t>105.44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10.24</w:t>
            </w:r>
          </w:p>
        </w:tc>
        <w:tc>
          <w:tcPr>
            <w:tcW w:w="2551" w:type="dxa"/>
            <w:tcBorders>
              <w:top w:val="single" w:sz="6" w:space="0" w:color="auto"/>
              <w:left w:val="single" w:sz="6" w:space="0" w:color="auto"/>
              <w:right w:val="single" w:sz="6" w:space="0" w:color="auto"/>
            </w:tcBorders>
            <w:vAlign w:val="center"/>
          </w:tcPr>
          <w:p>
            <w:pPr>
              <w:pStyle w:val="19"/>
            </w:pPr>
            <w:r>
              <w:t>10.24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9.52</w:t>
            </w:r>
          </w:p>
        </w:tc>
        <w:tc>
          <w:tcPr>
            <w:tcW w:w="2551" w:type="dxa"/>
            <w:tcBorders>
              <w:top w:val="single" w:sz="6" w:space="0" w:color="auto"/>
              <w:left w:val="single" w:sz="6" w:space="0" w:color="auto"/>
              <w:right w:val="single" w:sz="6" w:space="0" w:color="auto"/>
            </w:tcBorders>
            <w:vAlign w:val="center"/>
          </w:tcPr>
          <w:p>
            <w:pPr>
              <w:pStyle w:val="19"/>
            </w:pPr>
            <w:r>
              <w:t>9.52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345.46</w:t>
            </w:r>
          </w:p>
        </w:tc>
        <w:tc>
          <w:tcPr>
            <w:tcW w:w="2551" w:type="dxa"/>
            <w:tcBorders>
              <w:top w:val="single" w:sz="6" w:space="0" w:color="auto"/>
              <w:left w:val="single" w:sz="6" w:space="0" w:color="auto"/>
              <w:right w:val="single" w:sz="6" w:space="0" w:color="auto"/>
            </w:tcBorders>
            <w:vAlign w:val="center"/>
          </w:tcPr>
          <w:p>
            <w:pPr>
              <w:pStyle w:val="23"/>
            </w:pPr>
            <w:r>
              <w:t>325.85</w:t>
            </w:r>
          </w:p>
        </w:tc>
        <w:tc>
          <w:tcPr>
            <w:tcW w:w="2551" w:type="dxa"/>
            <w:vAlign w:val="center"/>
          </w:tcPr>
          <w:p>
            <w:pPr>
              <w:pStyle w:val="23"/>
            </w:pPr>
            <w:r>
              <w:t>19.61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304.30</w:t>
            </w:r>
          </w:p>
        </w:tc>
        <w:tc>
          <w:tcPr>
            <w:tcW w:w="2551" w:type="dxa"/>
            <w:tcBorders>
              <w:top w:val="single" w:sz="6" w:space="0" w:color="auto"/>
              <w:left w:val="single" w:sz="6" w:space="0" w:color="auto"/>
              <w:right w:val="single" w:sz="6" w:space="0" w:color="auto"/>
            </w:tcBorders>
            <w:vAlign w:val="center"/>
          </w:tcPr>
          <w:p>
            <w:pPr>
              <w:pStyle w:val="19"/>
            </w:pPr>
            <w:r>
              <w:t>304.30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136.30</w:t>
            </w:r>
          </w:p>
        </w:tc>
        <w:tc>
          <w:tcPr>
            <w:tcW w:w="2551" w:type="dxa"/>
            <w:tcBorders>
              <w:top w:val="single" w:sz="6" w:space="0" w:color="auto"/>
              <w:left w:val="single" w:sz="6" w:space="0" w:color="auto"/>
              <w:right w:val="single" w:sz="6" w:space="0" w:color="auto"/>
            </w:tcBorders>
            <w:vAlign w:val="center"/>
          </w:tcPr>
          <w:p>
            <w:pPr>
              <w:pStyle w:val="19"/>
            </w:pPr>
            <w:r>
              <w:t>136.30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40.53</w:t>
            </w:r>
          </w:p>
        </w:tc>
        <w:tc>
          <w:tcPr>
            <w:tcW w:w="2551" w:type="dxa"/>
            <w:tcBorders>
              <w:top w:val="single" w:sz="6" w:space="0" w:color="auto"/>
              <w:left w:val="single" w:sz="6" w:space="0" w:color="auto"/>
              <w:right w:val="single" w:sz="6" w:space="0" w:color="auto"/>
            </w:tcBorders>
            <w:vAlign w:val="center"/>
          </w:tcPr>
          <w:p>
            <w:pPr>
              <w:pStyle w:val="19"/>
            </w:pPr>
            <w:r>
              <w:t>40.53</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16.71</w:t>
            </w:r>
          </w:p>
        </w:tc>
        <w:tc>
          <w:tcPr>
            <w:tcW w:w="2551" w:type="dxa"/>
            <w:tcBorders>
              <w:top w:val="single" w:sz="6" w:space="0" w:color="auto"/>
              <w:left w:val="single" w:sz="6" w:space="0" w:color="auto"/>
              <w:right w:val="single" w:sz="6" w:space="0" w:color="auto"/>
            </w:tcBorders>
            <w:vAlign w:val="center"/>
          </w:tcPr>
          <w:p>
            <w:pPr>
              <w:pStyle w:val="19"/>
            </w:pPr>
            <w:r>
              <w:t>16.71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34.78</w:t>
            </w:r>
          </w:p>
        </w:tc>
        <w:tc>
          <w:tcPr>
            <w:tcW w:w="2551" w:type="dxa"/>
            <w:tcBorders>
              <w:top w:val="single" w:sz="6" w:space="0" w:color="auto"/>
              <w:left w:val="single" w:sz="6" w:space="0" w:color="auto"/>
              <w:right w:val="single" w:sz="6" w:space="0" w:color="auto"/>
            </w:tcBorders>
            <w:vAlign w:val="center"/>
          </w:tcPr>
          <w:p>
            <w:pPr>
              <w:pStyle w:val="19"/>
            </w:pPr>
            <w:r>
              <w:t>34.78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tcBorders>
              <w:top w:val="single" w:sz="6" w:space="0" w:color="auto"/>
              <w:left w:val="single" w:sz="6" w:space="0" w:color="auto"/>
              <w:right w:val="single" w:sz="6" w:space="0" w:color="auto"/>
            </w:tcBorders>
            <w:vAlign w:val="center"/>
          </w:tcPr>
          <w:p>
            <w:pPr>
              <w:pStyle w:val="19"/>
            </w:pPr>
            <w:r>
              <w:t>36.65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tcBorders>
              <w:top w:val="single" w:sz="6" w:space="0" w:color="auto"/>
              <w:left w:val="single" w:sz="6" w:space="0" w:color="auto"/>
              <w:right w:val="single" w:sz="6" w:space="0" w:color="auto"/>
            </w:tcBorders>
            <w:vAlign w:val="center"/>
          </w:tcPr>
          <w:p>
            <w:pPr>
              <w:pStyle w:val="19"/>
            </w:pPr>
            <w:r>
              <w:t>19.76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1.70</w:t>
            </w:r>
          </w:p>
        </w:tc>
        <w:tc>
          <w:tcPr>
            <w:tcW w:w="2551" w:type="dxa"/>
            <w:tcBorders>
              <w:top w:val="single" w:sz="6" w:space="0" w:color="auto"/>
              <w:left w:val="single" w:sz="6" w:space="0" w:color="auto"/>
              <w:right w:val="single" w:sz="6" w:space="0" w:color="auto"/>
            </w:tcBorders>
            <w:vAlign w:val="center"/>
          </w:tcPr>
          <w:p>
            <w:pPr>
              <w:pStyle w:val="19"/>
            </w:pPr>
            <w:r>
              <w:t>1.70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tcBorders>
              <w:top w:val="single" w:sz="6" w:space="0" w:color="auto"/>
              <w:left w:val="single" w:sz="6" w:space="0" w:color="auto"/>
              <w:right w:val="single" w:sz="6" w:space="0" w:color="auto"/>
            </w:tcBorders>
            <w:vAlign w:val="center"/>
          </w:tcPr>
          <w:p>
            <w:pPr>
              <w:pStyle w:val="19"/>
            </w:pPr>
            <w:r>
              <w:t>17.87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19.61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19.61</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4.35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4.35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10.62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10.62</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0.23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0.23</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tcBorders>
              <w:top w:val="single" w:sz="6" w:space="0" w:color="auto"/>
              <w:left w:val="single" w:sz="6" w:space="0" w:color="auto"/>
              <w:right w:val="single" w:sz="6" w:space="0" w:color="auto"/>
            </w:tcBorders>
            <w:vAlign w:val="center"/>
          </w:tcPr>
          <w:p>
            <w:pPr>
              <w:pStyle w:val="19"/>
            </w:pPr>
            <w:r>
              <w:t>21.55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319昌黎县审计局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昌黎县审计局2025年部门预算信息公开情况说明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昌黎县审计局2025年部门预算信息公开情况说明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按照《中华人民共和国预算法》、《地方预决算公开操作规程》和《关于进一步推进预算公开工作的实施意见》规定，现将昌黎县审计局2025年部门预算公开如下：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涉密。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昌黎县审计局本级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按照预算管理有关规定，目前部门预算的编制实行综合预算管理，即全部收入和支出都反映在预算中。昌黎县审计局机关及所属事业单位的收支包含在部门预算中。</w:t>
      </w:r>
    </w:p>
    <w:p>
      <w:pPr>
        <w:pStyle w:val="26"/>
      </w:pPr>
      <w:r>
        <w:t>1、收入说明</w:t>
      </w:r>
    </w:p>
    <w:p>
      <w:pPr>
        <w:pStyle w:val="26"/>
      </w:pPr>
      <w:r>
        <w:t>反映本部门当年全部收入。2025年预算收入345.46万元，其中：一般公共预算收入345.46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审计局年度部门预算中支出预算的总体情况。2025年支出预算345.46万元，其中基本支出345.46万元，包括人员经费325.85万元和日常公用经费19.61万元；项目支出0.00万元，主要为2025年年初无项目预算安排。</w:t>
      </w:r>
    </w:p>
    <w:p>
      <w:pPr>
        <w:pStyle w:val="26"/>
      </w:pPr>
      <w:r>
        <w:t>3、比上年增减情况</w:t>
      </w:r>
    </w:p>
    <w:p>
      <w:pPr>
        <w:pStyle w:val="26"/>
      </w:pPr>
      <w:r>
        <w:t>2025年预算收支安排345.46万元，较2024年预算减少12.75万元，其中：基本支出减少12.75万元，主要为2025年年初新增退休人员，各项人员经费相应减少。项目支出增加0.00万元，主要为2025年年初无项目预算安排。</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2025年，我部门机关运行经费共计安排19.61万元，主要用于日常维修、办公用房水电费、办公用房取暖费、办公用房物业管理费等日常运行支出。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通过财政财务收支审计真实、合法和效益情况，维护国家财政经济秩序，促进廉政建设，保障国民经济的健康运行。进行内部审计管理和审计法制管理。通过建立健全法规，加大内部审计管理制度提高审计质量和审计机关法制管理水平。包括系统综合业务管理和机关综合事务管理。充分发挥参谋助手作用和综合协调作用，推进审计事业科学协调发展。审计业务方面审计计划完成率90%及以上，审计决定落实率90%及以上，通过审计财政、财务收支真实、合法和效益，维护国家财政经济秩序、促进廉政建设、保障国民经济的健康发展。审计管理方面内部审计管理进行内审业务，内审业务办结率80%及以上，受理内审业务咨询，提高内部审计质量；协调内部审计和国家审计间工作，保障内部审计工作的顺利进行；控制费用标准严格。审计政务管理方面，综合业务保障率达到80%及以上，信息保障安全快速有效，信息化建设稳步推进；加强宣传引导；提高人员业务水平；促进审计文化研究，推动审计事业发展。</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（一）加强本级审计业务</w:t>
      </w:r>
    </w:p>
    <w:p>
      <w:pPr>
        <w:pStyle w:val="30"/>
      </w:pPr>
      <w:r>
        <w:t>绩效目标：通过审计，促进廉政建设，保障国民经济健康发展。</w:t>
        <w:tab/>
      </w:r>
    </w:p>
    <w:p>
      <w:pPr>
        <w:pStyle w:val="30"/>
      </w:pPr>
      <w:r>
        <w:t>绩效指标：稳步推进本级审计工作，年内开展预算执行审计、经济责任审计10个以上，形成审计报告数量10份以上。</w:t>
      </w:r>
    </w:p>
    <w:p>
      <w:pPr>
        <w:pStyle w:val="30"/>
      </w:pPr>
      <w:r>
        <w:t>（二）推进信息化审计建设</w:t>
      </w:r>
    </w:p>
    <w:p>
      <w:pPr>
        <w:pStyle w:val="30"/>
      </w:pPr>
      <w:r>
        <w:t>绩效目标：通过网络建设，提高审计效率，维护国家财政经济秩序，促进廉政建设，保障国民经济健康发展。</w:t>
      </w:r>
    </w:p>
    <w:p>
      <w:pPr>
        <w:pStyle w:val="30"/>
      </w:pPr>
      <w:r>
        <w:t>绩效指标：积极推进数字化审计，使得办公自动化覆盖率达到80%及以上。</w:t>
      </w:r>
    </w:p>
    <w:p>
      <w:pPr>
        <w:pStyle w:val="30"/>
      </w:pPr>
      <w:r>
        <w:t>（三）提高审计管理水平</w:t>
      </w:r>
    </w:p>
    <w:p>
      <w:pPr>
        <w:pStyle w:val="30"/>
      </w:pPr>
      <w:r>
        <w:t>绩效目标：通过建立健全法规，加大内部审计管理制度，提高审计质量和审计机关法制管理水平。</w:t>
      </w:r>
    </w:p>
    <w:p>
      <w:pPr>
        <w:pStyle w:val="30"/>
      </w:pPr>
      <w:r>
        <w:t>绩效指标：被审计单位的审计建议采纳率达到90%及以上。</w:t>
      </w:r>
    </w:p>
    <w:p>
      <w:pPr>
        <w:pStyle w:val="30"/>
      </w:pPr>
      <w:r>
        <w:t>（四）完成上级安排审计任务</w:t>
      </w:r>
    </w:p>
    <w:p>
      <w:pPr>
        <w:pStyle w:val="30"/>
      </w:pPr>
      <w:r>
        <w:t>绩效目标：通过审计，维护国家财政经济秩序，促进廉政建设，保障国民经济健康发展。</w:t>
      </w:r>
    </w:p>
    <w:p>
      <w:pPr>
        <w:pStyle w:val="30"/>
      </w:pPr>
      <w:r>
        <w:t>绩效指标：开展上级审计机关安排项目审计的单位1家以上，形成审计报告的数量1份以上。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（一）完善制度建设。制定完善预算绩效管理制度、资金管理办法、工作保障制度等内控管理办法，为全年预算绩效目标的实现奠定制度基础。</w:t>
      </w:r>
    </w:p>
    <w:p>
      <w:pPr>
        <w:pStyle w:val="31"/>
      </w:pPr>
      <w:r>
        <w:t>（二）加强支出管理。通过优化支出结构、编细编实预算、及时支付资金、6月底前细化代编预算、按规定及时下达资金等多种措施，确保支出进度达标。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outlineLvl w:val="2"/>
        <w:rPr>
          <w:rFonts w:eastAsia="方正仿宋_GBK" w:hAnsi="黑体"/>
          <w:sz w:val="28"/>
        </w:rPr>
      </w:pPr>
      <w:r>
        <w:rPr>
          <w:rFonts w:eastAsia="方正仿宋_GBK" w:hAnsi="黑体"/>
          <w:sz w:val="28"/>
        </w:rPr>
        <w:t>无。</w:t>
      </w:r>
      <w:bookmarkStart w:id="15" w:name="_Toc_3_3_0000000016"/>
    </w:p>
    <w:p>
      <w:pPr>
        <w:spacing w:before="10" w:after="10" w:line="360" w:lineRule="auto"/>
        <w:ind w:firstLine="640"/>
        <w:outlineLvl w:val="2"/>
        <w:rPr>
          <w:rFonts w:ascii="黑体" w:eastAsia="黑体" w:cs="黑体" w:hAnsi="黑体"/>
          <w:color w:val="000000"/>
          <w:sz w:val="32"/>
        </w:rPr>
      </w:pPr>
      <w:r>
        <w:rPr>
          <w:rFonts w:ascii="黑体" w:eastAsia="黑体" w:cs="黑体" w:hAnsi="黑体"/>
          <w:color w:val="000000"/>
          <w:sz w:val="32"/>
        </w:rPr>
        <w:t>七、部门项目预算安排情况及绩效目标</w:t>
      </w:r>
      <w:bookmarkEnd w:id="15"/>
    </w:p>
    <w:p>
      <w:pPr>
        <w:spacing w:before="10" w:after="10" w:line="360" w:lineRule="auto"/>
        <w:ind w:firstLine="640"/>
        <w:outlineLvl w:val="2"/>
        <w:rPr>
          <w:rFonts w:eastAsia="方正仿宋_GBK" w:hAnsi="黑体"/>
          <w:sz w:val="28"/>
        </w:rPr>
      </w:pPr>
      <w:r>
        <w:rPr>
          <w:rFonts w:eastAsia="方正仿宋_GBK" w:hAnsi="黑体"/>
          <w:sz w:val="28"/>
        </w:rPr>
        <w:t>无。</w:t>
      </w:r>
      <w:bookmarkStart w:id="16" w:name="_Toc_3_3_0000000017"/>
    </w:p>
    <w:p>
      <w:pPr>
        <w:spacing w:before="10" w:after="10" w:line="360" w:lineRule="auto"/>
        <w:ind w:firstLine="640"/>
        <w:outlineLvl w:val="2"/>
      </w:pPr>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319昌黎县审计局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Ansi="黑体"/>
          <w:color w:val="000000"/>
          <w:sz w:val="32"/>
        </w:rPr>
        <w:t>九、国有资产信息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昌黎县审计局（含所属单位）上年末固定资产金额为24.57万元（详见下表）。本年度拟购置固定资产总额为0.00万元，已按要求列入政府采购预算，详见政府采购预算表。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319昌黎县审计局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24.57</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4.58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140</w:t>
            </w:r>
          </w:p>
        </w:tc>
        <w:tc>
          <w:tcPr>
            <w:tcW w:w="2835" w:type="dxa"/>
            <w:vAlign w:val="center"/>
          </w:tcPr>
          <w:p>
            <w:pPr>
              <w:pStyle w:val="19"/>
            </w:pPr>
            <w:r>
              <w:t>19.99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hAnsi="黑体"/>
          <w:color w:val="000000"/>
          <w:sz w:val="32"/>
        </w:rPr>
        <w:t>十、名词解释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hAnsi="黑体"/>
          <w:color w:val="000000"/>
          <w:sz w:val="32"/>
        </w:rPr>
        <w:t>十一、其他需要说明的事项</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C0A6F5E4-3980-45A6-9F51-D97830D71E0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314</TotalTime>
  <Application>Yozo_Office27021597764231179</Application>
  <Pages>22</Pages>
  <Words>0</Words>
  <Characters>8000</Characters>
  <Lines>0</Lines>
  <Paragraphs>125</Paragraphs>
  <CharactersWithSpaces>10667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2025-01-19T11:47:55Z</dcterms:created>
  <dcterms:modified xsi:type="dcterms:W3CDTF">2025-01-20T07:53:31Z</dcterms:modified>
</cp:coreProperties>
</file>