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一、昌黎县审计局本级收支预算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一、昌黎县审计局本级收支预算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319001昌黎县审计局本级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345.46</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271.18</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36.65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19.76</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17.87</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345.46</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345.46</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345.46</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345.46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319001昌黎县审计局本级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20108</w:t>
            </w:r>
          </w:p>
        </w:tc>
        <w:tc>
          <w:tcPr>
            <w:tcW w:w="1559" w:type="dxa"/>
            <w:tcBorders>
              <w:top w:val="single" w:sz="6" w:space="0" w:color="auto"/>
              <w:left w:val="single" w:sz="6" w:space="0" w:color="auto"/>
              <w:right w:val="single" w:sz="6" w:space="0" w:color="auto"/>
            </w:tcBorders>
            <w:vAlign w:val="center"/>
          </w:tcPr>
          <w:p>
            <w:pPr>
              <w:pStyle w:val="20"/>
            </w:pPr>
            <w:r>
              <w:t>审计事务</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2010801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2010850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345.46</w:t>
            </w:r>
          </w:p>
        </w:tc>
        <w:tc>
          <w:tcPr>
            <w:tcW w:w="1361" w:type="dxa"/>
            <w:tcBorders>
              <w:top w:val="single" w:sz="6" w:space="0" w:color="auto"/>
              <w:left w:val="single" w:sz="6" w:space="0" w:color="auto"/>
              <w:right w:val="single" w:sz="6" w:space="0" w:color="auto"/>
            </w:tcBorders>
            <w:vAlign w:val="center"/>
          </w:tcPr>
          <w:p>
            <w:pPr>
              <w:pStyle w:val="23"/>
            </w:pPr>
            <w:r>
              <w:t>345.46</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20108</w:t>
            </w:r>
          </w:p>
        </w:tc>
        <w:tc>
          <w:tcPr>
            <w:tcW w:w="4535" w:type="dxa"/>
            <w:tcBorders>
              <w:top w:val="single" w:sz="6" w:space="0" w:color="auto"/>
              <w:left w:val="single" w:sz="6" w:space="0" w:color="auto"/>
              <w:right w:val="single" w:sz="6" w:space="0" w:color="auto"/>
            </w:tcBorders>
            <w:vAlign w:val="center"/>
          </w:tcPr>
          <w:p>
            <w:pPr>
              <w:pStyle w:val="20"/>
            </w:pPr>
            <w:r>
              <w:t>审计事务</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165.74</w:t>
            </w:r>
          </w:p>
        </w:tc>
        <w:tc>
          <w:tcPr>
            <w:tcW w:w="1361" w:type="dxa"/>
            <w:tcBorders>
              <w:top w:val="single" w:sz="6" w:space="0" w:color="auto"/>
              <w:left w:val="single" w:sz="6" w:space="0" w:color="auto"/>
              <w:right w:val="single" w:sz="6" w:space="0" w:color="auto"/>
            </w:tcBorders>
            <w:vAlign w:val="center"/>
          </w:tcPr>
          <w:p>
            <w:pPr>
              <w:pStyle w:val="19"/>
            </w:pPr>
            <w:r>
              <w:t>165.74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105.44</w:t>
            </w:r>
          </w:p>
        </w:tc>
        <w:tc>
          <w:tcPr>
            <w:tcW w:w="1361" w:type="dxa"/>
            <w:tcBorders>
              <w:top w:val="single" w:sz="6" w:space="0" w:color="auto"/>
              <w:left w:val="single" w:sz="6" w:space="0" w:color="auto"/>
              <w:right w:val="single" w:sz="6" w:space="0" w:color="auto"/>
            </w:tcBorders>
            <w:vAlign w:val="center"/>
          </w:tcPr>
          <w:p>
            <w:pPr>
              <w:pStyle w:val="19"/>
            </w:pPr>
            <w:r>
              <w:t>105.44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10.24</w:t>
            </w:r>
          </w:p>
        </w:tc>
        <w:tc>
          <w:tcPr>
            <w:tcW w:w="1361" w:type="dxa"/>
            <w:tcBorders>
              <w:top w:val="single" w:sz="6" w:space="0" w:color="auto"/>
              <w:left w:val="single" w:sz="6" w:space="0" w:color="auto"/>
              <w:right w:val="single" w:sz="6" w:space="0" w:color="auto"/>
            </w:tcBorders>
            <w:vAlign w:val="center"/>
          </w:tcPr>
          <w:p>
            <w:pPr>
              <w:pStyle w:val="19"/>
            </w:pPr>
            <w:r>
              <w:t>10.24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9.52</w:t>
            </w:r>
          </w:p>
        </w:tc>
        <w:tc>
          <w:tcPr>
            <w:tcW w:w="1361" w:type="dxa"/>
            <w:tcBorders>
              <w:top w:val="single" w:sz="6" w:space="0" w:color="auto"/>
              <w:left w:val="single" w:sz="6" w:space="0" w:color="auto"/>
              <w:right w:val="single" w:sz="6" w:space="0" w:color="auto"/>
            </w:tcBorders>
            <w:vAlign w:val="center"/>
          </w:tcPr>
          <w:p>
            <w:pPr>
              <w:pStyle w:val="19"/>
            </w:pPr>
            <w:r>
              <w:t>9.52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345.46</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271.18</w:t>
            </w:r>
          </w:p>
        </w:tc>
        <w:tc>
          <w:tcPr>
            <w:tcW w:w="1474" w:type="dxa"/>
            <w:tcBorders>
              <w:top w:val="single" w:sz="6" w:space="0" w:color="auto"/>
              <w:left w:val="single" w:sz="6" w:space="0" w:color="auto"/>
              <w:right w:val="single" w:sz="6" w:space="0" w:color="auto"/>
            </w:tcBorders>
            <w:vAlign w:val="center"/>
          </w:tcPr>
          <w:p>
            <w:pPr>
              <w:pStyle w:val="19"/>
            </w:pPr>
            <w:r>
              <w:t>271.18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36.65</w:t>
            </w:r>
          </w:p>
        </w:tc>
        <w:tc>
          <w:tcPr>
            <w:tcW w:w="1474" w:type="dxa"/>
            <w:tcBorders>
              <w:top w:val="single" w:sz="6" w:space="0" w:color="auto"/>
              <w:left w:val="single" w:sz="6" w:space="0" w:color="auto"/>
              <w:right w:val="single" w:sz="6" w:space="0" w:color="auto"/>
            </w:tcBorders>
            <w:vAlign w:val="center"/>
          </w:tcPr>
          <w:p>
            <w:pPr>
              <w:pStyle w:val="19"/>
            </w:pPr>
            <w:r>
              <w:t>36.65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19.76</w:t>
            </w:r>
          </w:p>
        </w:tc>
        <w:tc>
          <w:tcPr>
            <w:tcW w:w="1474" w:type="dxa"/>
            <w:tcBorders>
              <w:top w:val="single" w:sz="6" w:space="0" w:color="auto"/>
              <w:left w:val="single" w:sz="6" w:space="0" w:color="auto"/>
              <w:right w:val="single" w:sz="6" w:space="0" w:color="auto"/>
            </w:tcBorders>
            <w:vAlign w:val="center"/>
          </w:tcPr>
          <w:p>
            <w:pPr>
              <w:pStyle w:val="19"/>
            </w:pPr>
            <w:r>
              <w:t>19.76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17.87</w:t>
            </w:r>
          </w:p>
        </w:tc>
        <w:tc>
          <w:tcPr>
            <w:tcW w:w="1474" w:type="dxa"/>
            <w:tcBorders>
              <w:top w:val="single" w:sz="6" w:space="0" w:color="auto"/>
              <w:left w:val="single" w:sz="6" w:space="0" w:color="auto"/>
              <w:right w:val="single" w:sz="6" w:space="0" w:color="auto"/>
            </w:tcBorders>
            <w:vAlign w:val="center"/>
          </w:tcPr>
          <w:p>
            <w:pPr>
              <w:pStyle w:val="19"/>
            </w:pPr>
            <w:r>
              <w:t>17.87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20108</w:t>
            </w:r>
          </w:p>
        </w:tc>
        <w:tc>
          <w:tcPr>
            <w:tcW w:w="4535" w:type="dxa"/>
            <w:tcBorders>
              <w:top w:val="single" w:sz="6" w:space="0" w:color="auto"/>
              <w:left w:val="single" w:sz="6" w:space="0" w:color="auto"/>
              <w:right w:val="single" w:sz="6" w:space="0" w:color="auto"/>
            </w:tcBorders>
            <w:vAlign w:val="center"/>
          </w:tcPr>
          <w:p>
            <w:pPr>
              <w:pStyle w:val="20"/>
            </w:pPr>
            <w:r>
              <w:t>审计事务</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165.74</w:t>
            </w:r>
          </w:p>
        </w:tc>
        <w:tc>
          <w:tcPr>
            <w:tcW w:w="2551" w:type="dxa"/>
            <w:tcBorders>
              <w:top w:val="single" w:sz="6" w:space="0" w:color="auto"/>
              <w:left w:val="single" w:sz="6" w:space="0" w:color="auto"/>
              <w:right w:val="single" w:sz="6" w:space="0" w:color="auto"/>
            </w:tcBorders>
            <w:vAlign w:val="center"/>
          </w:tcPr>
          <w:p>
            <w:pPr>
              <w:pStyle w:val="19"/>
            </w:pPr>
            <w:r>
              <w:t>165.74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105.44</w:t>
            </w:r>
          </w:p>
        </w:tc>
        <w:tc>
          <w:tcPr>
            <w:tcW w:w="2551" w:type="dxa"/>
            <w:tcBorders>
              <w:top w:val="single" w:sz="6" w:space="0" w:color="auto"/>
              <w:left w:val="single" w:sz="6" w:space="0" w:color="auto"/>
              <w:right w:val="single" w:sz="6" w:space="0" w:color="auto"/>
            </w:tcBorders>
            <w:vAlign w:val="center"/>
          </w:tcPr>
          <w:p>
            <w:pPr>
              <w:pStyle w:val="19"/>
            </w:pPr>
            <w:r>
              <w:t>105.44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10.24</w:t>
            </w:r>
          </w:p>
        </w:tc>
        <w:tc>
          <w:tcPr>
            <w:tcW w:w="2551" w:type="dxa"/>
            <w:tcBorders>
              <w:top w:val="single" w:sz="6" w:space="0" w:color="auto"/>
              <w:left w:val="single" w:sz="6" w:space="0" w:color="auto"/>
              <w:right w:val="single" w:sz="6" w:space="0" w:color="auto"/>
            </w:tcBorders>
            <w:vAlign w:val="center"/>
          </w:tcPr>
          <w:p>
            <w:pPr>
              <w:pStyle w:val="19"/>
            </w:pPr>
            <w:r>
              <w:t>10.24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9.52</w:t>
            </w:r>
          </w:p>
        </w:tc>
        <w:tc>
          <w:tcPr>
            <w:tcW w:w="2551" w:type="dxa"/>
            <w:tcBorders>
              <w:top w:val="single" w:sz="6" w:space="0" w:color="auto"/>
              <w:left w:val="single" w:sz="6" w:space="0" w:color="auto"/>
              <w:right w:val="single" w:sz="6" w:space="0" w:color="auto"/>
            </w:tcBorders>
            <w:vAlign w:val="center"/>
          </w:tcPr>
          <w:p>
            <w:pPr>
              <w:pStyle w:val="19"/>
            </w:pPr>
            <w:r>
              <w:t>9.52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tcBorders>
              <w:top w:val="single" w:sz="6" w:space="0" w:color="auto"/>
              <w:left w:val="single" w:sz="6" w:space="0" w:color="auto"/>
              <w:right w:val="single" w:sz="6" w:space="0" w:color="auto"/>
            </w:tcBorders>
            <w:vAlign w:val="center"/>
          </w:tcPr>
          <w:p>
            <w:pPr>
              <w:pStyle w:val="23"/>
            </w:pPr>
            <w:r>
              <w:t>325.85</w:t>
            </w:r>
          </w:p>
        </w:tc>
        <w:tc>
          <w:tcPr>
            <w:tcW w:w="2551" w:type="dxa"/>
            <w:vAlign w:val="center"/>
          </w:tcPr>
          <w:p>
            <w:pPr>
              <w:pStyle w:val="23"/>
            </w:pPr>
            <w:r>
              <w:t>19.61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304.30</w:t>
            </w:r>
          </w:p>
        </w:tc>
        <w:tc>
          <w:tcPr>
            <w:tcW w:w="2551" w:type="dxa"/>
            <w:tcBorders>
              <w:top w:val="single" w:sz="6" w:space="0" w:color="auto"/>
              <w:left w:val="single" w:sz="6" w:space="0" w:color="auto"/>
              <w:right w:val="single" w:sz="6" w:space="0" w:color="auto"/>
            </w:tcBorders>
            <w:vAlign w:val="center"/>
          </w:tcPr>
          <w:p>
            <w:pPr>
              <w:pStyle w:val="19"/>
            </w:pPr>
            <w:r>
              <w:t>304.30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136.30</w:t>
            </w:r>
          </w:p>
        </w:tc>
        <w:tc>
          <w:tcPr>
            <w:tcW w:w="2551" w:type="dxa"/>
            <w:tcBorders>
              <w:top w:val="single" w:sz="6" w:space="0" w:color="auto"/>
              <w:left w:val="single" w:sz="6" w:space="0" w:color="auto"/>
              <w:right w:val="single" w:sz="6" w:space="0" w:color="auto"/>
            </w:tcBorders>
            <w:vAlign w:val="center"/>
          </w:tcPr>
          <w:p>
            <w:pPr>
              <w:pStyle w:val="19"/>
            </w:pPr>
            <w:r>
              <w:t>136.30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40.53</w:t>
            </w:r>
          </w:p>
        </w:tc>
        <w:tc>
          <w:tcPr>
            <w:tcW w:w="2551" w:type="dxa"/>
            <w:tcBorders>
              <w:top w:val="single" w:sz="6" w:space="0" w:color="auto"/>
              <w:left w:val="single" w:sz="6" w:space="0" w:color="auto"/>
              <w:right w:val="single" w:sz="6" w:space="0" w:color="auto"/>
            </w:tcBorders>
            <w:vAlign w:val="center"/>
          </w:tcPr>
          <w:p>
            <w:pPr>
              <w:pStyle w:val="19"/>
            </w:pPr>
            <w:r>
              <w:t>40.53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16.71</w:t>
            </w:r>
          </w:p>
        </w:tc>
        <w:tc>
          <w:tcPr>
            <w:tcW w:w="2551" w:type="dxa"/>
            <w:tcBorders>
              <w:top w:val="single" w:sz="6" w:space="0" w:color="auto"/>
              <w:left w:val="single" w:sz="6" w:space="0" w:color="auto"/>
              <w:right w:val="single" w:sz="6" w:space="0" w:color="auto"/>
            </w:tcBorders>
            <w:vAlign w:val="center"/>
          </w:tcPr>
          <w:p>
            <w:pPr>
              <w:pStyle w:val="19"/>
            </w:pPr>
            <w:r>
              <w:t>16.71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34.78</w:t>
            </w:r>
          </w:p>
        </w:tc>
        <w:tc>
          <w:tcPr>
            <w:tcW w:w="2551" w:type="dxa"/>
            <w:tcBorders>
              <w:top w:val="single" w:sz="6" w:space="0" w:color="auto"/>
              <w:left w:val="single" w:sz="6" w:space="0" w:color="auto"/>
              <w:right w:val="single" w:sz="6" w:space="0" w:color="auto"/>
            </w:tcBorders>
            <w:vAlign w:val="center"/>
          </w:tcPr>
          <w:p>
            <w:pPr>
              <w:pStyle w:val="19"/>
            </w:pPr>
            <w:r>
              <w:t>34.78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1.70</w:t>
            </w:r>
          </w:p>
        </w:tc>
        <w:tc>
          <w:tcPr>
            <w:tcW w:w="2551" w:type="dxa"/>
            <w:tcBorders>
              <w:top w:val="single" w:sz="6" w:space="0" w:color="auto"/>
              <w:left w:val="single" w:sz="6" w:space="0" w:color="auto"/>
              <w:right w:val="single" w:sz="6" w:space="0" w:color="auto"/>
            </w:tcBorders>
            <w:vAlign w:val="center"/>
          </w:tcPr>
          <w:p>
            <w:pPr>
              <w:pStyle w:val="19"/>
            </w:pPr>
            <w:r>
              <w:t>1.70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19.61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19.61</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4.35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4.35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10.62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10.62</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0.23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0.23</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319001昌黎县审计局本级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昌黎县审计局本级2025年单位预算信息公开情况说明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按照《中华人民共和国预算法》、《地方预决算公开操作规程》和《关于进一步推进预算公开工作的实施意见》规定，现将昌黎县审计局本级2025年单位预算公开如下：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涉密。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昌黎县审计局本级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345.46万元，其中：一般公共预算收入345.46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审计局本级年度单位预算中支出预算的总体情况。2025年支出预算345.46万元，其中基本支出345.46万元，包括人员经费325.85万元和日常公用经费19.61万元；项目支出0.00万元，主要为2025年年初无项目预算安排。</w:t>
      </w:r>
    </w:p>
    <w:p>
      <w:pPr>
        <w:pStyle w:val="26"/>
      </w:pPr>
      <w:r>
        <w:t>3、比上年增减情况</w:t>
      </w:r>
    </w:p>
    <w:p>
      <w:pPr>
        <w:pStyle w:val="26"/>
      </w:pPr>
      <w:r>
        <w:t>2025年预算收支安排345.46万元，较2024年预算减少12.75万元，其中：基本支出减少12.75万元，主要为2025年年初新增退休人员，各项人员经费相应减少。项目支出增加0.00万元，主要为2025年年初无项目预算安排。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2025年，我单位机关运行经费共计安排19.61万元，主要用于日常维修、办公用房水电费、办公用房取暖费、办公用房物业管理费等日常运行支出。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ind w:firstLine="640"/>
        <w:outlineLvl w:val="5"/>
        <w:rPr>
          <w:rFonts w:ascii="黑体" w:eastAsia="黑体" w:cs="黑体" w:hAnsi="黑体"/>
          <w:color w:val="000000"/>
          <w:sz w:val="32"/>
        </w:rPr>
      </w:pPr>
      <w:r>
        <w:rPr>
          <w:rFonts w:ascii="黑体" w:eastAsia="黑体" w:cs="黑体" w:hAnsi="黑体"/>
          <w:color w:val="000000"/>
          <w:sz w:val="32"/>
        </w:rPr>
        <w:t>五、单位项目预算安排情况及绩效目标</w:t>
      </w:r>
    </w:p>
    <w:p>
      <w:pPr>
        <w:spacing w:before="10" w:after="10" w:line="240" w:lineRule="auto"/>
        <w:ind w:firstLine="640"/>
        <w:jc w:val="left"/>
        <w:outlineLvl w:val="5"/>
        <w:rPr>
          <w:rFonts w:eastAsia="方正仿宋_GBK"/>
          <w:sz w:val="28"/>
          <w:szCs w:val="20"/>
        </w:rPr>
        <w:sectPr>
          <w:pgSz w:w="16840" w:h="11900" w:orient="landscape"/>
          <w:pgMar w:top="1361" w:right="1020" w:bottom="1361" w:left="1020" w:header="720" w:footer="720" w:gutter="0"/>
          <w:docGrid w:linePitch="326" w:charSpace="0"/>
        </w:sectPr>
      </w:pPr>
      <w:r>
        <w:rPr>
          <w:rFonts w:eastAsia="方正仿宋_GBK" w:hAnsi="黑体"/>
          <w:sz w:val="28"/>
          <w:szCs w:val="20"/>
        </w:rPr>
        <w:t>无。</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319001昌黎县审计局本级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昌黎县审计局本级上年末固定资产金额为24.57万元（详见下表）。本年度拟购置固定资产总额为0.00万元，已按要求列入政府采购预算，详见政府采购预算表。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319001昌黎县审计局本级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24.57</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4.58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140</w:t>
            </w:r>
          </w:p>
        </w:tc>
        <w:tc>
          <w:tcPr>
            <w:tcW w:w="2835" w:type="dxa"/>
            <w:vAlign w:val="center"/>
          </w:tcPr>
          <w:p>
            <w:pPr>
              <w:pStyle w:val="19"/>
            </w:pPr>
            <w:r>
              <w:t>19.99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CD27FDF6-143F-4AB0-B87B-ED0FC02484A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85</TotalTime>
  <Application>Yozo_Office27021597764231179</Application>
  <Pages>5</Pages>
  <Words>0</Words>
  <Characters>5706</Characters>
  <Lines>0</Lines>
  <Paragraphs>78</Paragraphs>
  <CharactersWithSpaces>7609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2025-01-19T15:44:15Z</dcterms:created>
  <dcterms:modified xsi:type="dcterms:W3CDTF">2025-01-20T07:50:58Z</dcterms:modified>
</cp:coreProperties>
</file>