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一、昌黎县招商中心本级收支预算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一、昌黎县招商中心本级收支预算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321001昌黎县招商中心本级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144.05</w:t>
            </w:r>
          </w:p>
        </w:tc>
        <w:tc>
          <w:tcPr>
            <w:tcW w:w="4535" w:type="dxa"/>
            <w:vAlign w:val="center"/>
          </w:tcPr>
          <w:p>
            <w:pPr>
              <w:pStyle w:val="12"/>
            </w:pPr>
            <w:r>
              <w:t>一、一般公共服务支出</w:t>
            </w:r>
          </w:p>
        </w:tc>
        <w:tc>
          <w:tcPr>
            <w:tcW w:w="2126" w:type="dxa"/>
            <w:vAlign w:val="center"/>
          </w:tcPr>
          <w:p>
            <w:pPr>
              <w:pStyle w:val="11"/>
            </w:pPr>
            <w:r>
              <w:t>115.99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12.89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8.51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6.65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144.05</w:t>
            </w:r>
          </w:p>
        </w:tc>
        <w:tc>
          <w:tcPr>
            <w:tcW w:w="4535" w:type="dxa"/>
            <w:vAlign w:val="center"/>
          </w:tcPr>
          <w:p>
            <w:pPr>
              <w:pStyle w:val="14"/>
            </w:pPr>
            <w:r>
              <w:t>本年支出合计</w:t>
            </w:r>
          </w:p>
        </w:tc>
        <w:tc>
          <w:tcPr>
            <w:tcW w:w="2126" w:type="dxa"/>
            <w:vAlign w:val="center"/>
          </w:tcPr>
          <w:p>
            <w:pPr>
              <w:pStyle w:val="15"/>
            </w:pPr>
            <w:r>
              <w:t>144.05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144.05</w:t>
            </w:r>
          </w:p>
        </w:tc>
        <w:tc>
          <w:tcPr>
            <w:tcW w:w="4535" w:type="dxa"/>
            <w:vAlign w:val="center"/>
          </w:tcPr>
          <w:p>
            <w:pPr>
              <w:pStyle w:val="14"/>
            </w:pPr>
            <w:r>
              <w:t>支出总计</w:t>
            </w:r>
          </w:p>
        </w:tc>
        <w:tc>
          <w:tcPr>
            <w:tcW w:w="2126" w:type="dxa"/>
            <w:vAlign w:val="center"/>
          </w:tcPr>
          <w:p>
            <w:pPr>
              <w:pStyle w:val="15"/>
            </w:pPr>
            <w:r>
              <w:t>144.05</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321001昌黎县招商中心本级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144.05</w:t>
            </w:r>
          </w:p>
        </w:tc>
        <w:tc>
          <w:tcPr>
            <w:tcW w:w="1134" w:type="dxa"/>
            <w:vAlign w:val="center"/>
          </w:tcPr>
          <w:p>
            <w:pPr>
              <w:pStyle w:val="15"/>
            </w:pPr>
            <w:r>
              <w:t>144.05</w:t>
            </w:r>
          </w:p>
        </w:tc>
        <w:tc>
          <w:tcPr>
            <w:tcW w:w="1134" w:type="dxa"/>
            <w:vAlign w:val="center"/>
          </w:tcPr>
          <w:p>
            <w:pPr>
              <w:pStyle w:val="15"/>
            </w:pPr>
            <w:r>
              <w:t>144.05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115.99</w:t>
            </w:r>
          </w:p>
        </w:tc>
        <w:tc>
          <w:tcPr>
            <w:tcW w:w="1134" w:type="dxa"/>
            <w:vAlign w:val="center"/>
          </w:tcPr>
          <w:p>
            <w:pPr>
              <w:pStyle w:val="11"/>
            </w:pPr>
            <w:r>
              <w:t>115.99</w:t>
            </w:r>
          </w:p>
        </w:tc>
        <w:tc>
          <w:tcPr>
            <w:tcW w:w="1134" w:type="dxa"/>
            <w:vAlign w:val="center"/>
          </w:tcPr>
          <w:p>
            <w:pPr>
              <w:pStyle w:val="11"/>
            </w:pPr>
            <w:r>
              <w:t>115.99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20113</w:t>
            </w:r>
          </w:p>
        </w:tc>
        <w:tc>
          <w:tcPr>
            <w:tcW w:w="1559" w:type="dxa"/>
            <w:vAlign w:val="center"/>
          </w:tcPr>
          <w:p>
            <w:pPr>
              <w:pStyle w:val="12"/>
            </w:pPr>
            <w:r>
              <w:t>商贸事务</w:t>
            </w:r>
          </w:p>
        </w:tc>
        <w:tc>
          <w:tcPr>
            <w:tcW w:w="1134" w:type="dxa"/>
            <w:vAlign w:val="center"/>
          </w:tcPr>
          <w:p>
            <w:pPr>
              <w:pStyle w:val="11"/>
            </w:pPr>
            <w:r>
              <w:t>115.99</w:t>
            </w:r>
          </w:p>
        </w:tc>
        <w:tc>
          <w:tcPr>
            <w:tcW w:w="1134" w:type="dxa"/>
            <w:vAlign w:val="center"/>
          </w:tcPr>
          <w:p>
            <w:pPr>
              <w:pStyle w:val="11"/>
            </w:pPr>
            <w:r>
              <w:t>115.99</w:t>
            </w:r>
          </w:p>
        </w:tc>
        <w:tc>
          <w:tcPr>
            <w:tcW w:w="1134" w:type="dxa"/>
            <w:vAlign w:val="center"/>
          </w:tcPr>
          <w:p>
            <w:pPr>
              <w:pStyle w:val="11"/>
            </w:pPr>
            <w:r>
              <w:t>115.99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2011308</w:t>
            </w:r>
          </w:p>
        </w:tc>
        <w:tc>
          <w:tcPr>
            <w:tcW w:w="1559" w:type="dxa"/>
            <w:vAlign w:val="center"/>
          </w:tcPr>
          <w:p>
            <w:pPr>
              <w:pStyle w:val="12"/>
            </w:pPr>
            <w:r>
              <w:t>招商引资</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2011350</w:t>
            </w:r>
          </w:p>
        </w:tc>
        <w:tc>
          <w:tcPr>
            <w:tcW w:w="1559" w:type="dxa"/>
            <w:vAlign w:val="center"/>
          </w:tcPr>
          <w:p>
            <w:pPr>
              <w:pStyle w:val="12"/>
            </w:pPr>
            <w:r>
              <w:t>事业运行</w:t>
            </w:r>
          </w:p>
        </w:tc>
        <w:tc>
          <w:tcPr>
            <w:tcW w:w="1134" w:type="dxa"/>
            <w:vAlign w:val="center"/>
          </w:tcPr>
          <w:p>
            <w:pPr>
              <w:pStyle w:val="11"/>
            </w:pPr>
            <w:r>
              <w:t>95.99</w:t>
            </w:r>
          </w:p>
        </w:tc>
        <w:tc>
          <w:tcPr>
            <w:tcW w:w="1134" w:type="dxa"/>
            <w:vAlign w:val="center"/>
          </w:tcPr>
          <w:p>
            <w:pPr>
              <w:pStyle w:val="11"/>
            </w:pPr>
            <w:r>
              <w:t>95.99</w:t>
            </w:r>
          </w:p>
        </w:tc>
        <w:tc>
          <w:tcPr>
            <w:tcW w:w="1134" w:type="dxa"/>
            <w:vAlign w:val="center"/>
          </w:tcPr>
          <w:p>
            <w:pPr>
              <w:pStyle w:val="11"/>
            </w:pPr>
            <w:r>
              <w:t>95.99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12.89</w:t>
            </w:r>
          </w:p>
        </w:tc>
        <w:tc>
          <w:tcPr>
            <w:tcW w:w="1134" w:type="dxa"/>
            <w:vAlign w:val="center"/>
          </w:tcPr>
          <w:p>
            <w:pPr>
              <w:pStyle w:val="11"/>
            </w:pPr>
            <w:r>
              <w:t>12.89</w:t>
            </w:r>
          </w:p>
        </w:tc>
        <w:tc>
          <w:tcPr>
            <w:tcW w:w="1134" w:type="dxa"/>
            <w:vAlign w:val="center"/>
          </w:tcPr>
          <w:p>
            <w:pPr>
              <w:pStyle w:val="11"/>
            </w:pPr>
            <w:r>
              <w:t>12.89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12.89</w:t>
            </w:r>
          </w:p>
        </w:tc>
        <w:tc>
          <w:tcPr>
            <w:tcW w:w="1134" w:type="dxa"/>
            <w:vAlign w:val="center"/>
          </w:tcPr>
          <w:p>
            <w:pPr>
              <w:pStyle w:val="11"/>
            </w:pPr>
            <w:r>
              <w:t>12.89</w:t>
            </w:r>
          </w:p>
        </w:tc>
        <w:tc>
          <w:tcPr>
            <w:tcW w:w="1134" w:type="dxa"/>
            <w:vAlign w:val="center"/>
          </w:tcPr>
          <w:p>
            <w:pPr>
              <w:pStyle w:val="11"/>
            </w:pPr>
            <w:r>
              <w:t>12.89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12.89</w:t>
            </w:r>
          </w:p>
        </w:tc>
        <w:tc>
          <w:tcPr>
            <w:tcW w:w="1134" w:type="dxa"/>
            <w:vAlign w:val="center"/>
          </w:tcPr>
          <w:p>
            <w:pPr>
              <w:pStyle w:val="11"/>
            </w:pPr>
            <w:r>
              <w:t>12.89</w:t>
            </w:r>
          </w:p>
        </w:tc>
        <w:tc>
          <w:tcPr>
            <w:tcW w:w="1134" w:type="dxa"/>
            <w:vAlign w:val="center"/>
          </w:tcPr>
          <w:p>
            <w:pPr>
              <w:pStyle w:val="11"/>
            </w:pPr>
            <w:r>
              <w:t>12.89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8.51</w:t>
            </w:r>
          </w:p>
        </w:tc>
        <w:tc>
          <w:tcPr>
            <w:tcW w:w="1134" w:type="dxa"/>
            <w:vAlign w:val="center"/>
          </w:tcPr>
          <w:p>
            <w:pPr>
              <w:pStyle w:val="11"/>
            </w:pPr>
            <w:r>
              <w:t>8.51</w:t>
            </w:r>
          </w:p>
        </w:tc>
        <w:tc>
          <w:tcPr>
            <w:tcW w:w="1134" w:type="dxa"/>
            <w:vAlign w:val="center"/>
          </w:tcPr>
          <w:p>
            <w:pPr>
              <w:pStyle w:val="11"/>
            </w:pPr>
            <w:r>
              <w:t>8.51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8.51</w:t>
            </w:r>
          </w:p>
        </w:tc>
        <w:tc>
          <w:tcPr>
            <w:tcW w:w="1134" w:type="dxa"/>
            <w:vAlign w:val="center"/>
          </w:tcPr>
          <w:p>
            <w:pPr>
              <w:pStyle w:val="11"/>
            </w:pPr>
            <w:r>
              <w:t>8.51</w:t>
            </w:r>
          </w:p>
        </w:tc>
        <w:tc>
          <w:tcPr>
            <w:tcW w:w="1134" w:type="dxa"/>
            <w:vAlign w:val="center"/>
          </w:tcPr>
          <w:p>
            <w:pPr>
              <w:pStyle w:val="11"/>
            </w:pPr>
            <w:r>
              <w:t>8.51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8.51</w:t>
            </w:r>
          </w:p>
        </w:tc>
        <w:tc>
          <w:tcPr>
            <w:tcW w:w="1134" w:type="dxa"/>
            <w:vAlign w:val="center"/>
          </w:tcPr>
          <w:p>
            <w:pPr>
              <w:pStyle w:val="11"/>
            </w:pPr>
            <w:r>
              <w:t>8.51</w:t>
            </w:r>
          </w:p>
        </w:tc>
        <w:tc>
          <w:tcPr>
            <w:tcW w:w="1134" w:type="dxa"/>
            <w:vAlign w:val="center"/>
          </w:tcPr>
          <w:p>
            <w:pPr>
              <w:pStyle w:val="11"/>
            </w:pPr>
            <w:r>
              <w:t>8.51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6.65</w:t>
            </w:r>
          </w:p>
        </w:tc>
        <w:tc>
          <w:tcPr>
            <w:tcW w:w="1134" w:type="dxa"/>
            <w:vAlign w:val="center"/>
          </w:tcPr>
          <w:p>
            <w:pPr>
              <w:pStyle w:val="11"/>
            </w:pPr>
            <w:r>
              <w:t>6.65</w:t>
            </w:r>
          </w:p>
        </w:tc>
        <w:tc>
          <w:tcPr>
            <w:tcW w:w="1134" w:type="dxa"/>
            <w:vAlign w:val="center"/>
          </w:tcPr>
          <w:p>
            <w:pPr>
              <w:pStyle w:val="11"/>
            </w:pPr>
            <w:r>
              <w:t>6.65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6.65</w:t>
            </w:r>
          </w:p>
        </w:tc>
        <w:tc>
          <w:tcPr>
            <w:tcW w:w="1134" w:type="dxa"/>
            <w:vAlign w:val="center"/>
          </w:tcPr>
          <w:p>
            <w:pPr>
              <w:pStyle w:val="11"/>
            </w:pPr>
            <w:r>
              <w:t>6.65</w:t>
            </w:r>
          </w:p>
        </w:tc>
        <w:tc>
          <w:tcPr>
            <w:tcW w:w="1134" w:type="dxa"/>
            <w:vAlign w:val="center"/>
          </w:tcPr>
          <w:p>
            <w:pPr>
              <w:pStyle w:val="11"/>
            </w:pPr>
            <w:r>
              <w:t>6.65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6.65</w:t>
            </w:r>
          </w:p>
        </w:tc>
        <w:tc>
          <w:tcPr>
            <w:tcW w:w="1134" w:type="dxa"/>
            <w:vAlign w:val="center"/>
          </w:tcPr>
          <w:p>
            <w:pPr>
              <w:pStyle w:val="11"/>
            </w:pPr>
            <w:r>
              <w:t>6.65</w:t>
            </w:r>
          </w:p>
        </w:tc>
        <w:tc>
          <w:tcPr>
            <w:tcW w:w="1134" w:type="dxa"/>
            <w:vAlign w:val="center"/>
          </w:tcPr>
          <w:p>
            <w:pPr>
              <w:pStyle w:val="11"/>
            </w:pPr>
            <w:r>
              <w:t>6.65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321001昌黎县招商中心本级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144.05</w:t>
            </w:r>
          </w:p>
        </w:tc>
        <w:tc>
          <w:tcPr>
            <w:tcW w:w="1361" w:type="dxa"/>
            <w:vAlign w:val="center"/>
          </w:tcPr>
          <w:p>
            <w:pPr>
              <w:pStyle w:val="15"/>
            </w:pPr>
            <w:r>
              <w:t>124.05</w:t>
            </w:r>
          </w:p>
        </w:tc>
        <w:tc>
          <w:tcPr>
            <w:tcW w:w="1361" w:type="dxa"/>
            <w:vAlign w:val="center"/>
          </w:tcPr>
          <w:p>
            <w:pPr>
              <w:pStyle w:val="15"/>
            </w:pPr>
            <w:r>
              <w:t>20.00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115.99</w:t>
            </w:r>
          </w:p>
        </w:tc>
        <w:tc>
          <w:tcPr>
            <w:tcW w:w="1361" w:type="dxa"/>
            <w:vAlign w:val="center"/>
          </w:tcPr>
          <w:p>
            <w:pPr>
              <w:pStyle w:val="11"/>
            </w:pPr>
            <w:r>
              <w:t>95.99</w:t>
            </w: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20113</w:t>
            </w:r>
          </w:p>
        </w:tc>
        <w:tc>
          <w:tcPr>
            <w:tcW w:w="4535" w:type="dxa"/>
            <w:vAlign w:val="center"/>
          </w:tcPr>
          <w:p>
            <w:pPr>
              <w:pStyle w:val="12"/>
            </w:pPr>
            <w:r>
              <w:t>商贸事务</w:t>
            </w:r>
          </w:p>
        </w:tc>
        <w:tc>
          <w:tcPr>
            <w:tcW w:w="1361" w:type="dxa"/>
            <w:vAlign w:val="center"/>
          </w:tcPr>
          <w:p>
            <w:pPr>
              <w:pStyle w:val="11"/>
            </w:pPr>
            <w:r>
              <w:t>115.99</w:t>
            </w:r>
          </w:p>
        </w:tc>
        <w:tc>
          <w:tcPr>
            <w:tcW w:w="1361" w:type="dxa"/>
            <w:vAlign w:val="center"/>
          </w:tcPr>
          <w:p>
            <w:pPr>
              <w:pStyle w:val="11"/>
            </w:pPr>
            <w:r>
              <w:t>95.99</w:t>
            </w: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2011308</w:t>
            </w:r>
          </w:p>
        </w:tc>
        <w:tc>
          <w:tcPr>
            <w:tcW w:w="4535" w:type="dxa"/>
            <w:vAlign w:val="center"/>
          </w:tcPr>
          <w:p>
            <w:pPr>
              <w:pStyle w:val="12"/>
            </w:pPr>
            <w:r>
              <w:t>招商引资</w:t>
            </w: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2011350</w:t>
            </w:r>
          </w:p>
        </w:tc>
        <w:tc>
          <w:tcPr>
            <w:tcW w:w="4535" w:type="dxa"/>
            <w:vAlign w:val="center"/>
          </w:tcPr>
          <w:p>
            <w:pPr>
              <w:pStyle w:val="12"/>
            </w:pPr>
            <w:r>
              <w:t>事业运行</w:t>
            </w:r>
          </w:p>
        </w:tc>
        <w:tc>
          <w:tcPr>
            <w:tcW w:w="1361" w:type="dxa"/>
            <w:vAlign w:val="center"/>
          </w:tcPr>
          <w:p>
            <w:pPr>
              <w:pStyle w:val="11"/>
            </w:pPr>
            <w:r>
              <w:t>95.99</w:t>
            </w:r>
          </w:p>
        </w:tc>
        <w:tc>
          <w:tcPr>
            <w:tcW w:w="1361" w:type="dxa"/>
            <w:vAlign w:val="center"/>
          </w:tcPr>
          <w:p>
            <w:pPr>
              <w:pStyle w:val="11"/>
            </w:pPr>
            <w:r>
              <w:t>95.99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12.89</w:t>
            </w:r>
          </w:p>
        </w:tc>
        <w:tc>
          <w:tcPr>
            <w:tcW w:w="1361" w:type="dxa"/>
            <w:vAlign w:val="center"/>
          </w:tcPr>
          <w:p>
            <w:pPr>
              <w:pStyle w:val="11"/>
            </w:pPr>
            <w:r>
              <w:t>12.89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12.89</w:t>
            </w:r>
          </w:p>
        </w:tc>
        <w:tc>
          <w:tcPr>
            <w:tcW w:w="1361" w:type="dxa"/>
            <w:vAlign w:val="center"/>
          </w:tcPr>
          <w:p>
            <w:pPr>
              <w:pStyle w:val="11"/>
            </w:pPr>
            <w:r>
              <w:t>12.89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12.89</w:t>
            </w:r>
          </w:p>
        </w:tc>
        <w:tc>
          <w:tcPr>
            <w:tcW w:w="1361" w:type="dxa"/>
            <w:vAlign w:val="center"/>
          </w:tcPr>
          <w:p>
            <w:pPr>
              <w:pStyle w:val="11"/>
            </w:pPr>
            <w:r>
              <w:t>12.89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8.51</w:t>
            </w:r>
          </w:p>
        </w:tc>
        <w:tc>
          <w:tcPr>
            <w:tcW w:w="1361" w:type="dxa"/>
            <w:vAlign w:val="center"/>
          </w:tcPr>
          <w:p>
            <w:pPr>
              <w:pStyle w:val="11"/>
            </w:pPr>
            <w:r>
              <w:t>8.51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8.51</w:t>
            </w:r>
          </w:p>
        </w:tc>
        <w:tc>
          <w:tcPr>
            <w:tcW w:w="1361" w:type="dxa"/>
            <w:vAlign w:val="center"/>
          </w:tcPr>
          <w:p>
            <w:pPr>
              <w:pStyle w:val="11"/>
            </w:pPr>
            <w:r>
              <w:t>8.51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8.51</w:t>
            </w:r>
          </w:p>
        </w:tc>
        <w:tc>
          <w:tcPr>
            <w:tcW w:w="1361" w:type="dxa"/>
            <w:vAlign w:val="center"/>
          </w:tcPr>
          <w:p>
            <w:pPr>
              <w:pStyle w:val="11"/>
            </w:pPr>
            <w:r>
              <w:t>8.51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6.65</w:t>
            </w:r>
          </w:p>
        </w:tc>
        <w:tc>
          <w:tcPr>
            <w:tcW w:w="1361" w:type="dxa"/>
            <w:vAlign w:val="center"/>
          </w:tcPr>
          <w:p>
            <w:pPr>
              <w:pStyle w:val="11"/>
            </w:pPr>
            <w:r>
              <w:t>6.65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6.65</w:t>
            </w:r>
          </w:p>
        </w:tc>
        <w:tc>
          <w:tcPr>
            <w:tcW w:w="1361" w:type="dxa"/>
            <w:vAlign w:val="center"/>
          </w:tcPr>
          <w:p>
            <w:pPr>
              <w:pStyle w:val="11"/>
            </w:pPr>
            <w:r>
              <w:t>6.65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6.65</w:t>
            </w:r>
          </w:p>
        </w:tc>
        <w:tc>
          <w:tcPr>
            <w:tcW w:w="1361" w:type="dxa"/>
            <w:vAlign w:val="center"/>
          </w:tcPr>
          <w:p>
            <w:pPr>
              <w:pStyle w:val="11"/>
            </w:pPr>
            <w:r>
              <w:t>6.65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321001昌黎县招商中心本级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144.05</w:t>
            </w:r>
          </w:p>
        </w:tc>
        <w:tc>
          <w:tcPr>
            <w:tcW w:w="3402" w:type="dxa"/>
            <w:vAlign w:val="center"/>
          </w:tcPr>
          <w:p>
            <w:pPr>
              <w:pStyle w:val="12"/>
            </w:pPr>
            <w:r>
              <w:t>一、一般公共服务支出</w:t>
            </w:r>
          </w:p>
        </w:tc>
        <w:tc>
          <w:tcPr>
            <w:tcW w:w="1474" w:type="dxa"/>
            <w:vAlign w:val="center"/>
          </w:tcPr>
          <w:p>
            <w:pPr>
              <w:pStyle w:val="11"/>
            </w:pPr>
            <w:r>
              <w:t>115.99</w:t>
            </w:r>
          </w:p>
        </w:tc>
        <w:tc>
          <w:tcPr>
            <w:tcW w:w="1474" w:type="dxa"/>
            <w:vAlign w:val="center"/>
          </w:tcPr>
          <w:p>
            <w:pPr>
              <w:pStyle w:val="11"/>
            </w:pPr>
            <w:r>
              <w:t>115.99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12.89</w:t>
            </w:r>
          </w:p>
        </w:tc>
        <w:tc>
          <w:tcPr>
            <w:tcW w:w="1474" w:type="dxa"/>
            <w:vAlign w:val="center"/>
          </w:tcPr>
          <w:p>
            <w:pPr>
              <w:pStyle w:val="11"/>
            </w:pPr>
            <w:r>
              <w:t>12.89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8.51</w:t>
            </w:r>
          </w:p>
        </w:tc>
        <w:tc>
          <w:tcPr>
            <w:tcW w:w="1474" w:type="dxa"/>
            <w:vAlign w:val="center"/>
          </w:tcPr>
          <w:p>
            <w:pPr>
              <w:pStyle w:val="11"/>
            </w:pPr>
            <w:r>
              <w:t>8.51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6.65</w:t>
            </w:r>
          </w:p>
        </w:tc>
        <w:tc>
          <w:tcPr>
            <w:tcW w:w="1474" w:type="dxa"/>
            <w:vAlign w:val="center"/>
          </w:tcPr>
          <w:p>
            <w:pPr>
              <w:pStyle w:val="11"/>
            </w:pPr>
            <w:r>
              <w:t>6.65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144.05</w:t>
            </w:r>
          </w:p>
        </w:tc>
        <w:tc>
          <w:tcPr>
            <w:tcW w:w="3402" w:type="dxa"/>
            <w:vAlign w:val="center"/>
          </w:tcPr>
          <w:p>
            <w:pPr>
              <w:pStyle w:val="14"/>
            </w:pPr>
            <w:r>
              <w:t>本年支出合计</w:t>
            </w:r>
          </w:p>
        </w:tc>
        <w:tc>
          <w:tcPr>
            <w:tcW w:w="1474" w:type="dxa"/>
            <w:vAlign w:val="center"/>
          </w:tcPr>
          <w:p>
            <w:pPr>
              <w:pStyle w:val="15"/>
            </w:pPr>
            <w:r>
              <w:t>144.05</w:t>
            </w:r>
          </w:p>
        </w:tc>
        <w:tc>
          <w:tcPr>
            <w:tcW w:w="1474" w:type="dxa"/>
            <w:vAlign w:val="center"/>
          </w:tcPr>
          <w:p>
            <w:pPr>
              <w:pStyle w:val="15"/>
            </w:pPr>
            <w:r>
              <w:t>144.05</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144.05</w:t>
            </w:r>
          </w:p>
        </w:tc>
        <w:tc>
          <w:tcPr>
            <w:tcW w:w="3402" w:type="dxa"/>
            <w:vAlign w:val="center"/>
          </w:tcPr>
          <w:p>
            <w:pPr>
              <w:pStyle w:val="14"/>
            </w:pPr>
            <w:r>
              <w:t>支出总计</w:t>
            </w:r>
          </w:p>
        </w:tc>
        <w:tc>
          <w:tcPr>
            <w:tcW w:w="1474" w:type="dxa"/>
            <w:vAlign w:val="center"/>
          </w:tcPr>
          <w:p>
            <w:pPr>
              <w:pStyle w:val="15"/>
            </w:pPr>
            <w:r>
              <w:t>144.05</w:t>
            </w:r>
          </w:p>
        </w:tc>
        <w:tc>
          <w:tcPr>
            <w:tcW w:w="1474" w:type="dxa"/>
            <w:vAlign w:val="center"/>
          </w:tcPr>
          <w:p>
            <w:pPr>
              <w:pStyle w:val="15"/>
            </w:pPr>
            <w:r>
              <w:t>144.05</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321001昌黎县招商中心本级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144.05</w:t>
            </w:r>
          </w:p>
        </w:tc>
        <w:tc>
          <w:tcPr>
            <w:tcW w:w="2551" w:type="dxa"/>
            <w:vAlign w:val="center"/>
          </w:tcPr>
          <w:p>
            <w:pPr>
              <w:pStyle w:val="15"/>
            </w:pPr>
            <w:r>
              <w:t>124.05</w:t>
            </w:r>
          </w:p>
        </w:tc>
        <w:tc>
          <w:tcPr>
            <w:tcW w:w="2551" w:type="dxa"/>
            <w:vAlign w:val="center"/>
          </w:tcPr>
          <w:p>
            <w:pPr>
              <w:pStyle w:val="15"/>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115.99</w:t>
            </w:r>
          </w:p>
        </w:tc>
        <w:tc>
          <w:tcPr>
            <w:tcW w:w="2551" w:type="dxa"/>
            <w:vAlign w:val="center"/>
          </w:tcPr>
          <w:p>
            <w:pPr>
              <w:pStyle w:val="11"/>
            </w:pPr>
            <w:r>
              <w:t>95.99</w:t>
            </w:r>
          </w:p>
        </w:tc>
        <w:tc>
          <w:tcPr>
            <w:tcW w:w="2551" w:type="dxa"/>
            <w:vAlign w:val="center"/>
          </w:tcPr>
          <w:p>
            <w:pPr>
              <w:pStyle w:val="11"/>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20113</w:t>
            </w:r>
          </w:p>
        </w:tc>
        <w:tc>
          <w:tcPr>
            <w:tcW w:w="4535" w:type="dxa"/>
            <w:vAlign w:val="center"/>
          </w:tcPr>
          <w:p>
            <w:pPr>
              <w:pStyle w:val="12"/>
            </w:pPr>
            <w:r>
              <w:t>商贸事务</w:t>
            </w:r>
          </w:p>
        </w:tc>
        <w:tc>
          <w:tcPr>
            <w:tcW w:w="2551" w:type="dxa"/>
            <w:vAlign w:val="center"/>
          </w:tcPr>
          <w:p>
            <w:pPr>
              <w:pStyle w:val="11"/>
            </w:pPr>
            <w:r>
              <w:t>115.99</w:t>
            </w:r>
          </w:p>
        </w:tc>
        <w:tc>
          <w:tcPr>
            <w:tcW w:w="2551" w:type="dxa"/>
            <w:vAlign w:val="center"/>
          </w:tcPr>
          <w:p>
            <w:pPr>
              <w:pStyle w:val="11"/>
            </w:pPr>
            <w:r>
              <w:t>95.99</w:t>
            </w:r>
          </w:p>
        </w:tc>
        <w:tc>
          <w:tcPr>
            <w:tcW w:w="2551" w:type="dxa"/>
            <w:vAlign w:val="center"/>
          </w:tcPr>
          <w:p>
            <w:pPr>
              <w:pStyle w:val="11"/>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2011308</w:t>
            </w:r>
          </w:p>
        </w:tc>
        <w:tc>
          <w:tcPr>
            <w:tcW w:w="4535" w:type="dxa"/>
            <w:vAlign w:val="center"/>
          </w:tcPr>
          <w:p>
            <w:pPr>
              <w:pStyle w:val="12"/>
            </w:pPr>
            <w:r>
              <w:t>招商引资</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2011350</w:t>
            </w:r>
          </w:p>
        </w:tc>
        <w:tc>
          <w:tcPr>
            <w:tcW w:w="4535" w:type="dxa"/>
            <w:vAlign w:val="center"/>
          </w:tcPr>
          <w:p>
            <w:pPr>
              <w:pStyle w:val="12"/>
            </w:pPr>
            <w:r>
              <w:t>事业运行</w:t>
            </w:r>
          </w:p>
        </w:tc>
        <w:tc>
          <w:tcPr>
            <w:tcW w:w="2551" w:type="dxa"/>
            <w:vAlign w:val="center"/>
          </w:tcPr>
          <w:p>
            <w:pPr>
              <w:pStyle w:val="11"/>
            </w:pPr>
            <w:r>
              <w:t>95.99</w:t>
            </w:r>
          </w:p>
        </w:tc>
        <w:tc>
          <w:tcPr>
            <w:tcW w:w="2551" w:type="dxa"/>
            <w:vAlign w:val="center"/>
          </w:tcPr>
          <w:p>
            <w:pPr>
              <w:pStyle w:val="11"/>
            </w:pPr>
            <w:r>
              <w:t>95.99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12.89</w:t>
            </w:r>
          </w:p>
        </w:tc>
        <w:tc>
          <w:tcPr>
            <w:tcW w:w="2551" w:type="dxa"/>
            <w:vAlign w:val="center"/>
          </w:tcPr>
          <w:p>
            <w:pPr>
              <w:pStyle w:val="11"/>
            </w:pPr>
            <w:r>
              <w:t>12.89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12.89</w:t>
            </w:r>
          </w:p>
        </w:tc>
        <w:tc>
          <w:tcPr>
            <w:tcW w:w="2551" w:type="dxa"/>
            <w:vAlign w:val="center"/>
          </w:tcPr>
          <w:p>
            <w:pPr>
              <w:pStyle w:val="11"/>
            </w:pPr>
            <w:r>
              <w:t>12.89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12.89</w:t>
            </w:r>
          </w:p>
        </w:tc>
        <w:tc>
          <w:tcPr>
            <w:tcW w:w="2551" w:type="dxa"/>
            <w:vAlign w:val="center"/>
          </w:tcPr>
          <w:p>
            <w:pPr>
              <w:pStyle w:val="11"/>
            </w:pPr>
            <w:r>
              <w:t>12.89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8.51</w:t>
            </w:r>
          </w:p>
        </w:tc>
        <w:tc>
          <w:tcPr>
            <w:tcW w:w="2551" w:type="dxa"/>
            <w:vAlign w:val="center"/>
          </w:tcPr>
          <w:p>
            <w:pPr>
              <w:pStyle w:val="11"/>
            </w:pPr>
            <w:r>
              <w:t>8.51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8.51</w:t>
            </w:r>
          </w:p>
        </w:tc>
        <w:tc>
          <w:tcPr>
            <w:tcW w:w="2551" w:type="dxa"/>
            <w:vAlign w:val="center"/>
          </w:tcPr>
          <w:p>
            <w:pPr>
              <w:pStyle w:val="11"/>
            </w:pPr>
            <w:r>
              <w:t>8.51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8.51</w:t>
            </w:r>
          </w:p>
        </w:tc>
        <w:tc>
          <w:tcPr>
            <w:tcW w:w="2551" w:type="dxa"/>
            <w:vAlign w:val="center"/>
          </w:tcPr>
          <w:p>
            <w:pPr>
              <w:pStyle w:val="11"/>
            </w:pPr>
            <w:r>
              <w:t>8.51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6.65</w:t>
            </w:r>
          </w:p>
        </w:tc>
        <w:tc>
          <w:tcPr>
            <w:tcW w:w="2551" w:type="dxa"/>
            <w:vAlign w:val="center"/>
          </w:tcPr>
          <w:p>
            <w:pPr>
              <w:pStyle w:val="11"/>
            </w:pPr>
            <w:r>
              <w:t>6.65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6.65</w:t>
            </w:r>
          </w:p>
        </w:tc>
        <w:tc>
          <w:tcPr>
            <w:tcW w:w="2551" w:type="dxa"/>
            <w:vAlign w:val="center"/>
          </w:tcPr>
          <w:p>
            <w:pPr>
              <w:pStyle w:val="11"/>
            </w:pPr>
            <w:r>
              <w:t>6.65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6.65</w:t>
            </w:r>
          </w:p>
        </w:tc>
        <w:tc>
          <w:tcPr>
            <w:tcW w:w="2551" w:type="dxa"/>
            <w:vAlign w:val="center"/>
          </w:tcPr>
          <w:p>
            <w:pPr>
              <w:pStyle w:val="11"/>
            </w:pPr>
            <w:r>
              <w:t>6.65</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321001昌黎县招商中心本级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124.05</w:t>
            </w:r>
          </w:p>
        </w:tc>
        <w:tc>
          <w:tcPr>
            <w:tcW w:w="2551" w:type="dxa"/>
            <w:vAlign w:val="center"/>
          </w:tcPr>
          <w:p>
            <w:pPr>
              <w:pStyle w:val="15"/>
            </w:pPr>
            <w:r>
              <w:t>119.28</w:t>
            </w:r>
          </w:p>
        </w:tc>
        <w:tc>
          <w:tcPr>
            <w:tcW w:w="2551" w:type="dxa"/>
            <w:vAlign w:val="center"/>
          </w:tcPr>
          <w:p>
            <w:pPr>
              <w:pStyle w:val="15"/>
            </w:pPr>
            <w:r>
              <w:t>4.76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110.75</w:t>
            </w:r>
          </w:p>
        </w:tc>
        <w:tc>
          <w:tcPr>
            <w:tcW w:w="2551" w:type="dxa"/>
            <w:vAlign w:val="center"/>
          </w:tcPr>
          <w:p>
            <w:pPr>
              <w:pStyle w:val="11"/>
            </w:pPr>
            <w:r>
              <w:t>110.75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47.25</w:t>
            </w:r>
          </w:p>
        </w:tc>
        <w:tc>
          <w:tcPr>
            <w:tcW w:w="2551" w:type="dxa"/>
            <w:vAlign w:val="center"/>
          </w:tcPr>
          <w:p>
            <w:pPr>
              <w:pStyle w:val="11"/>
            </w:pPr>
            <w:r>
              <w:t>47.25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5.70</w:t>
            </w:r>
          </w:p>
        </w:tc>
        <w:tc>
          <w:tcPr>
            <w:tcW w:w="2551" w:type="dxa"/>
            <w:vAlign w:val="center"/>
          </w:tcPr>
          <w:p>
            <w:pPr>
              <w:pStyle w:val="11"/>
            </w:pPr>
            <w:r>
              <w:t>5.70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28.87</w:t>
            </w:r>
          </w:p>
        </w:tc>
        <w:tc>
          <w:tcPr>
            <w:tcW w:w="2551" w:type="dxa"/>
            <w:vAlign w:val="center"/>
          </w:tcPr>
          <w:p>
            <w:pPr>
              <w:pStyle w:val="11"/>
            </w:pPr>
            <w:r>
              <w:t>28.87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12.89</w:t>
            </w:r>
          </w:p>
        </w:tc>
        <w:tc>
          <w:tcPr>
            <w:tcW w:w="2551" w:type="dxa"/>
            <w:vAlign w:val="center"/>
          </w:tcPr>
          <w:p>
            <w:pPr>
              <w:pStyle w:val="11"/>
            </w:pPr>
            <w:r>
              <w:t>12.89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8.51</w:t>
            </w:r>
          </w:p>
        </w:tc>
        <w:tc>
          <w:tcPr>
            <w:tcW w:w="2551" w:type="dxa"/>
            <w:vAlign w:val="center"/>
          </w:tcPr>
          <w:p>
            <w:pPr>
              <w:pStyle w:val="11"/>
            </w:pPr>
            <w:r>
              <w:t>8.51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0.88</w:t>
            </w:r>
          </w:p>
        </w:tc>
        <w:tc>
          <w:tcPr>
            <w:tcW w:w="2551" w:type="dxa"/>
            <w:vAlign w:val="center"/>
          </w:tcPr>
          <w:p>
            <w:pPr>
              <w:pStyle w:val="11"/>
            </w:pPr>
            <w:r>
              <w:t>0.88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6.65</w:t>
            </w:r>
          </w:p>
        </w:tc>
        <w:tc>
          <w:tcPr>
            <w:tcW w:w="2551" w:type="dxa"/>
            <w:vAlign w:val="center"/>
          </w:tcPr>
          <w:p>
            <w:pPr>
              <w:pStyle w:val="11"/>
            </w:pPr>
            <w:r>
              <w:t>6.65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4.76</w:t>
            </w:r>
          </w:p>
        </w:tc>
        <w:tc>
          <w:tcPr>
            <w:tcW w:w="2551" w:type="dxa"/>
            <w:vAlign w:val="center"/>
          </w:tcPr>
          <w:p>
            <w:pPr>
              <w:pStyle w:val="11"/>
            </w:pPr>
          </w:p>
        </w:tc>
        <w:tc>
          <w:tcPr>
            <w:tcW w:w="2551" w:type="dxa"/>
            <w:vAlign w:val="center"/>
          </w:tcPr>
          <w:p>
            <w:pPr>
              <w:pStyle w:val="11"/>
            </w:pPr>
            <w:r>
              <w:t>4.76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1.80</w:t>
            </w:r>
          </w:p>
        </w:tc>
        <w:tc>
          <w:tcPr>
            <w:tcW w:w="2551" w:type="dxa"/>
            <w:vAlign w:val="center"/>
          </w:tcPr>
          <w:p>
            <w:pPr>
              <w:pStyle w:val="11"/>
            </w:pPr>
          </w:p>
        </w:tc>
        <w:tc>
          <w:tcPr>
            <w:tcW w:w="2551" w:type="dxa"/>
            <w:vAlign w:val="center"/>
          </w:tcPr>
          <w:p>
            <w:pPr>
              <w:pStyle w:val="11"/>
            </w:pPr>
            <w:r>
              <w:t>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1.08</w:t>
            </w:r>
          </w:p>
        </w:tc>
        <w:tc>
          <w:tcPr>
            <w:tcW w:w="2551" w:type="dxa"/>
            <w:vAlign w:val="center"/>
          </w:tcPr>
          <w:p>
            <w:pPr>
              <w:pStyle w:val="11"/>
            </w:pPr>
          </w:p>
        </w:tc>
        <w:tc>
          <w:tcPr>
            <w:tcW w:w="2551" w:type="dxa"/>
            <w:vAlign w:val="center"/>
          </w:tcPr>
          <w:p>
            <w:pPr>
              <w:pStyle w:val="11"/>
            </w:pPr>
            <w:r>
              <w:t>1.08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1.80</w:t>
            </w:r>
          </w:p>
        </w:tc>
        <w:tc>
          <w:tcPr>
            <w:tcW w:w="2551" w:type="dxa"/>
            <w:vAlign w:val="center"/>
          </w:tcPr>
          <w:p>
            <w:pPr>
              <w:pStyle w:val="11"/>
            </w:pPr>
          </w:p>
        </w:tc>
        <w:tc>
          <w:tcPr>
            <w:tcW w:w="2551" w:type="dxa"/>
            <w:vAlign w:val="center"/>
          </w:tcPr>
          <w:p>
            <w:pPr>
              <w:pStyle w:val="11"/>
            </w:pPr>
            <w:r>
              <w:t>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0.08</w:t>
            </w:r>
          </w:p>
        </w:tc>
        <w:tc>
          <w:tcPr>
            <w:tcW w:w="2551" w:type="dxa"/>
            <w:vAlign w:val="center"/>
          </w:tcPr>
          <w:p>
            <w:pPr>
              <w:pStyle w:val="11"/>
            </w:pPr>
          </w:p>
        </w:tc>
        <w:tc>
          <w:tcPr>
            <w:tcW w:w="2551" w:type="dxa"/>
            <w:vAlign w:val="center"/>
          </w:tcPr>
          <w:p>
            <w:pPr>
              <w:pStyle w:val="11"/>
            </w:pPr>
            <w:r>
              <w:t>0.08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8.53</w:t>
            </w:r>
          </w:p>
        </w:tc>
        <w:tc>
          <w:tcPr>
            <w:tcW w:w="2551" w:type="dxa"/>
            <w:vAlign w:val="center"/>
          </w:tcPr>
          <w:p>
            <w:pPr>
              <w:pStyle w:val="11"/>
            </w:pPr>
            <w:r>
              <w:t>8.53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7.53</w:t>
            </w:r>
          </w:p>
        </w:tc>
        <w:tc>
          <w:tcPr>
            <w:tcW w:w="2551" w:type="dxa"/>
            <w:vAlign w:val="center"/>
          </w:tcPr>
          <w:p>
            <w:pPr>
              <w:pStyle w:val="11"/>
            </w:pPr>
            <w:r>
              <w:t>7.53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0.99</w:t>
            </w:r>
          </w:p>
        </w:tc>
        <w:tc>
          <w:tcPr>
            <w:tcW w:w="2551" w:type="dxa"/>
            <w:vAlign w:val="center"/>
          </w:tcPr>
          <w:p>
            <w:pPr>
              <w:pStyle w:val="11"/>
            </w:pPr>
            <w:r>
              <w:t>0.99</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321001昌黎县招商中心本级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321001昌黎县招商中心本级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321001昌黎县招商中心本级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6.80</w:t>
            </w:r>
          </w:p>
        </w:tc>
        <w:tc>
          <w:tcPr>
            <w:tcW w:w="2381" w:type="dxa"/>
            <w:vAlign w:val="center"/>
          </w:tcPr>
          <w:p>
            <w:pPr>
              <w:pStyle w:val="15"/>
            </w:pPr>
            <w:r>
              <w:t>6.80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6.80</w:t>
            </w:r>
          </w:p>
        </w:tc>
        <w:tc>
          <w:tcPr>
            <w:tcW w:w="2381" w:type="dxa"/>
            <w:vAlign w:val="center"/>
          </w:tcPr>
          <w:p>
            <w:pPr>
              <w:pStyle w:val="11"/>
            </w:pPr>
            <w:r>
              <w:t>6.80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1.80</w:t>
            </w:r>
          </w:p>
        </w:tc>
        <w:tc>
          <w:tcPr>
            <w:tcW w:w="2381" w:type="dxa"/>
            <w:vAlign w:val="center"/>
          </w:tcPr>
          <w:p>
            <w:pPr>
              <w:pStyle w:val="11"/>
            </w:pPr>
            <w:r>
              <w:t>1.80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1.80</w:t>
            </w:r>
          </w:p>
        </w:tc>
        <w:tc>
          <w:tcPr>
            <w:tcW w:w="2381" w:type="dxa"/>
            <w:vAlign w:val="center"/>
          </w:tcPr>
          <w:p>
            <w:pPr>
              <w:pStyle w:val="11"/>
            </w:pPr>
            <w:r>
              <w:t>1.80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5.00</w:t>
            </w:r>
          </w:p>
        </w:tc>
        <w:tc>
          <w:tcPr>
            <w:tcW w:w="2381" w:type="dxa"/>
            <w:vAlign w:val="center"/>
          </w:tcPr>
          <w:p>
            <w:pPr>
              <w:pStyle w:val="11"/>
            </w:pPr>
            <w:r>
              <w:t>5.00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昌黎县招商中心本级2025年单位预算信息公开情况说明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按照《中华人民共和国预算法》、《地方预决算公开操作规程》和《关于进一步推进预算公开工作的实施意见》规定，现将昌黎县招商中心本级2025年单位预算公开如下：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（一）贯彻执行国家和省、市、县对外开放、对外经济技术合作的方针政策；制定全县对外招商引资的政策措施，并组织实施。</w:t>
      </w:r>
    </w:p>
    <w:p>
      <w:pPr>
        <w:pStyle w:val="17"/>
      </w:pPr>
      <w:r>
        <w:t>（二）对全县招商引资工作进行宏观指导；负责编制全县招商引资的总体规划、年度计划和外来投资导向目录。</w:t>
      </w:r>
    </w:p>
    <w:p>
      <w:pPr>
        <w:pStyle w:val="17"/>
      </w:pPr>
      <w:r>
        <w:t>（三）组织参与国家、省、市及有关部门的国内外招商引资活动，负责本县在境内外举办的招商引资活动。</w:t>
      </w:r>
    </w:p>
    <w:p>
      <w:pPr>
        <w:pStyle w:val="17"/>
      </w:pPr>
      <w:r>
        <w:t>（四）负责牵头组织全县性各类招商活动，指导、协调全县有关部门和各园区、各乡镇的招商引资工作；负责建立和完善全县招商网络，建立信息网络与联系渠道。</w:t>
      </w:r>
    </w:p>
    <w:p>
      <w:pPr>
        <w:pStyle w:val="17"/>
      </w:pPr>
      <w:r>
        <w:t>（五）负责项目引进前期性、基础性、事务性工作，为国内外投资者提供环境考察、信息咨询、政策咨询等工作；会同有关部门做好外商投资企业的洽谈、签约、项目实施及协调、管理、服务工作。</w:t>
      </w:r>
    </w:p>
    <w:p>
      <w:pPr>
        <w:pStyle w:val="17"/>
      </w:pPr>
      <w:r>
        <w:t>（六）承办县政府交办的其他事项。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昌黎县招商中心本级</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144.05万元，其中：一般公共预算收入144.05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昌黎县招商中心本级年度单位预算中支出预算的总体情况。2025年支出预算144.05万元，其中基本支出124.05万元，包括人员经费119.28万元和日常公用经费4.76万元；项目支出20.00万元，主要为客商的接待、项目的接洽、在谈招商项目推进、组织参加大型招商节会、开展小团组招商、推进“央企入秦”及进行招商引资考核等各项招商活动的支出。</w:t>
      </w:r>
    </w:p>
    <w:p>
      <w:pPr>
        <w:pStyle w:val="18"/>
      </w:pPr>
      <w:r>
        <w:t>3、比上年增减情况</w:t>
      </w:r>
    </w:p>
    <w:p>
      <w:pPr>
        <w:pStyle w:val="18"/>
      </w:pPr>
      <w:r>
        <w:t>2025年预算收支安排144.05万元，较2024年预算减少7.58万元，其中：基本支出增加22.42万元，主要为新招录工作人员3名，增加的人员经费支出。项目支出减少30.00万元，主要为在接待客商、洽谈项目、小团组招商等各项招商活动中始终遵循中央八项规定，本着节约、高效原则开展招商工作，同时财政资金紧张，所以项目支出减少幅度较大。</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2025年，我单位机关运行经费共计安排4.76万元，主要用于日常维修、办公用房水电费、办公用房取暖费、办公用房物业管理费等日常运行支出。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6.80万元，其中因公出国（境）费0.00万元；公务用车购置及运维费1.80万元（其中：公务用车购置费为0.00万元，公务用车运维费1.80万元)；公务接待费5.00万元。与2024年相比减少8.00万元，增减变化的主要原因是在开展各项招商活动中，本着节约、高效、务实的原则，精减支出，减少因公出国费3万元，公务接待费5万元。</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1、招商引资工作经费绩效目标表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13032225P00212510001W</w:t>
            </w:r>
          </w:p>
        </w:tc>
        <w:tc>
          <w:tcPr>
            <w:tcW w:w="2835" w:type="dxa"/>
            <w:vAlign w:val="center"/>
          </w:tcPr>
          <w:p>
            <w:pPr>
              <w:pStyle w:val="10"/>
            </w:pPr>
            <w:r>
              <w:t>项目名称</w:t>
            </w:r>
          </w:p>
        </w:tc>
        <w:tc>
          <w:tcPr>
            <w:tcW w:w="6095" w:type="dxa"/>
            <w:gridSpan w:val="3"/>
            <w:vAlign w:val="center"/>
          </w:tcPr>
          <w:p>
            <w:pPr>
              <w:pStyle w:val="12"/>
            </w:pPr>
            <w:r>
              <w:t>招商引资工作经费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用于客商接待、项目洽谈、外出小团组招商、参加重大招商节会、推进“央企入秦”工作和招商引资考核等招商活动的支出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60%</w:t>
            </w:r>
          </w:p>
        </w:tc>
        <w:tc>
          <w:tcPr>
            <w:tcW w:w="2551" w:type="dxa"/>
            <w:vAlign w:val="center"/>
          </w:tcPr>
          <w:p>
            <w:pPr>
              <w:pStyle w:val="13"/>
            </w:pPr>
            <w:r>
              <w:t>85%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完善招商基础工作，编制针对性招商资料，增强招商宣传实效性，提高招商的成功率。2.通过客商接待、项目对接等活动，宣传推介昌黎，促使项目尽快落地。3.通过参加国内外重大招商节会及小团组招商等活动，进行精准招商，实现招商实效新突破。4通过强化“央企入秦”工作，争取更多央企子公司落户昌黎、力促更多央企项目选择昌黎。</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小团组招商活动次数</w:t>
            </w:r>
          </w:p>
        </w:tc>
        <w:tc>
          <w:tcPr>
            <w:tcW w:w="5386" w:type="dxa"/>
            <w:vAlign w:val="center"/>
          </w:tcPr>
          <w:p>
            <w:pPr>
              <w:pStyle w:val="12"/>
            </w:pPr>
            <w:r>
              <w:t>开展“走出去”“请进来”小团组招商引资对接活动数量</w:t>
            </w:r>
          </w:p>
        </w:tc>
        <w:tc>
          <w:tcPr>
            <w:tcW w:w="2268" w:type="dxa"/>
            <w:vAlign w:val="center"/>
          </w:tcPr>
          <w:p>
            <w:pPr>
              <w:pStyle w:val="12"/>
            </w:pPr>
            <w:r>
              <w:t>≥60次</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招商活动提升率</w:t>
            </w:r>
          </w:p>
        </w:tc>
        <w:tc>
          <w:tcPr>
            <w:tcW w:w="5386" w:type="dxa"/>
            <w:vAlign w:val="center"/>
          </w:tcPr>
          <w:p>
            <w:pPr>
              <w:pStyle w:val="12"/>
            </w:pPr>
            <w:r>
              <w:t>当年组织的招商活动频次与上年相比增长率</w:t>
            </w:r>
          </w:p>
        </w:tc>
        <w:tc>
          <w:tcPr>
            <w:tcW w:w="2268" w:type="dxa"/>
            <w:vAlign w:val="center"/>
          </w:tcPr>
          <w:p>
            <w:pPr>
              <w:pStyle w:val="12"/>
            </w:pPr>
            <w:r>
              <w:t>≥5%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工作完成及时率</w:t>
            </w:r>
          </w:p>
        </w:tc>
        <w:tc>
          <w:tcPr>
            <w:tcW w:w="5386" w:type="dxa"/>
            <w:vAlign w:val="center"/>
          </w:tcPr>
          <w:p>
            <w:pPr>
              <w:pStyle w:val="12"/>
            </w:pPr>
            <w:r>
              <w:t>按时完成招商引资工作与计划完成工作的比例</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开展招商活动的平均费用</w:t>
            </w:r>
          </w:p>
        </w:tc>
        <w:tc>
          <w:tcPr>
            <w:tcW w:w="5386" w:type="dxa"/>
            <w:vAlign w:val="center"/>
          </w:tcPr>
          <w:p>
            <w:pPr>
              <w:pStyle w:val="12"/>
            </w:pPr>
            <w:r>
              <w:t>招商工作经费与开展小团组招商活动次数的比值</w:t>
            </w:r>
          </w:p>
        </w:tc>
        <w:tc>
          <w:tcPr>
            <w:tcW w:w="2268" w:type="dxa"/>
            <w:vAlign w:val="center"/>
          </w:tcPr>
          <w:p>
            <w:pPr>
              <w:pStyle w:val="12"/>
            </w:pPr>
            <w:r>
              <w:t>≤1万元/次</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产业链延伸，提高产品附加值</w:t>
            </w:r>
          </w:p>
        </w:tc>
        <w:tc>
          <w:tcPr>
            <w:tcW w:w="5386" w:type="dxa"/>
            <w:vAlign w:val="center"/>
          </w:tcPr>
          <w:p>
            <w:pPr>
              <w:pStyle w:val="12"/>
            </w:pPr>
            <w:r>
              <w:t>依托我县优势产业，向高端产品不断延伸，增加产品附加值</w:t>
            </w:r>
          </w:p>
        </w:tc>
        <w:tc>
          <w:tcPr>
            <w:tcW w:w="2268" w:type="dxa"/>
            <w:vAlign w:val="center"/>
          </w:tcPr>
          <w:p>
            <w:pPr>
              <w:pStyle w:val="12"/>
            </w:pPr>
            <w:r>
              <w:t>不低于上年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品牌效应提升</w:t>
            </w:r>
          </w:p>
        </w:tc>
        <w:tc>
          <w:tcPr>
            <w:tcW w:w="5386" w:type="dxa"/>
            <w:vAlign w:val="center"/>
          </w:tcPr>
          <w:p>
            <w:pPr>
              <w:pStyle w:val="12"/>
            </w:pPr>
            <w:r>
              <w:t>以品牌提升区域影响力</w:t>
            </w:r>
          </w:p>
        </w:tc>
        <w:tc>
          <w:tcPr>
            <w:tcW w:w="2268" w:type="dxa"/>
            <w:vAlign w:val="center"/>
          </w:tcPr>
          <w:p>
            <w:pPr>
              <w:pStyle w:val="12"/>
            </w:pPr>
            <w:r>
              <w:t>不低于上年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业务工作可持续性</w:t>
            </w:r>
          </w:p>
        </w:tc>
        <w:tc>
          <w:tcPr>
            <w:tcW w:w="5386" w:type="dxa"/>
            <w:vAlign w:val="center"/>
          </w:tcPr>
          <w:p>
            <w:pPr>
              <w:pStyle w:val="12"/>
            </w:pPr>
            <w:r>
              <w:t>保障招商引资工作的有序运转年限</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洽谈客商满意度</w:t>
            </w:r>
          </w:p>
        </w:tc>
        <w:tc>
          <w:tcPr>
            <w:tcW w:w="5386" w:type="dxa"/>
            <w:vAlign w:val="center"/>
          </w:tcPr>
          <w:p>
            <w:pPr>
              <w:pStyle w:val="12"/>
            </w:pPr>
            <w:r>
              <w:t>满意和较满意的洽谈客商占洽谈客商总数的比例</w:t>
            </w:r>
          </w:p>
        </w:tc>
        <w:tc>
          <w:tcPr>
            <w:tcW w:w="2268" w:type="dxa"/>
            <w:vAlign w:val="center"/>
          </w:tcPr>
          <w:p>
            <w:pPr>
              <w:pStyle w:val="12"/>
            </w:pPr>
            <w:r>
              <w:t>≥95%</w:t>
            </w:r>
          </w:p>
        </w:tc>
        <w:tc>
          <w:tcPr>
            <w:tcW w:w="1276" w:type="dxa"/>
            <w:vAlign w:val="center"/>
          </w:tcPr>
          <w:p>
            <w:pPr>
              <w:pStyle w:val="12"/>
            </w:pPr>
            <w:r>
              <w:t>历史经验</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321001昌黎县招商中心本级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昌黎县招商中心本级上年末固定资产金额为4.08万元（详见下表）。本年度拟购置固定资产总额为0.50万元，</w:t>
      </w:r>
      <w:r>
        <w:rPr>
          <w:rFonts w:hint="eastAsia" w:eastAsia="方正仿宋_GBK" w:cs="Times New Roman"/>
          <w:b w:val="0"/>
          <w:color w:val="000000"/>
          <w:sz w:val="28"/>
          <w:lang w:eastAsia="zh-CN"/>
        </w:rPr>
        <w:t>未达到</w:t>
      </w:r>
      <w:r>
        <w:rPr>
          <w:rFonts w:ascii="Times New Roman" w:hAnsi="Times New Roman" w:eastAsia="方正仿宋_GBK" w:cs="Times New Roman"/>
          <w:b w:val="0"/>
          <w:color w:val="000000"/>
          <w:sz w:val="28"/>
        </w:rPr>
        <w:t>政府采购预算</w:t>
      </w:r>
      <w:r>
        <w:rPr>
          <w:rFonts w:hint="eastAsia" w:eastAsia="方正仿宋_GBK" w:cs="Times New Roman"/>
          <w:b w:val="0"/>
          <w:color w:val="000000"/>
          <w:sz w:val="28"/>
          <w:lang w:eastAsia="zh-CN"/>
        </w:rPr>
        <w:t>标准</w:t>
      </w:r>
      <w:bookmarkStart w:id="1" w:name="_GoBack"/>
      <w:bookmarkEnd w:id="1"/>
      <w:r>
        <w:rPr>
          <w:rFonts w:ascii="Times New Roman" w:hAnsi="Times New Roman" w:eastAsia="方正仿宋_GBK" w:cs="Times New Roman"/>
          <w:b w:val="0"/>
          <w:color w:val="000000"/>
          <w:sz w:val="28"/>
        </w:rPr>
        <w:t>。</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321001昌黎县招商中心本级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4.08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49</w:t>
            </w:r>
          </w:p>
        </w:tc>
        <w:tc>
          <w:tcPr>
            <w:tcW w:w="2835" w:type="dxa"/>
            <w:vAlign w:val="center"/>
          </w:tcPr>
          <w:p>
            <w:pPr>
              <w:pStyle w:val="11"/>
            </w:pPr>
            <w:r>
              <w:t>4.08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73F1293E"/>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20</Pages>
  <TotalTime>3</TotalTime>
  <ScaleCrop>false</ScaleCrop>
  <LinksUpToDate>false</LinksUpToDate>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2025-01-19T15:44:00Z</dcterms:created>
  <dc:creator>Administrator</dc:creator>
  <cp:lastModifiedBy>Administrator</cp:lastModifiedBy>
  <dcterms:modified xsi:type="dcterms:W3CDTF">2025-01-21T02:13:08Z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