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一、中共昌黎县委网络安全和信息化委员会办公室本级收支预算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一、中共昌黎县委网络安全和信息化委员会办公室本级收支预算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224001中共昌黎县委网络安全和信息化委员会办公室本级</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151.30</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123.25</w:t>
            </w: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13.53</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7.93</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6.59</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151.30</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151.30</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151.30</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151.30</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224001中共昌黎县委网络安全和信息化委员会办公室本级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151.30</w:t>
            </w:r>
          </w:p>
        </w:tc>
        <w:tc>
          <w:tcPr>
            <w:tcW w:w="1134" w:type="dxa"/>
            <w:tcBorders>
              <w:top w:val="single" w:sz="6" w:space="0" w:color="auto"/>
              <w:left w:val="single" w:sz="6" w:space="0" w:color="auto"/>
              <w:right w:val="single" w:sz="6" w:space="0" w:color="auto"/>
            </w:tcBorders>
            <w:vAlign w:val="center"/>
          </w:tcPr>
          <w:p>
            <w:pPr>
              <w:pStyle w:val="23"/>
            </w:pPr>
            <w:r>
              <w:t>151.30</w:t>
            </w:r>
          </w:p>
        </w:tc>
        <w:tc>
          <w:tcPr>
            <w:tcW w:w="1134" w:type="dxa"/>
            <w:tcBorders>
              <w:top w:val="single" w:sz="6" w:space="0" w:color="auto"/>
              <w:left w:val="single" w:sz="6" w:space="0" w:color="auto"/>
              <w:right w:val="single" w:sz="6" w:space="0" w:color="auto"/>
            </w:tcBorders>
            <w:vAlign w:val="center"/>
          </w:tcPr>
          <w:p>
            <w:pPr>
              <w:pStyle w:val="23"/>
            </w:pPr>
            <w:r>
              <w:t>151.30</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1559" w:type="dxa"/>
            <w:tcBorders>
              <w:top w:val="single" w:sz="6" w:space="0" w:color="auto"/>
              <w:left w:val="single" w:sz="6" w:space="0" w:color="auto"/>
              <w:right w:val="single" w:sz="6" w:space="0" w:color="auto"/>
            </w:tcBorders>
            <w:vAlign w:val="center"/>
          </w:tcPr>
          <w:p>
            <w:pPr>
              <w:pStyle w:val="20"/>
            </w:pPr>
            <w:r>
              <w:t>一般公共服务支出</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20137</w:t>
            </w:r>
          </w:p>
        </w:tc>
        <w:tc>
          <w:tcPr>
            <w:tcW w:w="1559" w:type="dxa"/>
            <w:tcBorders>
              <w:top w:val="single" w:sz="6" w:space="0" w:color="auto"/>
              <w:left w:val="single" w:sz="6" w:space="0" w:color="auto"/>
              <w:right w:val="single" w:sz="6" w:space="0" w:color="auto"/>
            </w:tcBorders>
            <w:vAlign w:val="center"/>
          </w:tcPr>
          <w:p>
            <w:pPr>
              <w:pStyle w:val="20"/>
            </w:pPr>
            <w:r>
              <w:t>网信事务</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r>
              <w:t>123.25</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2013701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57.08</w:t>
            </w:r>
          </w:p>
        </w:tc>
        <w:tc>
          <w:tcPr>
            <w:tcW w:w="1134" w:type="dxa"/>
            <w:tcBorders>
              <w:top w:val="single" w:sz="6" w:space="0" w:color="auto"/>
              <w:left w:val="single" w:sz="6" w:space="0" w:color="auto"/>
              <w:right w:val="single" w:sz="6" w:space="0" w:color="auto"/>
            </w:tcBorders>
            <w:vAlign w:val="center"/>
          </w:tcPr>
          <w:p>
            <w:pPr>
              <w:pStyle w:val="19"/>
            </w:pPr>
            <w:r>
              <w:t>57.08</w:t>
            </w:r>
          </w:p>
        </w:tc>
        <w:tc>
          <w:tcPr>
            <w:tcW w:w="1134" w:type="dxa"/>
            <w:tcBorders>
              <w:top w:val="single" w:sz="6" w:space="0" w:color="auto"/>
              <w:left w:val="single" w:sz="6" w:space="0" w:color="auto"/>
              <w:right w:val="single" w:sz="6" w:space="0" w:color="auto"/>
            </w:tcBorders>
            <w:vAlign w:val="center"/>
          </w:tcPr>
          <w:p>
            <w:pPr>
              <w:pStyle w:val="19"/>
            </w:pPr>
            <w:r>
              <w:t>57.08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2013702</w:t>
            </w:r>
          </w:p>
        </w:tc>
        <w:tc>
          <w:tcPr>
            <w:tcW w:w="1559" w:type="dxa"/>
            <w:tcBorders>
              <w:top w:val="single" w:sz="6" w:space="0" w:color="auto"/>
              <w:left w:val="single" w:sz="6" w:space="0" w:color="auto"/>
              <w:right w:val="single" w:sz="6" w:space="0" w:color="auto"/>
            </w:tcBorders>
            <w:vAlign w:val="center"/>
          </w:tcPr>
          <w:p>
            <w:pPr>
              <w:pStyle w:val="20"/>
            </w:pPr>
            <w:r>
              <w:t>一般行政管理事务</w:t>
            </w:r>
          </w:p>
        </w:tc>
        <w:tc>
          <w:tcPr>
            <w:tcW w:w="1134" w:type="dxa"/>
            <w:tcBorders>
              <w:top w:val="single" w:sz="6" w:space="0" w:color="auto"/>
              <w:left w:val="single" w:sz="6" w:space="0" w:color="auto"/>
              <w:right w:val="single" w:sz="6" w:space="0" w:color="auto"/>
            </w:tcBorders>
            <w:vAlign w:val="center"/>
          </w:tcPr>
          <w:p>
            <w:pPr>
              <w:pStyle w:val="19"/>
            </w:pPr>
            <w:r>
              <w:t>30.00</w:t>
            </w:r>
          </w:p>
        </w:tc>
        <w:tc>
          <w:tcPr>
            <w:tcW w:w="1134" w:type="dxa"/>
            <w:tcBorders>
              <w:top w:val="single" w:sz="6" w:space="0" w:color="auto"/>
              <w:left w:val="single" w:sz="6" w:space="0" w:color="auto"/>
              <w:right w:val="single" w:sz="6" w:space="0" w:color="auto"/>
            </w:tcBorders>
            <w:vAlign w:val="center"/>
          </w:tcPr>
          <w:p>
            <w:pPr>
              <w:pStyle w:val="19"/>
            </w:pPr>
            <w:r>
              <w:t>30.00</w:t>
            </w:r>
          </w:p>
        </w:tc>
        <w:tc>
          <w:tcPr>
            <w:tcW w:w="1134" w:type="dxa"/>
            <w:tcBorders>
              <w:top w:val="single" w:sz="6" w:space="0" w:color="auto"/>
              <w:left w:val="single" w:sz="6" w:space="0" w:color="auto"/>
              <w:right w:val="single" w:sz="6" w:space="0" w:color="auto"/>
            </w:tcBorders>
            <w:vAlign w:val="center"/>
          </w:tcPr>
          <w:p>
            <w:pPr>
              <w:pStyle w:val="19"/>
            </w:pPr>
            <w:r>
              <w:t>30.00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2013750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36.16</w:t>
            </w:r>
          </w:p>
        </w:tc>
        <w:tc>
          <w:tcPr>
            <w:tcW w:w="1134" w:type="dxa"/>
            <w:tcBorders>
              <w:top w:val="single" w:sz="6" w:space="0" w:color="auto"/>
              <w:left w:val="single" w:sz="6" w:space="0" w:color="auto"/>
              <w:right w:val="single" w:sz="6" w:space="0" w:color="auto"/>
            </w:tcBorders>
            <w:vAlign w:val="center"/>
          </w:tcPr>
          <w:p>
            <w:pPr>
              <w:pStyle w:val="19"/>
            </w:pPr>
            <w:r>
              <w:t>36.16</w:t>
            </w:r>
          </w:p>
        </w:tc>
        <w:tc>
          <w:tcPr>
            <w:tcW w:w="1134" w:type="dxa"/>
            <w:tcBorders>
              <w:top w:val="single" w:sz="6" w:space="0" w:color="auto"/>
              <w:left w:val="single" w:sz="6" w:space="0" w:color="auto"/>
              <w:right w:val="single" w:sz="6" w:space="0" w:color="auto"/>
            </w:tcBorders>
            <w:vAlign w:val="center"/>
          </w:tcPr>
          <w:p>
            <w:pPr>
              <w:pStyle w:val="19"/>
            </w:pPr>
            <w:r>
              <w:t>36.16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r>
              <w:t>13.53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r>
              <w:t>7.93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4.63</w:t>
            </w:r>
          </w:p>
        </w:tc>
        <w:tc>
          <w:tcPr>
            <w:tcW w:w="1134" w:type="dxa"/>
            <w:tcBorders>
              <w:top w:val="single" w:sz="6" w:space="0" w:color="auto"/>
              <w:left w:val="single" w:sz="6" w:space="0" w:color="auto"/>
              <w:right w:val="single" w:sz="6" w:space="0" w:color="auto"/>
            </w:tcBorders>
            <w:vAlign w:val="center"/>
          </w:tcPr>
          <w:p>
            <w:pPr>
              <w:pStyle w:val="19"/>
            </w:pPr>
            <w:r>
              <w:t>4.63</w:t>
            </w:r>
          </w:p>
        </w:tc>
        <w:tc>
          <w:tcPr>
            <w:tcW w:w="1134" w:type="dxa"/>
            <w:tcBorders>
              <w:top w:val="single" w:sz="6" w:space="0" w:color="auto"/>
              <w:left w:val="single" w:sz="6" w:space="0" w:color="auto"/>
              <w:right w:val="single" w:sz="6" w:space="0" w:color="auto"/>
            </w:tcBorders>
            <w:vAlign w:val="center"/>
          </w:tcPr>
          <w:p>
            <w:pPr>
              <w:pStyle w:val="19"/>
            </w:pPr>
            <w:r>
              <w:t>4.63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r>
              <w:t>3.30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r>
              <w:t>6.59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224001中共昌黎县委网络安全和信息化委员会办公室本级</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151.30</w:t>
            </w:r>
          </w:p>
        </w:tc>
        <w:tc>
          <w:tcPr>
            <w:tcW w:w="1361" w:type="dxa"/>
            <w:tcBorders>
              <w:top w:val="single" w:sz="6" w:space="0" w:color="auto"/>
              <w:left w:val="single" w:sz="6" w:space="0" w:color="auto"/>
              <w:right w:val="single" w:sz="6" w:space="0" w:color="auto"/>
            </w:tcBorders>
            <w:vAlign w:val="center"/>
          </w:tcPr>
          <w:p>
            <w:pPr>
              <w:pStyle w:val="23"/>
            </w:pPr>
            <w:r>
              <w:t>121.30</w:t>
            </w:r>
          </w:p>
        </w:tc>
        <w:tc>
          <w:tcPr>
            <w:tcW w:w="1361" w:type="dxa"/>
            <w:tcBorders>
              <w:top w:val="single" w:sz="6" w:space="0" w:color="auto"/>
              <w:left w:val="single" w:sz="6" w:space="0" w:color="auto"/>
              <w:right w:val="single" w:sz="6" w:space="0" w:color="auto"/>
            </w:tcBorders>
            <w:vAlign w:val="center"/>
          </w:tcPr>
          <w:p>
            <w:pPr>
              <w:pStyle w:val="23"/>
            </w:pPr>
            <w:r>
              <w:t>30.00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1361" w:type="dxa"/>
            <w:tcBorders>
              <w:top w:val="single" w:sz="6" w:space="0" w:color="auto"/>
              <w:left w:val="single" w:sz="6" w:space="0" w:color="auto"/>
              <w:right w:val="single" w:sz="6" w:space="0" w:color="auto"/>
            </w:tcBorders>
            <w:vAlign w:val="center"/>
          </w:tcPr>
          <w:p>
            <w:pPr>
              <w:pStyle w:val="19"/>
            </w:pPr>
            <w:r>
              <w:t>123.25</w:t>
            </w:r>
          </w:p>
        </w:tc>
        <w:tc>
          <w:tcPr>
            <w:tcW w:w="1361" w:type="dxa"/>
            <w:tcBorders>
              <w:top w:val="single" w:sz="6" w:space="0" w:color="auto"/>
              <w:left w:val="single" w:sz="6" w:space="0" w:color="auto"/>
              <w:right w:val="single" w:sz="6" w:space="0" w:color="auto"/>
            </w:tcBorders>
            <w:vAlign w:val="center"/>
          </w:tcPr>
          <w:p>
            <w:pPr>
              <w:pStyle w:val="19"/>
            </w:pPr>
            <w:r>
              <w:t>93.25</w:t>
            </w:r>
          </w:p>
        </w:tc>
        <w:tc>
          <w:tcPr>
            <w:tcW w:w="1361" w:type="dxa"/>
            <w:tcBorders>
              <w:top w:val="single" w:sz="6" w:space="0" w:color="auto"/>
              <w:left w:val="single" w:sz="6" w:space="0" w:color="auto"/>
              <w:right w:val="single" w:sz="6" w:space="0" w:color="auto"/>
            </w:tcBorders>
            <w:vAlign w:val="center"/>
          </w:tcPr>
          <w:p>
            <w:pPr>
              <w:pStyle w:val="19"/>
            </w:pPr>
            <w:r>
              <w:t>30.00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20137</w:t>
            </w:r>
          </w:p>
        </w:tc>
        <w:tc>
          <w:tcPr>
            <w:tcW w:w="4535" w:type="dxa"/>
            <w:tcBorders>
              <w:top w:val="single" w:sz="6" w:space="0" w:color="auto"/>
              <w:left w:val="single" w:sz="6" w:space="0" w:color="auto"/>
              <w:right w:val="single" w:sz="6" w:space="0" w:color="auto"/>
            </w:tcBorders>
            <w:vAlign w:val="center"/>
          </w:tcPr>
          <w:p>
            <w:pPr>
              <w:pStyle w:val="20"/>
            </w:pPr>
            <w:r>
              <w:t>网信事务</w:t>
            </w:r>
          </w:p>
        </w:tc>
        <w:tc>
          <w:tcPr>
            <w:tcW w:w="1361" w:type="dxa"/>
            <w:tcBorders>
              <w:top w:val="single" w:sz="6" w:space="0" w:color="auto"/>
              <w:left w:val="single" w:sz="6" w:space="0" w:color="auto"/>
              <w:right w:val="single" w:sz="6" w:space="0" w:color="auto"/>
            </w:tcBorders>
            <w:vAlign w:val="center"/>
          </w:tcPr>
          <w:p>
            <w:pPr>
              <w:pStyle w:val="19"/>
            </w:pPr>
            <w:r>
              <w:t>123.25</w:t>
            </w:r>
          </w:p>
        </w:tc>
        <w:tc>
          <w:tcPr>
            <w:tcW w:w="1361" w:type="dxa"/>
            <w:tcBorders>
              <w:top w:val="single" w:sz="6" w:space="0" w:color="auto"/>
              <w:left w:val="single" w:sz="6" w:space="0" w:color="auto"/>
              <w:right w:val="single" w:sz="6" w:space="0" w:color="auto"/>
            </w:tcBorders>
            <w:vAlign w:val="center"/>
          </w:tcPr>
          <w:p>
            <w:pPr>
              <w:pStyle w:val="19"/>
            </w:pPr>
            <w:r>
              <w:t>93.25</w:t>
            </w:r>
          </w:p>
        </w:tc>
        <w:tc>
          <w:tcPr>
            <w:tcW w:w="1361" w:type="dxa"/>
            <w:tcBorders>
              <w:top w:val="single" w:sz="6" w:space="0" w:color="auto"/>
              <w:left w:val="single" w:sz="6" w:space="0" w:color="auto"/>
              <w:right w:val="single" w:sz="6" w:space="0" w:color="auto"/>
            </w:tcBorders>
            <w:vAlign w:val="center"/>
          </w:tcPr>
          <w:p>
            <w:pPr>
              <w:pStyle w:val="19"/>
            </w:pPr>
            <w:r>
              <w:t>30.00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2013701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57.08</w:t>
            </w:r>
          </w:p>
        </w:tc>
        <w:tc>
          <w:tcPr>
            <w:tcW w:w="1361" w:type="dxa"/>
            <w:tcBorders>
              <w:top w:val="single" w:sz="6" w:space="0" w:color="auto"/>
              <w:left w:val="single" w:sz="6" w:space="0" w:color="auto"/>
              <w:right w:val="single" w:sz="6" w:space="0" w:color="auto"/>
            </w:tcBorders>
            <w:vAlign w:val="center"/>
          </w:tcPr>
          <w:p>
            <w:pPr>
              <w:pStyle w:val="19"/>
            </w:pPr>
            <w:r>
              <w:t>57.08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2013702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1361" w:type="dxa"/>
            <w:tcBorders>
              <w:top w:val="single" w:sz="6" w:space="0" w:color="auto"/>
              <w:left w:val="single" w:sz="6" w:space="0" w:color="auto"/>
              <w:right w:val="single" w:sz="6" w:space="0" w:color="auto"/>
            </w:tcBorders>
            <w:vAlign w:val="center"/>
          </w:tcPr>
          <w:p>
            <w:pPr>
              <w:pStyle w:val="19"/>
            </w:pPr>
            <w:r>
              <w:t>30.00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2013750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36.16</w:t>
            </w:r>
          </w:p>
        </w:tc>
        <w:tc>
          <w:tcPr>
            <w:tcW w:w="1361" w:type="dxa"/>
            <w:tcBorders>
              <w:top w:val="single" w:sz="6" w:space="0" w:color="auto"/>
              <w:left w:val="single" w:sz="6" w:space="0" w:color="auto"/>
              <w:right w:val="single" w:sz="6" w:space="0" w:color="auto"/>
            </w:tcBorders>
            <w:vAlign w:val="center"/>
          </w:tcPr>
          <w:p>
            <w:pPr>
              <w:pStyle w:val="19"/>
            </w:pPr>
            <w:r>
              <w:t>36.16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r>
              <w:t>13.53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7.93</w:t>
            </w:r>
          </w:p>
        </w:tc>
        <w:tc>
          <w:tcPr>
            <w:tcW w:w="1361" w:type="dxa"/>
            <w:tcBorders>
              <w:top w:val="single" w:sz="6" w:space="0" w:color="auto"/>
              <w:left w:val="single" w:sz="6" w:space="0" w:color="auto"/>
              <w:right w:val="single" w:sz="6" w:space="0" w:color="auto"/>
            </w:tcBorders>
            <w:vAlign w:val="center"/>
          </w:tcPr>
          <w:p>
            <w:pPr>
              <w:pStyle w:val="19"/>
            </w:pPr>
            <w:r>
              <w:t>7.93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7.93</w:t>
            </w:r>
          </w:p>
        </w:tc>
        <w:tc>
          <w:tcPr>
            <w:tcW w:w="1361" w:type="dxa"/>
            <w:tcBorders>
              <w:top w:val="single" w:sz="6" w:space="0" w:color="auto"/>
              <w:left w:val="single" w:sz="6" w:space="0" w:color="auto"/>
              <w:right w:val="single" w:sz="6" w:space="0" w:color="auto"/>
            </w:tcBorders>
            <w:vAlign w:val="center"/>
          </w:tcPr>
          <w:p>
            <w:pPr>
              <w:pStyle w:val="19"/>
            </w:pPr>
            <w:r>
              <w:t>7.93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4.63</w:t>
            </w:r>
          </w:p>
        </w:tc>
        <w:tc>
          <w:tcPr>
            <w:tcW w:w="1361" w:type="dxa"/>
            <w:tcBorders>
              <w:top w:val="single" w:sz="6" w:space="0" w:color="auto"/>
              <w:left w:val="single" w:sz="6" w:space="0" w:color="auto"/>
              <w:right w:val="single" w:sz="6" w:space="0" w:color="auto"/>
            </w:tcBorders>
            <w:vAlign w:val="center"/>
          </w:tcPr>
          <w:p>
            <w:pPr>
              <w:pStyle w:val="19"/>
            </w:pPr>
            <w:r>
              <w:t>4.63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3.30</w:t>
            </w:r>
          </w:p>
        </w:tc>
        <w:tc>
          <w:tcPr>
            <w:tcW w:w="1361" w:type="dxa"/>
            <w:tcBorders>
              <w:top w:val="single" w:sz="6" w:space="0" w:color="auto"/>
              <w:left w:val="single" w:sz="6" w:space="0" w:color="auto"/>
              <w:right w:val="single" w:sz="6" w:space="0" w:color="auto"/>
            </w:tcBorders>
            <w:vAlign w:val="center"/>
          </w:tcPr>
          <w:p>
            <w:pPr>
              <w:pStyle w:val="19"/>
            </w:pPr>
            <w:r>
              <w:t>3.30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r>
              <w:t>6.59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224001中共昌黎县委网络安全和信息化委员会办公室本级</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151.30</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r>
              <w:t>123.25</w:t>
            </w:r>
          </w:p>
        </w:tc>
        <w:tc>
          <w:tcPr>
            <w:tcW w:w="1474" w:type="dxa"/>
            <w:tcBorders>
              <w:top w:val="single" w:sz="6" w:space="0" w:color="auto"/>
              <w:left w:val="single" w:sz="6" w:space="0" w:color="auto"/>
              <w:right w:val="single" w:sz="6" w:space="0" w:color="auto"/>
            </w:tcBorders>
            <w:vAlign w:val="center"/>
          </w:tcPr>
          <w:p>
            <w:pPr>
              <w:pStyle w:val="19"/>
            </w:pPr>
            <w:r>
              <w:t>123.25</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13.53</w:t>
            </w:r>
          </w:p>
        </w:tc>
        <w:tc>
          <w:tcPr>
            <w:tcW w:w="1474" w:type="dxa"/>
            <w:tcBorders>
              <w:top w:val="single" w:sz="6" w:space="0" w:color="auto"/>
              <w:left w:val="single" w:sz="6" w:space="0" w:color="auto"/>
              <w:right w:val="single" w:sz="6" w:space="0" w:color="auto"/>
            </w:tcBorders>
            <w:vAlign w:val="center"/>
          </w:tcPr>
          <w:p>
            <w:pPr>
              <w:pStyle w:val="19"/>
            </w:pPr>
            <w:r>
              <w:t>13.53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7.93</w:t>
            </w:r>
          </w:p>
        </w:tc>
        <w:tc>
          <w:tcPr>
            <w:tcW w:w="1474" w:type="dxa"/>
            <w:tcBorders>
              <w:top w:val="single" w:sz="6" w:space="0" w:color="auto"/>
              <w:left w:val="single" w:sz="6" w:space="0" w:color="auto"/>
              <w:right w:val="single" w:sz="6" w:space="0" w:color="auto"/>
            </w:tcBorders>
            <w:vAlign w:val="center"/>
          </w:tcPr>
          <w:p>
            <w:pPr>
              <w:pStyle w:val="19"/>
            </w:pPr>
            <w:r>
              <w:t>7.93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6.59</w:t>
            </w:r>
          </w:p>
        </w:tc>
        <w:tc>
          <w:tcPr>
            <w:tcW w:w="1474" w:type="dxa"/>
            <w:tcBorders>
              <w:top w:val="single" w:sz="6" w:space="0" w:color="auto"/>
              <w:left w:val="single" w:sz="6" w:space="0" w:color="auto"/>
              <w:right w:val="single" w:sz="6" w:space="0" w:color="auto"/>
            </w:tcBorders>
            <w:vAlign w:val="center"/>
          </w:tcPr>
          <w:p>
            <w:pPr>
              <w:pStyle w:val="19"/>
            </w:pPr>
            <w:r>
              <w:t>6.59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1474" w:type="dxa"/>
            <w:tcBorders>
              <w:top w:val="single" w:sz="6" w:space="0" w:color="auto"/>
              <w:left w:val="single" w:sz="6" w:space="0" w:color="auto"/>
              <w:right w:val="single" w:sz="6" w:space="0" w:color="auto"/>
            </w:tcBorders>
            <w:vAlign w:val="center"/>
          </w:tcPr>
          <w:p>
            <w:pPr>
              <w:pStyle w:val="23"/>
            </w:pPr>
            <w:r>
              <w:t>151.30</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224001中共昌黎县委网络安全和信息化委员会办公室本级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151.30</w:t>
            </w:r>
          </w:p>
        </w:tc>
        <w:tc>
          <w:tcPr>
            <w:tcW w:w="2551" w:type="dxa"/>
            <w:tcBorders>
              <w:top w:val="single" w:sz="6" w:space="0" w:color="auto"/>
              <w:left w:val="single" w:sz="6" w:space="0" w:color="auto"/>
              <w:right w:val="single" w:sz="6" w:space="0" w:color="auto"/>
            </w:tcBorders>
            <w:vAlign w:val="center"/>
          </w:tcPr>
          <w:p>
            <w:pPr>
              <w:pStyle w:val="23"/>
            </w:pPr>
            <w:r>
              <w:t>121.30</w:t>
            </w:r>
          </w:p>
        </w:tc>
        <w:tc>
          <w:tcPr>
            <w:tcW w:w="2551" w:type="dxa"/>
            <w:vAlign w:val="center"/>
          </w:tcPr>
          <w:p>
            <w:pPr>
              <w:pStyle w:val="23"/>
            </w:pPr>
            <w:r>
              <w:t>30.00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201</w:t>
            </w:r>
          </w:p>
        </w:tc>
        <w:tc>
          <w:tcPr>
            <w:tcW w:w="4535" w:type="dxa"/>
            <w:tcBorders>
              <w:top w:val="single" w:sz="6" w:space="0" w:color="auto"/>
              <w:left w:val="single" w:sz="6" w:space="0" w:color="auto"/>
              <w:right w:val="single" w:sz="6" w:space="0" w:color="auto"/>
            </w:tcBorders>
            <w:vAlign w:val="center"/>
          </w:tcPr>
          <w:p>
            <w:pPr>
              <w:pStyle w:val="20"/>
            </w:pPr>
            <w:r>
              <w:t>一般公共服务支出</w:t>
            </w:r>
          </w:p>
        </w:tc>
        <w:tc>
          <w:tcPr>
            <w:tcW w:w="2551" w:type="dxa"/>
            <w:tcBorders>
              <w:top w:val="single" w:sz="6" w:space="0" w:color="auto"/>
              <w:left w:val="single" w:sz="6" w:space="0" w:color="auto"/>
              <w:right w:val="single" w:sz="6" w:space="0" w:color="auto"/>
            </w:tcBorders>
            <w:vAlign w:val="center"/>
          </w:tcPr>
          <w:p>
            <w:pPr>
              <w:pStyle w:val="19"/>
            </w:pPr>
            <w:r>
              <w:t>123.25</w:t>
            </w:r>
          </w:p>
        </w:tc>
        <w:tc>
          <w:tcPr>
            <w:tcW w:w="2551" w:type="dxa"/>
            <w:tcBorders>
              <w:top w:val="single" w:sz="6" w:space="0" w:color="auto"/>
              <w:left w:val="single" w:sz="6" w:space="0" w:color="auto"/>
              <w:right w:val="single" w:sz="6" w:space="0" w:color="auto"/>
            </w:tcBorders>
            <w:vAlign w:val="center"/>
          </w:tcPr>
          <w:p>
            <w:pPr>
              <w:pStyle w:val="19"/>
            </w:pPr>
            <w:r>
              <w:t>93.25</w:t>
            </w:r>
          </w:p>
        </w:tc>
        <w:tc>
          <w:tcPr>
            <w:tcW w:w="2551" w:type="dxa"/>
            <w:vAlign w:val="center"/>
          </w:tcPr>
          <w:p>
            <w:pPr>
              <w:pStyle w:val="19"/>
            </w:pPr>
            <w:r>
              <w:t>30.00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20137</w:t>
            </w:r>
          </w:p>
        </w:tc>
        <w:tc>
          <w:tcPr>
            <w:tcW w:w="4535" w:type="dxa"/>
            <w:tcBorders>
              <w:top w:val="single" w:sz="6" w:space="0" w:color="auto"/>
              <w:left w:val="single" w:sz="6" w:space="0" w:color="auto"/>
              <w:right w:val="single" w:sz="6" w:space="0" w:color="auto"/>
            </w:tcBorders>
            <w:vAlign w:val="center"/>
          </w:tcPr>
          <w:p>
            <w:pPr>
              <w:pStyle w:val="20"/>
            </w:pPr>
            <w:r>
              <w:t>网信事务</w:t>
            </w:r>
          </w:p>
        </w:tc>
        <w:tc>
          <w:tcPr>
            <w:tcW w:w="2551" w:type="dxa"/>
            <w:tcBorders>
              <w:top w:val="single" w:sz="6" w:space="0" w:color="auto"/>
              <w:left w:val="single" w:sz="6" w:space="0" w:color="auto"/>
              <w:right w:val="single" w:sz="6" w:space="0" w:color="auto"/>
            </w:tcBorders>
            <w:vAlign w:val="center"/>
          </w:tcPr>
          <w:p>
            <w:pPr>
              <w:pStyle w:val="19"/>
            </w:pPr>
            <w:r>
              <w:t>123.25</w:t>
            </w:r>
          </w:p>
        </w:tc>
        <w:tc>
          <w:tcPr>
            <w:tcW w:w="2551" w:type="dxa"/>
            <w:tcBorders>
              <w:top w:val="single" w:sz="6" w:space="0" w:color="auto"/>
              <w:left w:val="single" w:sz="6" w:space="0" w:color="auto"/>
              <w:right w:val="single" w:sz="6" w:space="0" w:color="auto"/>
            </w:tcBorders>
            <w:vAlign w:val="center"/>
          </w:tcPr>
          <w:p>
            <w:pPr>
              <w:pStyle w:val="19"/>
            </w:pPr>
            <w:r>
              <w:t>93.25</w:t>
            </w:r>
          </w:p>
        </w:tc>
        <w:tc>
          <w:tcPr>
            <w:tcW w:w="2551" w:type="dxa"/>
            <w:vAlign w:val="center"/>
          </w:tcPr>
          <w:p>
            <w:pPr>
              <w:pStyle w:val="19"/>
            </w:pPr>
            <w:r>
              <w:t>30.00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2013701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57.08</w:t>
            </w:r>
          </w:p>
        </w:tc>
        <w:tc>
          <w:tcPr>
            <w:tcW w:w="2551" w:type="dxa"/>
            <w:tcBorders>
              <w:top w:val="single" w:sz="6" w:space="0" w:color="auto"/>
              <w:left w:val="single" w:sz="6" w:space="0" w:color="auto"/>
              <w:right w:val="single" w:sz="6" w:space="0" w:color="auto"/>
            </w:tcBorders>
            <w:vAlign w:val="center"/>
          </w:tcPr>
          <w:p>
            <w:pPr>
              <w:pStyle w:val="19"/>
            </w:pPr>
            <w:r>
              <w:t>57.08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2013702</w:t>
            </w:r>
          </w:p>
        </w:tc>
        <w:tc>
          <w:tcPr>
            <w:tcW w:w="4535" w:type="dxa"/>
            <w:tcBorders>
              <w:top w:val="single" w:sz="6" w:space="0" w:color="auto"/>
              <w:left w:val="single" w:sz="6" w:space="0" w:color="auto"/>
              <w:right w:val="single" w:sz="6" w:space="0" w:color="auto"/>
            </w:tcBorders>
            <w:vAlign w:val="center"/>
          </w:tcPr>
          <w:p>
            <w:pPr>
              <w:pStyle w:val="20"/>
            </w:pPr>
            <w:r>
              <w:t>一般行政管理事务</w:t>
            </w:r>
          </w:p>
        </w:tc>
        <w:tc>
          <w:tcPr>
            <w:tcW w:w="2551" w:type="dxa"/>
            <w:tcBorders>
              <w:top w:val="single" w:sz="6" w:space="0" w:color="auto"/>
              <w:left w:val="single" w:sz="6" w:space="0" w:color="auto"/>
              <w:right w:val="single" w:sz="6" w:space="0" w:color="auto"/>
            </w:tcBorders>
            <w:vAlign w:val="center"/>
          </w:tcPr>
          <w:p>
            <w:pPr>
              <w:pStyle w:val="19"/>
            </w:pPr>
            <w:r>
              <w:t>30.00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30.00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2013750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36.16</w:t>
            </w:r>
          </w:p>
        </w:tc>
        <w:tc>
          <w:tcPr>
            <w:tcW w:w="2551" w:type="dxa"/>
            <w:tcBorders>
              <w:top w:val="single" w:sz="6" w:space="0" w:color="auto"/>
              <w:left w:val="single" w:sz="6" w:space="0" w:color="auto"/>
              <w:right w:val="single" w:sz="6" w:space="0" w:color="auto"/>
            </w:tcBorders>
            <w:vAlign w:val="center"/>
          </w:tcPr>
          <w:p>
            <w:pPr>
              <w:pStyle w:val="19"/>
            </w:pPr>
            <w:r>
              <w:t>36.16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4.63</w:t>
            </w:r>
          </w:p>
        </w:tc>
        <w:tc>
          <w:tcPr>
            <w:tcW w:w="2551" w:type="dxa"/>
            <w:tcBorders>
              <w:top w:val="single" w:sz="6" w:space="0" w:color="auto"/>
              <w:left w:val="single" w:sz="6" w:space="0" w:color="auto"/>
              <w:right w:val="single" w:sz="6" w:space="0" w:color="auto"/>
            </w:tcBorders>
            <w:vAlign w:val="center"/>
          </w:tcPr>
          <w:p>
            <w:pPr>
              <w:pStyle w:val="19"/>
            </w:pPr>
            <w:r>
              <w:t>4.63</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tcBorders>
              <w:top w:val="single" w:sz="6" w:space="0" w:color="auto"/>
              <w:left w:val="single" w:sz="6" w:space="0" w:color="auto"/>
              <w:right w:val="single" w:sz="6" w:space="0" w:color="auto"/>
            </w:tcBorders>
            <w:vAlign w:val="center"/>
          </w:tcPr>
          <w:p>
            <w:pPr>
              <w:pStyle w:val="19"/>
            </w:pPr>
            <w:r>
              <w:t>3.30</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224001中共昌黎县委网络安全和信息化委员会办公室本级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121.30</w:t>
            </w:r>
          </w:p>
        </w:tc>
        <w:tc>
          <w:tcPr>
            <w:tcW w:w="2551" w:type="dxa"/>
            <w:tcBorders>
              <w:top w:val="single" w:sz="6" w:space="0" w:color="auto"/>
              <w:left w:val="single" w:sz="6" w:space="0" w:color="auto"/>
              <w:right w:val="single" w:sz="6" w:space="0" w:color="auto"/>
            </w:tcBorders>
            <w:vAlign w:val="center"/>
          </w:tcPr>
          <w:p>
            <w:pPr>
              <w:pStyle w:val="23"/>
            </w:pPr>
            <w:r>
              <w:t>113.66</w:t>
            </w:r>
          </w:p>
        </w:tc>
        <w:tc>
          <w:tcPr>
            <w:tcW w:w="2551" w:type="dxa"/>
            <w:vAlign w:val="center"/>
          </w:tcPr>
          <w:p>
            <w:pPr>
              <w:pStyle w:val="23"/>
            </w:pPr>
            <w:r>
              <w:t>7.64</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113.66</w:t>
            </w:r>
          </w:p>
        </w:tc>
        <w:tc>
          <w:tcPr>
            <w:tcW w:w="2551" w:type="dxa"/>
            <w:tcBorders>
              <w:top w:val="single" w:sz="6" w:space="0" w:color="auto"/>
              <w:left w:val="single" w:sz="6" w:space="0" w:color="auto"/>
              <w:right w:val="single" w:sz="6" w:space="0" w:color="auto"/>
            </w:tcBorders>
            <w:vAlign w:val="center"/>
          </w:tcPr>
          <w:p>
            <w:pPr>
              <w:pStyle w:val="19"/>
            </w:pPr>
            <w:r>
              <w:t>113.66</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49.26</w:t>
            </w:r>
          </w:p>
        </w:tc>
        <w:tc>
          <w:tcPr>
            <w:tcW w:w="2551" w:type="dxa"/>
            <w:tcBorders>
              <w:top w:val="single" w:sz="6" w:space="0" w:color="auto"/>
              <w:left w:val="single" w:sz="6" w:space="0" w:color="auto"/>
              <w:right w:val="single" w:sz="6" w:space="0" w:color="auto"/>
            </w:tcBorders>
            <w:vAlign w:val="center"/>
          </w:tcPr>
          <w:p>
            <w:pPr>
              <w:pStyle w:val="19"/>
            </w:pPr>
            <w:r>
              <w:t>49.26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16.19</w:t>
            </w:r>
          </w:p>
        </w:tc>
        <w:tc>
          <w:tcPr>
            <w:tcW w:w="2551" w:type="dxa"/>
            <w:tcBorders>
              <w:top w:val="single" w:sz="6" w:space="0" w:color="auto"/>
              <w:left w:val="single" w:sz="6" w:space="0" w:color="auto"/>
              <w:right w:val="single" w:sz="6" w:space="0" w:color="auto"/>
            </w:tcBorders>
            <w:vAlign w:val="center"/>
          </w:tcPr>
          <w:p>
            <w:pPr>
              <w:pStyle w:val="19"/>
            </w:pPr>
            <w:r>
              <w:t>16.19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7.21</w:t>
            </w:r>
          </w:p>
        </w:tc>
        <w:tc>
          <w:tcPr>
            <w:tcW w:w="2551" w:type="dxa"/>
            <w:tcBorders>
              <w:top w:val="single" w:sz="6" w:space="0" w:color="auto"/>
              <w:left w:val="single" w:sz="6" w:space="0" w:color="auto"/>
              <w:right w:val="single" w:sz="6" w:space="0" w:color="auto"/>
            </w:tcBorders>
            <w:vAlign w:val="center"/>
          </w:tcPr>
          <w:p>
            <w:pPr>
              <w:pStyle w:val="19"/>
            </w:pPr>
            <w:r>
              <w:t>7.21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12.34</w:t>
            </w:r>
          </w:p>
        </w:tc>
        <w:tc>
          <w:tcPr>
            <w:tcW w:w="2551" w:type="dxa"/>
            <w:tcBorders>
              <w:top w:val="single" w:sz="6" w:space="0" w:color="auto"/>
              <w:left w:val="single" w:sz="6" w:space="0" w:color="auto"/>
              <w:right w:val="single" w:sz="6" w:space="0" w:color="auto"/>
            </w:tcBorders>
            <w:vAlign w:val="center"/>
          </w:tcPr>
          <w:p>
            <w:pPr>
              <w:pStyle w:val="19"/>
            </w:pPr>
            <w:r>
              <w:t>12.34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tcBorders>
              <w:top w:val="single" w:sz="6" w:space="0" w:color="auto"/>
              <w:left w:val="single" w:sz="6" w:space="0" w:color="auto"/>
              <w:right w:val="single" w:sz="6" w:space="0" w:color="auto"/>
            </w:tcBorders>
            <w:vAlign w:val="center"/>
          </w:tcPr>
          <w:p>
            <w:pPr>
              <w:pStyle w:val="19"/>
            </w:pPr>
            <w:r>
              <w:t>13.53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tcBorders>
              <w:top w:val="single" w:sz="6" w:space="0" w:color="auto"/>
              <w:left w:val="single" w:sz="6" w:space="0" w:color="auto"/>
              <w:right w:val="single" w:sz="6" w:space="0" w:color="auto"/>
            </w:tcBorders>
            <w:vAlign w:val="center"/>
          </w:tcPr>
          <w:p>
            <w:pPr>
              <w:pStyle w:val="19"/>
            </w:pPr>
            <w:r>
              <w:t>7.93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0.61</w:t>
            </w:r>
          </w:p>
        </w:tc>
        <w:tc>
          <w:tcPr>
            <w:tcW w:w="2551" w:type="dxa"/>
            <w:tcBorders>
              <w:top w:val="single" w:sz="6" w:space="0" w:color="auto"/>
              <w:left w:val="single" w:sz="6" w:space="0" w:color="auto"/>
              <w:right w:val="single" w:sz="6" w:space="0" w:color="auto"/>
            </w:tcBorders>
            <w:vAlign w:val="center"/>
          </w:tcPr>
          <w:p>
            <w:pPr>
              <w:pStyle w:val="19"/>
            </w:pPr>
            <w:r>
              <w:t>0.61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tcBorders>
              <w:top w:val="single" w:sz="6" w:space="0" w:color="auto"/>
              <w:left w:val="single" w:sz="6" w:space="0" w:color="auto"/>
              <w:right w:val="single" w:sz="6" w:space="0" w:color="auto"/>
            </w:tcBorders>
            <w:vAlign w:val="center"/>
          </w:tcPr>
          <w:p>
            <w:pPr>
              <w:pStyle w:val="19"/>
            </w:pPr>
            <w:r>
              <w:t>6.59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7.64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7.64</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1.08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1.08</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4.68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4.68</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0.08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0.08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224001中共昌黎县委网络安全和信息化委员会办公室本级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224001中共昌黎县委网络安全和信息化委员会办公室本级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224001中共昌黎县委网络安全和信息化委员会办公室本级</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0.50</w:t>
            </w:r>
          </w:p>
        </w:tc>
        <w:tc>
          <w:tcPr>
            <w:tcW w:w="2381" w:type="dxa"/>
            <w:tcBorders>
              <w:top w:val="single" w:sz="6" w:space="0" w:color="auto"/>
              <w:left w:val="single" w:sz="6" w:space="0" w:color="auto"/>
              <w:right w:val="single" w:sz="6" w:space="0" w:color="auto"/>
            </w:tcBorders>
            <w:vAlign w:val="center"/>
          </w:tcPr>
          <w:p>
            <w:pPr>
              <w:pStyle w:val="23"/>
            </w:pPr>
            <w:r>
              <w:t>0.50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中共昌黎县委网络安全和信息化委员会办公室本级2025年单位预算信息公开情况说明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按照《中华人民共和国预算法》、《地方预决算公开操作规程》和《关于进一步推进预算公开工作的实施意见》规定，现将中共昌黎县委网络安全和信息化委员会办公室本级2025年单位预算公开如下：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涉密</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中共昌黎县委网络安全和信息化委员会办公室本级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2025年预算收入151.30万元，其中：一般公共预算收入151.30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共昌黎县委网络安全和信息化委员会办公室本级年度单位预算中支出预算的总体情况。2025年支出预算151.30万元，其中基本支出121.30万元，包括人员经费113.66万元和日常公用经费7.64万元；项目支出30.00万元，主要为网络宣传管理经费15万元、网络安全和信息化经费15万元。</w:t>
      </w:r>
    </w:p>
    <w:p>
      <w:pPr>
        <w:pStyle w:val="26"/>
      </w:pPr>
      <w:r>
        <w:t>3.</w:t>
      </w:r>
      <w:bookmarkStart w:id="1" w:name="_GoBack"/>
      <w:bookmarkEnd w:id="1"/>
      <w:r>
        <w:t>比上年增减情况</w:t>
      </w:r>
    </w:p>
    <w:p>
      <w:pPr>
        <w:pStyle w:val="26"/>
      </w:pPr>
      <w:r>
        <w:t>2025年预算收支安排151.30万元，较2024年预算增加37.70万元，其中：基本支出增加12.70万元，主要为新调入1名公务员，保险、公积金调整缴费基数，调资，导致人员经费和公用经费增加。项目支出增加25.00万元，主要为根据工作实际，列入2025年年初预算安排。</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2025年，我单位机关运行经费共计安排7.64万元，主要用于办公费、工会经费、党组织活动经费、公务交通补贴等日常运行支出。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2025年，我单位财政拨款“三公”经费预算安排0.50万元，其中因公出国（境）费0.00万元；公务用车购置及运维费0.00万元（其中：公务用车购置费为0.00万元，公务用车运维费0.00万元)；公务接待费0.50万元。与2024年相比减少0.30万元，增减变化的主要原因是落实过紧日子要求，从严控制一般性支出，2025年年初减少公务接待预算安排。</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1.网络安全和信息化经费绩效目标表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13032225P00232410001N</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网络安全和信息化经费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共计15万元，其中财政资金15万元，其他资金0万元。主要用于网络安全监测技术服务费10万元，网络安全检查技术服务费5万元。</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70%</w:t>
            </w:r>
          </w:p>
        </w:tc>
        <w:tc>
          <w:tcPr>
            <w:tcW w:w="2551" w:type="dxa"/>
            <w:tcBorders>
              <w:top w:val="single" w:sz="6" w:space="0" w:color="auto"/>
              <w:left w:val="single" w:sz="6" w:space="0" w:color="auto"/>
              <w:right w:val="single" w:sz="6" w:space="0" w:color="auto"/>
            </w:tcBorders>
            <w:vAlign w:val="center"/>
          </w:tcPr>
          <w:p>
            <w:pPr>
              <w:pStyle w:val="21"/>
            </w:pPr>
            <w:r>
              <w:t>100%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1.开展县级网络安全监测平台建设和网络安全检查，有效监测发现网络安全风险漏洞隐患并及时处置，筑牢网络安全屏障。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网络安全监测对象数量</w:t>
            </w:r>
          </w:p>
        </w:tc>
        <w:tc>
          <w:tcPr>
            <w:tcW w:w="5386" w:type="dxa"/>
            <w:tcBorders>
              <w:top w:val="single" w:sz="6" w:space="0" w:color="auto"/>
              <w:left w:val="single" w:sz="6" w:space="0" w:color="auto"/>
              <w:right w:val="single" w:sz="6" w:space="0" w:color="auto"/>
            </w:tcBorders>
            <w:vAlign w:val="center"/>
          </w:tcPr>
          <w:p>
            <w:pPr>
              <w:pStyle w:val="20"/>
            </w:pPr>
            <w:r>
              <w:t>加强网络安全监测，及时处置网络安全风险漏洞隐患</w:t>
            </w:r>
          </w:p>
        </w:tc>
        <w:tc>
          <w:tcPr>
            <w:tcW w:w="2268" w:type="dxa"/>
            <w:tcBorders>
              <w:top w:val="single" w:sz="6" w:space="0" w:color="auto"/>
              <w:left w:val="single" w:sz="6" w:space="0" w:color="auto"/>
              <w:right w:val="single" w:sz="6" w:space="0" w:color="auto"/>
            </w:tcBorders>
            <w:vAlign w:val="center"/>
          </w:tcPr>
          <w:p>
            <w:pPr>
              <w:pStyle w:val="20"/>
            </w:pPr>
            <w:r>
              <w:t>≥29个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网络安全风险漏洞隐患处置率</w:t>
            </w:r>
          </w:p>
        </w:tc>
        <w:tc>
          <w:tcPr>
            <w:tcW w:w="5386" w:type="dxa"/>
            <w:tcBorders>
              <w:top w:val="single" w:sz="6" w:space="0" w:color="auto"/>
              <w:left w:val="single" w:sz="6" w:space="0" w:color="auto"/>
              <w:right w:val="single" w:sz="6" w:space="0" w:color="auto"/>
            </w:tcBorders>
            <w:vAlign w:val="center"/>
          </w:tcPr>
          <w:p>
            <w:pPr>
              <w:pStyle w:val="20"/>
            </w:pPr>
            <w:r>
              <w:t>网络安全风险漏洞隐患处置率=网络安全风险漏洞隐患发生数量/网络安全风险漏洞隐患处置数量</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工作及时完成率</w:t>
            </w:r>
          </w:p>
        </w:tc>
        <w:tc>
          <w:tcPr>
            <w:tcW w:w="5386" w:type="dxa"/>
            <w:tcBorders>
              <w:top w:val="single" w:sz="6" w:space="0" w:color="auto"/>
              <w:left w:val="single" w:sz="6" w:space="0" w:color="auto"/>
              <w:right w:val="single" w:sz="6" w:space="0" w:color="auto"/>
            </w:tcBorders>
            <w:vAlign w:val="center"/>
          </w:tcPr>
          <w:p>
            <w:pPr>
              <w:pStyle w:val="20"/>
            </w:pPr>
            <w:r>
              <w:t>工作完成进度/年度工作计划</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项目实施成本</w:t>
            </w:r>
          </w:p>
        </w:tc>
        <w:tc>
          <w:tcPr>
            <w:tcW w:w="5386" w:type="dxa"/>
            <w:tcBorders>
              <w:top w:val="single" w:sz="6" w:space="0" w:color="auto"/>
              <w:left w:val="single" w:sz="6" w:space="0" w:color="auto"/>
              <w:right w:val="single" w:sz="6" w:space="0" w:color="auto"/>
            </w:tcBorders>
            <w:vAlign w:val="center"/>
          </w:tcPr>
          <w:p>
            <w:pPr>
              <w:pStyle w:val="20"/>
            </w:pPr>
            <w:r>
              <w:t>实际发生的业务支出总成本</w:t>
            </w:r>
          </w:p>
        </w:tc>
        <w:tc>
          <w:tcPr>
            <w:tcW w:w="2268" w:type="dxa"/>
            <w:tcBorders>
              <w:top w:val="single" w:sz="6" w:space="0" w:color="auto"/>
              <w:left w:val="single" w:sz="6" w:space="0" w:color="auto"/>
              <w:right w:val="single" w:sz="6" w:space="0" w:color="auto"/>
            </w:tcBorders>
            <w:vAlign w:val="center"/>
          </w:tcPr>
          <w:p>
            <w:pPr>
              <w:pStyle w:val="20"/>
            </w:pPr>
            <w:r>
              <w:t>≤15万</w:t>
            </w:r>
          </w:p>
        </w:tc>
        <w:tc>
          <w:tcPr>
            <w:tcW w:w="1276" w:type="dxa"/>
            <w:vAlign w:val="center"/>
          </w:tcPr>
          <w:p>
            <w:pPr>
              <w:pStyle w:val="20"/>
            </w:pPr>
            <w:r>
              <w:t>财务凭据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减少信息安全经济损失</w:t>
            </w:r>
          </w:p>
        </w:tc>
        <w:tc>
          <w:tcPr>
            <w:tcW w:w="5386" w:type="dxa"/>
            <w:tcBorders>
              <w:top w:val="single" w:sz="6" w:space="0" w:color="auto"/>
              <w:left w:val="single" w:sz="6" w:space="0" w:color="auto"/>
              <w:right w:val="single" w:sz="6" w:space="0" w:color="auto"/>
            </w:tcBorders>
            <w:vAlign w:val="center"/>
          </w:tcPr>
          <w:p>
            <w:pPr>
              <w:pStyle w:val="20"/>
            </w:pPr>
            <w:r>
              <w:t>提升广大网民依法、文明、安全上网的意识，避免经济损失</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历史依据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提升网络安全防护能力</w:t>
            </w:r>
          </w:p>
        </w:tc>
        <w:tc>
          <w:tcPr>
            <w:tcW w:w="5386" w:type="dxa"/>
            <w:tcBorders>
              <w:top w:val="single" w:sz="6" w:space="0" w:color="auto"/>
              <w:left w:val="single" w:sz="6" w:space="0" w:color="auto"/>
              <w:right w:val="single" w:sz="6" w:space="0" w:color="auto"/>
            </w:tcBorders>
            <w:vAlign w:val="center"/>
          </w:tcPr>
          <w:p>
            <w:pPr>
              <w:pStyle w:val="20"/>
            </w:pPr>
            <w:r>
              <w:t>提升网络安全防护能力，预防网络安全事件</w:t>
            </w:r>
          </w:p>
        </w:tc>
        <w:tc>
          <w:tcPr>
            <w:tcW w:w="2268" w:type="dxa"/>
            <w:tcBorders>
              <w:top w:val="single" w:sz="6" w:space="0" w:color="auto"/>
              <w:left w:val="single" w:sz="6" w:space="0" w:color="auto"/>
              <w:right w:val="single" w:sz="6" w:space="0" w:color="auto"/>
            </w:tcBorders>
            <w:vAlign w:val="center"/>
          </w:tcPr>
          <w:p>
            <w:pPr>
              <w:pStyle w:val="20"/>
            </w:pPr>
            <w:r>
              <w:t>较上年提升</w:t>
            </w:r>
          </w:p>
        </w:tc>
        <w:tc>
          <w:tcPr>
            <w:tcW w:w="1276" w:type="dxa"/>
            <w:vAlign w:val="center"/>
          </w:tcPr>
          <w:p>
            <w:pPr>
              <w:pStyle w:val="20"/>
            </w:pPr>
            <w:r>
              <w:t>历史依据</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通过问卷调查，满意和较满意的人员占全部调研对象的比例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2.网络宣传管理经费绩效目标表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13032225P00211910001C</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网络宣传管理经费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共计15万元，其中财政资金15万元，其他资金0万元。主要用于大数据应用产品/服务经费10万元，办公费1.9万元，差旅费1.1万元，公务接待费0.5万元，其他商品和服务支出1.5万元。</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10%</w:t>
            </w:r>
          </w:p>
        </w:tc>
        <w:tc>
          <w:tcPr>
            <w:tcW w:w="2835" w:type="dxa"/>
            <w:tcBorders>
              <w:top w:val="single" w:sz="6" w:space="0" w:color="auto"/>
              <w:left w:val="single" w:sz="6" w:space="0" w:color="auto"/>
              <w:right w:val="single" w:sz="6" w:space="0" w:color="auto"/>
            </w:tcBorders>
            <w:vAlign w:val="center"/>
          </w:tcPr>
          <w:p>
            <w:pPr>
              <w:pStyle w:val="21"/>
            </w:pPr>
            <w:r>
              <w:t>70%</w:t>
            </w:r>
          </w:p>
        </w:tc>
        <w:tc>
          <w:tcPr>
            <w:tcW w:w="2551" w:type="dxa"/>
            <w:tcBorders>
              <w:top w:val="single" w:sz="6" w:space="0" w:color="auto"/>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1.提高舆情研判能力和信息服务水平，及时化解、妥善处理有关负面舆情。加强网上舆论引导，营造良好网络舆论氛围，发展健康向上网络文化。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舆情监测预警、研判分析数</w:t>
            </w:r>
          </w:p>
        </w:tc>
        <w:tc>
          <w:tcPr>
            <w:tcW w:w="5386" w:type="dxa"/>
            <w:tcBorders>
              <w:top w:val="single" w:sz="6" w:space="0" w:color="auto"/>
              <w:left w:val="single" w:sz="6" w:space="0" w:color="auto"/>
              <w:right w:val="single" w:sz="6" w:space="0" w:color="auto"/>
            </w:tcBorders>
            <w:vAlign w:val="center"/>
          </w:tcPr>
          <w:p>
            <w:pPr>
              <w:pStyle w:val="20"/>
            </w:pPr>
            <w:r>
              <w:t>加强网络安全监测，及时处置网络安全风险漏洞隐患</w:t>
            </w:r>
          </w:p>
        </w:tc>
        <w:tc>
          <w:tcPr>
            <w:tcW w:w="2268" w:type="dxa"/>
            <w:tcBorders>
              <w:top w:val="single" w:sz="6" w:space="0" w:color="auto"/>
              <w:left w:val="single" w:sz="6" w:space="0" w:color="auto"/>
              <w:right w:val="single" w:sz="6" w:space="0" w:color="auto"/>
            </w:tcBorders>
            <w:vAlign w:val="center"/>
          </w:tcPr>
          <w:p>
            <w:pPr>
              <w:pStyle w:val="20"/>
            </w:pPr>
            <w:r>
              <w:t>≥1500条</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网络舆情处置率</w:t>
            </w:r>
          </w:p>
        </w:tc>
        <w:tc>
          <w:tcPr>
            <w:tcW w:w="5386" w:type="dxa"/>
            <w:tcBorders>
              <w:top w:val="single" w:sz="6" w:space="0" w:color="auto"/>
              <w:left w:val="single" w:sz="6" w:space="0" w:color="auto"/>
              <w:right w:val="single" w:sz="6" w:space="0" w:color="auto"/>
            </w:tcBorders>
            <w:vAlign w:val="center"/>
          </w:tcPr>
          <w:p>
            <w:pPr>
              <w:pStyle w:val="20"/>
            </w:pPr>
            <w:r>
              <w:t>网络舆情处置率=已处置的网络舆情数量/应处置的网络舆情数量</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工作及时完成率</w:t>
            </w:r>
          </w:p>
        </w:tc>
        <w:tc>
          <w:tcPr>
            <w:tcW w:w="5386" w:type="dxa"/>
            <w:tcBorders>
              <w:top w:val="single" w:sz="6" w:space="0" w:color="auto"/>
              <w:left w:val="single" w:sz="6" w:space="0" w:color="auto"/>
              <w:right w:val="single" w:sz="6" w:space="0" w:color="auto"/>
            </w:tcBorders>
            <w:vAlign w:val="center"/>
          </w:tcPr>
          <w:p>
            <w:pPr>
              <w:pStyle w:val="20"/>
            </w:pPr>
            <w:r>
              <w:t>工作完成进度/年度工作计划</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项目实施成本</w:t>
            </w:r>
          </w:p>
        </w:tc>
        <w:tc>
          <w:tcPr>
            <w:tcW w:w="5386" w:type="dxa"/>
            <w:tcBorders>
              <w:top w:val="single" w:sz="6" w:space="0" w:color="auto"/>
              <w:left w:val="single" w:sz="6" w:space="0" w:color="auto"/>
              <w:right w:val="single" w:sz="6" w:space="0" w:color="auto"/>
            </w:tcBorders>
            <w:vAlign w:val="center"/>
          </w:tcPr>
          <w:p>
            <w:pPr>
              <w:pStyle w:val="20"/>
            </w:pPr>
            <w:r>
              <w:t>实际发生的业务支出总成本</w:t>
            </w:r>
          </w:p>
        </w:tc>
        <w:tc>
          <w:tcPr>
            <w:tcW w:w="2268" w:type="dxa"/>
            <w:tcBorders>
              <w:top w:val="single" w:sz="6" w:space="0" w:color="auto"/>
              <w:left w:val="single" w:sz="6" w:space="0" w:color="auto"/>
              <w:right w:val="single" w:sz="6" w:space="0" w:color="auto"/>
            </w:tcBorders>
            <w:vAlign w:val="center"/>
          </w:tcPr>
          <w:p>
            <w:pPr>
              <w:pStyle w:val="20"/>
            </w:pPr>
            <w:r>
              <w:t>≤15万元</w:t>
            </w:r>
          </w:p>
        </w:tc>
        <w:tc>
          <w:tcPr>
            <w:tcW w:w="1276" w:type="dxa"/>
            <w:vAlign w:val="center"/>
          </w:tcPr>
          <w:p>
            <w:pPr>
              <w:pStyle w:val="20"/>
            </w:pPr>
            <w:r>
              <w:t>财务凭据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减少信息安全经济损失</w:t>
            </w:r>
          </w:p>
        </w:tc>
        <w:tc>
          <w:tcPr>
            <w:tcW w:w="5386" w:type="dxa"/>
            <w:tcBorders>
              <w:top w:val="single" w:sz="6" w:space="0" w:color="auto"/>
              <w:left w:val="single" w:sz="6" w:space="0" w:color="auto"/>
              <w:right w:val="single" w:sz="6" w:space="0" w:color="auto"/>
            </w:tcBorders>
            <w:vAlign w:val="center"/>
          </w:tcPr>
          <w:p>
            <w:pPr>
              <w:pStyle w:val="20"/>
            </w:pPr>
            <w:r>
              <w:t>提升广大网民依法、文明、安全上网的意识，避免经济损失</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历史依据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提高舆情治理能力</w:t>
            </w:r>
          </w:p>
        </w:tc>
        <w:tc>
          <w:tcPr>
            <w:tcW w:w="5386" w:type="dxa"/>
            <w:tcBorders>
              <w:top w:val="single" w:sz="6" w:space="0" w:color="auto"/>
              <w:left w:val="single" w:sz="6" w:space="0" w:color="auto"/>
              <w:right w:val="single" w:sz="6" w:space="0" w:color="auto"/>
            </w:tcBorders>
            <w:vAlign w:val="center"/>
          </w:tcPr>
          <w:p>
            <w:pPr>
              <w:pStyle w:val="20"/>
            </w:pPr>
            <w:r>
              <w:t>加强政策解读和政务舆情回应，进一步提高政府治理能力</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历史依据</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通过问卷调查，满意和较满意的人员占全部调研对象的比例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224001中共昌黎县委网络安全和信息化委员会办公室本级</w:t>
            </w:r>
          </w:p>
        </w:tc>
        <w:tc>
          <w:tcPr>
            <w:tcW w:w="7712"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中共昌黎县委网络安全和信息化委员会办公室本级上年末固定资产金额为17.60万元（详见下表）。本年度拟购置固定资产总额为0.00万元，已按要求列入政府采购预算，详见政府采购预算表。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224001中共昌黎县委网络安全和信息化委员会办公室本级</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17.60</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51</w:t>
            </w:r>
          </w:p>
        </w:tc>
        <w:tc>
          <w:tcPr>
            <w:tcW w:w="2835" w:type="dxa"/>
            <w:vAlign w:val="center"/>
          </w:tcPr>
          <w:p>
            <w:pPr>
              <w:pStyle w:val="19"/>
            </w:pPr>
            <w:r>
              <w:t>17.60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单位预算支出：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18</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pPr>
      <w:spacing w:before="0" w:after="0"/>
      <w:ind w:firstLine="0"/>
      <w:jc w:val="right"/>
      <w:outlineLvl w:val="9"/>
    </w:pPr>
    <w:rPr>
      <w:rFonts w:ascii="方正小标宋_GBK" w:eastAsia="方正小标宋_GBK" w:cs="方正小标宋_GBK" w:hAnsi="方正小标宋_GBK"/>
      <w:sz w:val="24"/>
      <w:szCs w:val="20"/>
      <w:lang w:val="en-US" w:eastAsia="zh-CN" w:bidi="ar-SA"/>
    </w:rPr>
  </w:style>
  <w:style w:type="paragraph" w:customStyle="1" w:styleId="16">
    <w:name w:val="单元格样式21"/>
    <w:pPr>
      <w:spacing w:before="0" w:after="0"/>
      <w:ind w:firstLine="0"/>
      <w:jc w:val="center"/>
      <w:outlineLvl w:val="9"/>
    </w:pPr>
    <w:rPr>
      <w:rFonts w:ascii="方正小标宋_GBK" w:eastAsia="方正小标宋_GBK" w:cs="方正小标宋_GBK" w:hAnsi="方正小标宋_GBK"/>
      <w:sz w:val="24"/>
      <w:szCs w:val="20"/>
      <w:lang w:val="en-US" w:eastAsia="zh-CN" w:bidi="ar-SA"/>
    </w:rPr>
  </w:style>
  <w:style w:type="paragraph" w:customStyle="1" w:styleId="17">
    <w:name w:val="单元格样式20"/>
    <w:pPr>
      <w:spacing w:before="0" w:after="0"/>
      <w:ind w:firstLine="0"/>
      <w:jc w:val="left"/>
      <w:outlineLvl w:val="9"/>
    </w:pPr>
    <w:rPr>
      <w:rFonts w:ascii="方正小标宋_GBK" w:eastAsia="方正小标宋_GBK" w:cs="方正小标宋_GBK" w:hAnsi="方正小标宋_GBK"/>
      <w:sz w:val="24"/>
      <w:szCs w:val="20"/>
      <w:lang w:val="en-US" w:eastAsia="zh-CN" w:bidi="ar-SA"/>
    </w:rPr>
  </w:style>
  <w:style w:type="paragraph" w:customStyle="1" w:styleId="18">
    <w:name w:val="单元格样式1"/>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19">
    <w:name w:val="单元格样式4"/>
    <w:pPr>
      <w:spacing w:before="0" w:after="0"/>
      <w:ind w:firstLine="0"/>
      <w:jc w:val="right"/>
      <w:outlineLvl w:val="9"/>
    </w:pPr>
    <w:rPr>
      <w:rFonts w:ascii="方正书宋_GBK" w:eastAsia="方正书宋_GBK" w:cs="方正书宋_GBK" w:hAnsi="方正书宋_GBK"/>
      <w:sz w:val="21"/>
      <w:szCs w:val="20"/>
      <w:lang w:val="en-US" w:eastAsia="zh-CN" w:bidi="ar-SA"/>
    </w:rPr>
  </w:style>
  <w:style w:type="paragraph" w:customStyle="1" w:styleId="20">
    <w:name w:val="单元格样式2"/>
    <w:pPr>
      <w:spacing w:before="0" w:after="0"/>
      <w:ind w:firstLine="0"/>
      <w:jc w:val="left"/>
      <w:outlineLvl w:val="9"/>
    </w:pPr>
    <w:rPr>
      <w:rFonts w:ascii="方正书宋_GBK" w:eastAsia="方正书宋_GBK" w:cs="方正书宋_GBK" w:hAnsi="方正书宋_GBK"/>
      <w:sz w:val="21"/>
      <w:szCs w:val="20"/>
      <w:lang w:val="en-US" w:eastAsia="zh-CN" w:bidi="ar-SA"/>
    </w:rPr>
  </w:style>
  <w:style w:type="paragraph" w:customStyle="1" w:styleId="21">
    <w:name w:val="单元格样式3"/>
    <w:pPr>
      <w:spacing w:before="0" w:after="0"/>
      <w:ind w:firstLine="0"/>
      <w:jc w:val="center"/>
      <w:outlineLvl w:val="9"/>
    </w:pPr>
    <w:rPr>
      <w:rFonts w:ascii="方正书宋_GBK" w:eastAsia="方正书宋_GBK" w:cs="方正书宋_GBK" w:hAnsi="方正书宋_GBK"/>
      <w:sz w:val="21"/>
      <w:szCs w:val="20"/>
      <w:lang w:val="en-US" w:eastAsia="zh-CN" w:bidi="ar-SA"/>
    </w:rPr>
  </w:style>
  <w:style w:type="paragraph" w:customStyle="1" w:styleId="22">
    <w:name w:val="单元格样式6"/>
    <w:pPr>
      <w:spacing w:before="0" w:after="0"/>
      <w:ind w:firstLine="0"/>
      <w:jc w:val="center"/>
      <w:outlineLvl w:val="9"/>
    </w:pPr>
    <w:rPr>
      <w:rFonts w:ascii="方正书宋_GBK" w:eastAsia="方正书宋_GBK" w:cs="方正书宋_GBK" w:hAnsi="方正书宋_GBK"/>
      <w:b/>
      <w:sz w:val="21"/>
      <w:szCs w:val="20"/>
      <w:lang w:val="en-US" w:eastAsia="zh-CN" w:bidi="ar-SA"/>
    </w:rPr>
  </w:style>
  <w:style w:type="paragraph" w:customStyle="1" w:styleId="23">
    <w:name w:val="单元格样式7"/>
    <w:pPr>
      <w:spacing w:before="0" w:after="0"/>
      <w:ind w:firstLine="0"/>
      <w:jc w:val="right"/>
      <w:outlineLvl w:val="9"/>
    </w:pPr>
    <w:rPr>
      <w:rFonts w:ascii="方正书宋_GBK" w:eastAsia="方正书宋_GBK" w:cs="方正书宋_GBK" w:hAnsi="方正书宋_GBK"/>
      <w:b/>
      <w:sz w:val="21"/>
      <w:szCs w:val="20"/>
      <w:lang w:val="en-US" w:eastAsia="zh-CN" w:bidi="ar-SA"/>
    </w:rPr>
  </w:style>
  <w:style w:type="paragraph" w:customStyle="1" w:styleId="24">
    <w:name w:val="单元格样式5"/>
    <w:pPr>
      <w:spacing w:before="0" w:after="0"/>
      <w:ind w:firstLine="0"/>
      <w:jc w:val="left"/>
      <w:outlineLvl w:val="9"/>
    </w:pPr>
    <w:rPr>
      <w:rFonts w:ascii="方正书宋_GBK" w:eastAsia="方正书宋_GBK" w:cs="方正书宋_GBK" w:hAnsi="方正书宋_GBK"/>
      <w:b/>
      <w:sz w:val="21"/>
      <w:szCs w:val="20"/>
      <w:lang w:val="en-US" w:eastAsia="zh-CN" w:bidi="ar-SA"/>
    </w:rPr>
  </w:style>
  <w:style w:type="paragraph" w:customStyle="1" w:styleId="25">
    <w:name w:val="插入文本样式-插入单位职责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6">
    <w:name w:val="插入文本样式-插入预算公开单位预算安排的总体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7">
    <w:name w:val="插入文本样式-插入预算公开单位机关运行经费安排情况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8">
    <w:name w:val="插入文本样式-插入预算公开单位财政拨款三公经费预算情况及增减变化原因文件"/>
    <w:pPr>
      <w:spacing w:before="0" w:after="0" w:line="500" w:lineRule="exact"/>
      <w:ind w:firstLine="560"/>
      <w:jc w:val="left"/>
      <w:outlineLvl w:val="9"/>
    </w:pPr>
    <w:rPr>
      <w:rFonts w:ascii="Times New Roman" w:eastAsia="方正仿宋_GBK" w:cs="Times New Roman" w:hAnsi="Times New Roman"/>
      <w:sz w:val="28"/>
      <w:szCs w:val="20"/>
      <w:lang w:val="en-US" w:eastAsia="zh-CN" w:bidi="ar-SA"/>
    </w:rPr>
  </w:style>
  <w:style w:type="paragraph" w:customStyle="1" w:styleId="29">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CEE15DE5-13CD-4344-BE14-978FDED9FEA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108</TotalTime>
  <Application>Yozo_Office27021597764231179</Application>
  <Pages>22</Pages>
  <Words>0</Words>
  <Characters>6949</Characters>
  <Lines>0</Lines>
  <Paragraphs>87</Paragraphs>
  <CharactersWithSpaces>9266</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1</cp:revision>
  <dcterms:created xsi:type="dcterms:W3CDTF">2025-01-19T12:04:50Z</dcterms:created>
  <dcterms:modified xsi:type="dcterms:W3CDTF">2025-01-21T00:56:22Z</dcterms:modified>
</cp:coreProperties>
</file>