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w:t>
      </w:r>
      <w:r>
        <w:fldChar w:fldCharType="end"/>
      </w:r>
      <w:r>
        <w:fldChar w:fldCharType="end"/>
      </w:r>
      <w:r>
        <w:t>4</w:t>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w:t>
      </w:r>
      <w:r>
        <w:fldChar w:fldCharType="end"/>
      </w:r>
      <w:r>
        <w:fldChar w:fldCharType="end"/>
      </w:r>
      <w:r>
        <w:t>4</w:t>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w:t>
      </w:r>
      <w:r>
        <w:fldChar w:fldCharType="end"/>
      </w:r>
      <w:r>
        <w:fldChar w:fldCharType="end"/>
      </w:r>
      <w:r>
        <w:t>5</w:t>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w:t>
      </w:r>
      <w:r>
        <w:fldChar w:fldCharType="end"/>
      </w:r>
      <w:r>
        <w:fldChar w:fldCharType="end"/>
      </w:r>
      <w:r>
        <w:t>5</w:t>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w:t>
      </w:r>
      <w:r>
        <w:fldChar w:fldCharType="end"/>
      </w:r>
      <w:r>
        <w:fldChar w:fldCharType="end"/>
      </w:r>
      <w:r>
        <w:t>6</w:t>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w:t>
      </w:r>
      <w:r>
        <w:fldChar w:fldCharType="end"/>
      </w:r>
      <w:r>
        <w:fldChar w:fldCharType="end"/>
      </w:r>
      <w:r>
        <w:t>9</w:t>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end"/>
      </w:r>
      <w:r>
        <w:t>20</w:t>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w:t>
      </w:r>
      <w:r>
        <w:fldChar w:fldCharType="end"/>
      </w:r>
      <w:r>
        <w:fldChar w:fldCharType="end"/>
      </w:r>
      <w:r>
        <w:t>2</w:t>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w:t>
      </w:r>
      <w:r>
        <w:fldChar w:fldCharType="end"/>
      </w:r>
      <w:r>
        <w:fldChar w:fldCharType="end"/>
      </w:r>
      <w:r>
        <w:t>2</w:t>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w:t>
      </w:r>
      <w:r>
        <w:fldChar w:fldCharType="end"/>
      </w:r>
      <w:r>
        <w:fldChar w:fldCharType="end"/>
      </w:r>
      <w:r>
        <w:t>3</w:t>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w:t>
      </w:r>
      <w:r>
        <w:fldChar w:fldCharType="end"/>
      </w:r>
      <w:r>
        <w:fldChar w:fldCharType="end"/>
      </w:r>
      <w:r>
        <w:t>4</w:t>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151.30</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123.25</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13.53</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7.93</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6.59</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151.30</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151.30</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151.30</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151.30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151.30</w:t>
            </w:r>
          </w:p>
        </w:tc>
        <w:tc>
          <w:tcPr>
            <w:tcW w:w="1134" w:type="dxa"/>
            <w:tcBorders>
              <w:top w:val="single" w:sz="6" w:space="0" w:color="auto"/>
              <w:left w:val="single" w:sz="6" w:space="0" w:color="auto"/>
              <w:right w:val="single" w:sz="6" w:space="0" w:color="auto"/>
            </w:tcBorders>
            <w:vAlign w:val="center"/>
          </w:tcPr>
          <w:p>
            <w:pPr>
              <w:pStyle w:val="23"/>
            </w:pPr>
            <w:r>
              <w:t>151.30</w:t>
            </w:r>
          </w:p>
        </w:tc>
        <w:tc>
          <w:tcPr>
            <w:tcW w:w="1134" w:type="dxa"/>
            <w:tcBorders>
              <w:top w:val="single" w:sz="6" w:space="0" w:color="auto"/>
              <w:left w:val="single" w:sz="6" w:space="0" w:color="auto"/>
              <w:right w:val="single" w:sz="6" w:space="0" w:color="auto"/>
            </w:tcBorders>
            <w:vAlign w:val="center"/>
          </w:tcPr>
          <w:p>
            <w:pPr>
              <w:pStyle w:val="23"/>
            </w:pPr>
            <w:r>
              <w:t>151.30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20137</w:t>
            </w:r>
          </w:p>
        </w:tc>
        <w:tc>
          <w:tcPr>
            <w:tcW w:w="1559" w:type="dxa"/>
            <w:tcBorders>
              <w:top w:val="single" w:sz="6" w:space="0" w:color="auto"/>
              <w:left w:val="single" w:sz="6" w:space="0" w:color="auto"/>
              <w:right w:val="single" w:sz="6" w:space="0" w:color="auto"/>
            </w:tcBorders>
            <w:vAlign w:val="center"/>
          </w:tcPr>
          <w:p>
            <w:pPr>
              <w:pStyle w:val="20"/>
            </w:pPr>
            <w:r>
              <w:t>网信事务</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2013701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57.08</w:t>
            </w:r>
          </w:p>
        </w:tc>
        <w:tc>
          <w:tcPr>
            <w:tcW w:w="1134" w:type="dxa"/>
            <w:tcBorders>
              <w:top w:val="single" w:sz="6" w:space="0" w:color="auto"/>
              <w:left w:val="single" w:sz="6" w:space="0" w:color="auto"/>
              <w:right w:val="single" w:sz="6" w:space="0" w:color="auto"/>
            </w:tcBorders>
            <w:vAlign w:val="center"/>
          </w:tcPr>
          <w:p>
            <w:pPr>
              <w:pStyle w:val="19"/>
            </w:pPr>
            <w:r>
              <w:t>57.08</w:t>
            </w:r>
          </w:p>
        </w:tc>
        <w:tc>
          <w:tcPr>
            <w:tcW w:w="1134" w:type="dxa"/>
            <w:tcBorders>
              <w:top w:val="single" w:sz="6" w:space="0" w:color="auto"/>
              <w:left w:val="single" w:sz="6" w:space="0" w:color="auto"/>
              <w:right w:val="single" w:sz="6" w:space="0" w:color="auto"/>
            </w:tcBorders>
            <w:vAlign w:val="center"/>
          </w:tcPr>
          <w:p>
            <w:pPr>
              <w:pStyle w:val="19"/>
            </w:pPr>
            <w:r>
              <w:t>57.08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2013702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30.00</w:t>
            </w:r>
          </w:p>
        </w:tc>
        <w:tc>
          <w:tcPr>
            <w:tcW w:w="1134" w:type="dxa"/>
            <w:tcBorders>
              <w:top w:val="single" w:sz="6" w:space="0" w:color="auto"/>
              <w:left w:val="single" w:sz="6" w:space="0" w:color="auto"/>
              <w:right w:val="single" w:sz="6" w:space="0" w:color="auto"/>
            </w:tcBorders>
            <w:vAlign w:val="center"/>
          </w:tcPr>
          <w:p>
            <w:pPr>
              <w:pStyle w:val="19"/>
            </w:pPr>
            <w:r>
              <w:t>30.00</w:t>
            </w:r>
          </w:p>
        </w:tc>
        <w:tc>
          <w:tcPr>
            <w:tcW w:w="1134" w:type="dxa"/>
            <w:tcBorders>
              <w:top w:val="single" w:sz="6" w:space="0" w:color="auto"/>
              <w:left w:val="single" w:sz="6" w:space="0" w:color="auto"/>
              <w:right w:val="single" w:sz="6" w:space="0" w:color="auto"/>
            </w:tcBorders>
            <w:vAlign w:val="center"/>
          </w:tcPr>
          <w:p>
            <w:pPr>
              <w:pStyle w:val="19"/>
            </w:pPr>
            <w:r>
              <w:t>30.00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2013750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36.16</w:t>
            </w:r>
          </w:p>
        </w:tc>
        <w:tc>
          <w:tcPr>
            <w:tcW w:w="1134" w:type="dxa"/>
            <w:tcBorders>
              <w:top w:val="single" w:sz="6" w:space="0" w:color="auto"/>
              <w:left w:val="single" w:sz="6" w:space="0" w:color="auto"/>
              <w:right w:val="single" w:sz="6" w:space="0" w:color="auto"/>
            </w:tcBorders>
            <w:vAlign w:val="center"/>
          </w:tcPr>
          <w:p>
            <w:pPr>
              <w:pStyle w:val="19"/>
            </w:pPr>
            <w:r>
              <w:t>36.16</w:t>
            </w:r>
          </w:p>
        </w:tc>
        <w:tc>
          <w:tcPr>
            <w:tcW w:w="1134" w:type="dxa"/>
            <w:tcBorders>
              <w:top w:val="single" w:sz="6" w:space="0" w:color="auto"/>
              <w:left w:val="single" w:sz="6" w:space="0" w:color="auto"/>
              <w:right w:val="single" w:sz="6" w:space="0" w:color="auto"/>
            </w:tcBorders>
            <w:vAlign w:val="center"/>
          </w:tcPr>
          <w:p>
            <w:pPr>
              <w:pStyle w:val="19"/>
            </w:pPr>
            <w:r>
              <w:t>36.16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4.63</w:t>
            </w:r>
          </w:p>
        </w:tc>
        <w:tc>
          <w:tcPr>
            <w:tcW w:w="1134" w:type="dxa"/>
            <w:tcBorders>
              <w:top w:val="single" w:sz="6" w:space="0" w:color="auto"/>
              <w:left w:val="single" w:sz="6" w:space="0" w:color="auto"/>
              <w:right w:val="single" w:sz="6" w:space="0" w:color="auto"/>
            </w:tcBorders>
            <w:vAlign w:val="center"/>
          </w:tcPr>
          <w:p>
            <w:pPr>
              <w:pStyle w:val="19"/>
            </w:pPr>
            <w:r>
              <w:t>4.63</w:t>
            </w:r>
          </w:p>
        </w:tc>
        <w:tc>
          <w:tcPr>
            <w:tcW w:w="1134" w:type="dxa"/>
            <w:tcBorders>
              <w:top w:val="single" w:sz="6" w:space="0" w:color="auto"/>
              <w:left w:val="single" w:sz="6" w:space="0" w:color="auto"/>
              <w:right w:val="single" w:sz="6" w:space="0" w:color="auto"/>
            </w:tcBorders>
            <w:vAlign w:val="center"/>
          </w:tcPr>
          <w:p>
            <w:pPr>
              <w:pStyle w:val="19"/>
            </w:pPr>
            <w:r>
              <w:t>4.63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151.30</w:t>
            </w:r>
          </w:p>
        </w:tc>
        <w:tc>
          <w:tcPr>
            <w:tcW w:w="1361" w:type="dxa"/>
            <w:tcBorders>
              <w:top w:val="single" w:sz="6" w:space="0" w:color="auto"/>
              <w:left w:val="single" w:sz="6" w:space="0" w:color="auto"/>
              <w:right w:val="single" w:sz="6" w:space="0" w:color="auto"/>
            </w:tcBorders>
            <w:vAlign w:val="center"/>
          </w:tcPr>
          <w:p>
            <w:pPr>
              <w:pStyle w:val="23"/>
            </w:pPr>
            <w:r>
              <w:t>121.30</w:t>
            </w:r>
          </w:p>
        </w:tc>
        <w:tc>
          <w:tcPr>
            <w:tcW w:w="1361" w:type="dxa"/>
            <w:tcBorders>
              <w:top w:val="single" w:sz="6" w:space="0" w:color="auto"/>
              <w:left w:val="single" w:sz="6" w:space="0" w:color="auto"/>
              <w:right w:val="single" w:sz="6" w:space="0" w:color="auto"/>
            </w:tcBorders>
            <w:vAlign w:val="center"/>
          </w:tcPr>
          <w:p>
            <w:pPr>
              <w:pStyle w:val="23"/>
            </w:pPr>
            <w:r>
              <w:t>30.00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123.25</w:t>
            </w:r>
          </w:p>
        </w:tc>
        <w:tc>
          <w:tcPr>
            <w:tcW w:w="1361" w:type="dxa"/>
            <w:tcBorders>
              <w:top w:val="single" w:sz="6" w:space="0" w:color="auto"/>
              <w:left w:val="single" w:sz="6" w:space="0" w:color="auto"/>
              <w:right w:val="single" w:sz="6" w:space="0" w:color="auto"/>
            </w:tcBorders>
            <w:vAlign w:val="center"/>
          </w:tcPr>
          <w:p>
            <w:pPr>
              <w:pStyle w:val="19"/>
            </w:pPr>
            <w:r>
              <w:t>93.25</w:t>
            </w: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20137</w:t>
            </w:r>
          </w:p>
        </w:tc>
        <w:tc>
          <w:tcPr>
            <w:tcW w:w="4535" w:type="dxa"/>
            <w:tcBorders>
              <w:top w:val="single" w:sz="6" w:space="0" w:color="auto"/>
              <w:left w:val="single" w:sz="6" w:space="0" w:color="auto"/>
              <w:right w:val="single" w:sz="6" w:space="0" w:color="auto"/>
            </w:tcBorders>
            <w:vAlign w:val="center"/>
          </w:tcPr>
          <w:p>
            <w:pPr>
              <w:pStyle w:val="20"/>
            </w:pPr>
            <w:r>
              <w:t>网信事务</w:t>
            </w:r>
          </w:p>
        </w:tc>
        <w:tc>
          <w:tcPr>
            <w:tcW w:w="1361" w:type="dxa"/>
            <w:tcBorders>
              <w:top w:val="single" w:sz="6" w:space="0" w:color="auto"/>
              <w:left w:val="single" w:sz="6" w:space="0" w:color="auto"/>
              <w:right w:val="single" w:sz="6" w:space="0" w:color="auto"/>
            </w:tcBorders>
            <w:vAlign w:val="center"/>
          </w:tcPr>
          <w:p>
            <w:pPr>
              <w:pStyle w:val="19"/>
            </w:pPr>
            <w:r>
              <w:t>123.25</w:t>
            </w:r>
          </w:p>
        </w:tc>
        <w:tc>
          <w:tcPr>
            <w:tcW w:w="1361" w:type="dxa"/>
            <w:tcBorders>
              <w:top w:val="single" w:sz="6" w:space="0" w:color="auto"/>
              <w:left w:val="single" w:sz="6" w:space="0" w:color="auto"/>
              <w:right w:val="single" w:sz="6" w:space="0" w:color="auto"/>
            </w:tcBorders>
            <w:vAlign w:val="center"/>
          </w:tcPr>
          <w:p>
            <w:pPr>
              <w:pStyle w:val="19"/>
            </w:pPr>
            <w:r>
              <w:t>93.25</w:t>
            </w: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2013701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57.08</w:t>
            </w:r>
          </w:p>
        </w:tc>
        <w:tc>
          <w:tcPr>
            <w:tcW w:w="1361" w:type="dxa"/>
            <w:tcBorders>
              <w:top w:val="single" w:sz="6" w:space="0" w:color="auto"/>
              <w:left w:val="single" w:sz="6" w:space="0" w:color="auto"/>
              <w:right w:val="single" w:sz="6" w:space="0" w:color="auto"/>
            </w:tcBorders>
            <w:vAlign w:val="center"/>
          </w:tcPr>
          <w:p>
            <w:pPr>
              <w:pStyle w:val="19"/>
            </w:pPr>
            <w:r>
              <w:t>57.08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2013702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2013750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36.16</w:t>
            </w:r>
          </w:p>
        </w:tc>
        <w:tc>
          <w:tcPr>
            <w:tcW w:w="1361" w:type="dxa"/>
            <w:tcBorders>
              <w:top w:val="single" w:sz="6" w:space="0" w:color="auto"/>
              <w:left w:val="single" w:sz="6" w:space="0" w:color="auto"/>
              <w:right w:val="single" w:sz="6" w:space="0" w:color="auto"/>
            </w:tcBorders>
            <w:vAlign w:val="center"/>
          </w:tcPr>
          <w:p>
            <w:pPr>
              <w:pStyle w:val="19"/>
            </w:pPr>
            <w:r>
              <w:t>36.16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151.30</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123.25</w:t>
            </w:r>
          </w:p>
        </w:tc>
        <w:tc>
          <w:tcPr>
            <w:tcW w:w="1474" w:type="dxa"/>
            <w:tcBorders>
              <w:top w:val="single" w:sz="6" w:space="0" w:color="auto"/>
              <w:left w:val="single" w:sz="6" w:space="0" w:color="auto"/>
              <w:right w:val="single" w:sz="6" w:space="0" w:color="auto"/>
            </w:tcBorders>
            <w:vAlign w:val="center"/>
          </w:tcPr>
          <w:p>
            <w:pPr>
              <w:pStyle w:val="19"/>
            </w:pPr>
            <w:r>
              <w:t>123.25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13.53</w:t>
            </w:r>
          </w:p>
        </w:tc>
        <w:tc>
          <w:tcPr>
            <w:tcW w:w="1474" w:type="dxa"/>
            <w:tcBorders>
              <w:top w:val="single" w:sz="6" w:space="0" w:color="auto"/>
              <w:left w:val="single" w:sz="6" w:space="0" w:color="auto"/>
              <w:right w:val="single" w:sz="6" w:space="0" w:color="auto"/>
            </w:tcBorders>
            <w:vAlign w:val="center"/>
          </w:tcPr>
          <w:p>
            <w:pPr>
              <w:pStyle w:val="19"/>
            </w:pPr>
            <w:r>
              <w:t>13.53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7.93</w:t>
            </w:r>
          </w:p>
        </w:tc>
        <w:tc>
          <w:tcPr>
            <w:tcW w:w="1474" w:type="dxa"/>
            <w:tcBorders>
              <w:top w:val="single" w:sz="6" w:space="0" w:color="auto"/>
              <w:left w:val="single" w:sz="6" w:space="0" w:color="auto"/>
              <w:right w:val="single" w:sz="6" w:space="0" w:color="auto"/>
            </w:tcBorders>
            <w:vAlign w:val="center"/>
          </w:tcPr>
          <w:p>
            <w:pPr>
              <w:pStyle w:val="19"/>
            </w:pPr>
            <w:r>
              <w:t>7.93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6.59</w:t>
            </w:r>
          </w:p>
        </w:tc>
        <w:tc>
          <w:tcPr>
            <w:tcW w:w="1474" w:type="dxa"/>
            <w:tcBorders>
              <w:top w:val="single" w:sz="6" w:space="0" w:color="auto"/>
              <w:left w:val="single" w:sz="6" w:space="0" w:color="auto"/>
              <w:right w:val="single" w:sz="6" w:space="0" w:color="auto"/>
            </w:tcBorders>
            <w:vAlign w:val="center"/>
          </w:tcPr>
          <w:p>
            <w:pPr>
              <w:pStyle w:val="19"/>
            </w:pPr>
            <w:r>
              <w:t>6.59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151.30</w:t>
            </w:r>
          </w:p>
        </w:tc>
        <w:tc>
          <w:tcPr>
            <w:tcW w:w="2551" w:type="dxa"/>
            <w:tcBorders>
              <w:top w:val="single" w:sz="6" w:space="0" w:color="auto"/>
              <w:left w:val="single" w:sz="6" w:space="0" w:color="auto"/>
              <w:right w:val="single" w:sz="6" w:space="0" w:color="auto"/>
            </w:tcBorders>
            <w:vAlign w:val="center"/>
          </w:tcPr>
          <w:p>
            <w:pPr>
              <w:pStyle w:val="23"/>
            </w:pPr>
            <w:r>
              <w:t>121.30</w:t>
            </w:r>
          </w:p>
        </w:tc>
        <w:tc>
          <w:tcPr>
            <w:tcW w:w="2551" w:type="dxa"/>
            <w:vAlign w:val="center"/>
          </w:tcPr>
          <w:p>
            <w:pPr>
              <w:pStyle w:val="23"/>
            </w:pPr>
            <w:r>
              <w:t>30.00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123.25</w:t>
            </w:r>
          </w:p>
        </w:tc>
        <w:tc>
          <w:tcPr>
            <w:tcW w:w="2551" w:type="dxa"/>
            <w:tcBorders>
              <w:top w:val="single" w:sz="6" w:space="0" w:color="auto"/>
              <w:left w:val="single" w:sz="6" w:space="0" w:color="auto"/>
              <w:right w:val="single" w:sz="6" w:space="0" w:color="auto"/>
            </w:tcBorders>
            <w:vAlign w:val="center"/>
          </w:tcPr>
          <w:p>
            <w:pPr>
              <w:pStyle w:val="19"/>
            </w:pPr>
            <w:r>
              <w:t>93.25</w:t>
            </w:r>
          </w:p>
        </w:tc>
        <w:tc>
          <w:tcPr>
            <w:tcW w:w="2551" w:type="dxa"/>
            <w:vAlign w:val="center"/>
          </w:tcPr>
          <w:p>
            <w:pPr>
              <w:pStyle w:val="19"/>
            </w:pPr>
            <w:r>
              <w:t>30.00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20137</w:t>
            </w:r>
          </w:p>
        </w:tc>
        <w:tc>
          <w:tcPr>
            <w:tcW w:w="4535" w:type="dxa"/>
            <w:tcBorders>
              <w:top w:val="single" w:sz="6" w:space="0" w:color="auto"/>
              <w:left w:val="single" w:sz="6" w:space="0" w:color="auto"/>
              <w:right w:val="single" w:sz="6" w:space="0" w:color="auto"/>
            </w:tcBorders>
            <w:vAlign w:val="center"/>
          </w:tcPr>
          <w:p>
            <w:pPr>
              <w:pStyle w:val="20"/>
            </w:pPr>
            <w:r>
              <w:t>网信事务</w:t>
            </w:r>
          </w:p>
        </w:tc>
        <w:tc>
          <w:tcPr>
            <w:tcW w:w="2551" w:type="dxa"/>
            <w:tcBorders>
              <w:top w:val="single" w:sz="6" w:space="0" w:color="auto"/>
              <w:left w:val="single" w:sz="6" w:space="0" w:color="auto"/>
              <w:right w:val="single" w:sz="6" w:space="0" w:color="auto"/>
            </w:tcBorders>
            <w:vAlign w:val="center"/>
          </w:tcPr>
          <w:p>
            <w:pPr>
              <w:pStyle w:val="19"/>
            </w:pPr>
            <w:r>
              <w:t>123.25</w:t>
            </w:r>
          </w:p>
        </w:tc>
        <w:tc>
          <w:tcPr>
            <w:tcW w:w="2551" w:type="dxa"/>
            <w:tcBorders>
              <w:top w:val="single" w:sz="6" w:space="0" w:color="auto"/>
              <w:left w:val="single" w:sz="6" w:space="0" w:color="auto"/>
              <w:right w:val="single" w:sz="6" w:space="0" w:color="auto"/>
            </w:tcBorders>
            <w:vAlign w:val="center"/>
          </w:tcPr>
          <w:p>
            <w:pPr>
              <w:pStyle w:val="19"/>
            </w:pPr>
            <w:r>
              <w:t>93.25</w:t>
            </w:r>
          </w:p>
        </w:tc>
        <w:tc>
          <w:tcPr>
            <w:tcW w:w="2551" w:type="dxa"/>
            <w:vAlign w:val="center"/>
          </w:tcPr>
          <w:p>
            <w:pPr>
              <w:pStyle w:val="19"/>
            </w:pPr>
            <w:r>
              <w:t>30.00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2013701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57.08</w:t>
            </w:r>
          </w:p>
        </w:tc>
        <w:tc>
          <w:tcPr>
            <w:tcW w:w="2551" w:type="dxa"/>
            <w:tcBorders>
              <w:top w:val="single" w:sz="6" w:space="0" w:color="auto"/>
              <w:left w:val="single" w:sz="6" w:space="0" w:color="auto"/>
              <w:right w:val="single" w:sz="6" w:space="0" w:color="auto"/>
            </w:tcBorders>
            <w:vAlign w:val="center"/>
          </w:tcPr>
          <w:p>
            <w:pPr>
              <w:pStyle w:val="19"/>
            </w:pPr>
            <w:r>
              <w:t>57.08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2013702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30.00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2013750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36.16</w:t>
            </w:r>
          </w:p>
        </w:tc>
        <w:tc>
          <w:tcPr>
            <w:tcW w:w="2551" w:type="dxa"/>
            <w:tcBorders>
              <w:top w:val="single" w:sz="6" w:space="0" w:color="auto"/>
              <w:left w:val="single" w:sz="6" w:space="0" w:color="auto"/>
              <w:right w:val="single" w:sz="6" w:space="0" w:color="auto"/>
            </w:tcBorders>
            <w:vAlign w:val="center"/>
          </w:tcPr>
          <w:p>
            <w:pPr>
              <w:pStyle w:val="19"/>
            </w:pPr>
            <w:r>
              <w:t>36.16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121.30</w:t>
            </w:r>
          </w:p>
        </w:tc>
        <w:tc>
          <w:tcPr>
            <w:tcW w:w="2551" w:type="dxa"/>
            <w:tcBorders>
              <w:top w:val="single" w:sz="6" w:space="0" w:color="auto"/>
              <w:left w:val="single" w:sz="6" w:space="0" w:color="auto"/>
              <w:right w:val="single" w:sz="6" w:space="0" w:color="auto"/>
            </w:tcBorders>
            <w:vAlign w:val="center"/>
          </w:tcPr>
          <w:p>
            <w:pPr>
              <w:pStyle w:val="23"/>
            </w:pPr>
            <w:r>
              <w:t>113.66</w:t>
            </w:r>
          </w:p>
        </w:tc>
        <w:tc>
          <w:tcPr>
            <w:tcW w:w="2551" w:type="dxa"/>
            <w:vAlign w:val="center"/>
          </w:tcPr>
          <w:p>
            <w:pPr>
              <w:pStyle w:val="23"/>
            </w:pPr>
            <w:r>
              <w:t>7.64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113.66</w:t>
            </w:r>
          </w:p>
        </w:tc>
        <w:tc>
          <w:tcPr>
            <w:tcW w:w="2551" w:type="dxa"/>
            <w:tcBorders>
              <w:top w:val="single" w:sz="6" w:space="0" w:color="auto"/>
              <w:left w:val="single" w:sz="6" w:space="0" w:color="auto"/>
              <w:right w:val="single" w:sz="6" w:space="0" w:color="auto"/>
            </w:tcBorders>
            <w:vAlign w:val="center"/>
          </w:tcPr>
          <w:p>
            <w:pPr>
              <w:pStyle w:val="19"/>
            </w:pPr>
            <w:r>
              <w:t>113.66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49.26</w:t>
            </w:r>
          </w:p>
        </w:tc>
        <w:tc>
          <w:tcPr>
            <w:tcW w:w="2551" w:type="dxa"/>
            <w:tcBorders>
              <w:top w:val="single" w:sz="6" w:space="0" w:color="auto"/>
              <w:left w:val="single" w:sz="6" w:space="0" w:color="auto"/>
              <w:right w:val="single" w:sz="6" w:space="0" w:color="auto"/>
            </w:tcBorders>
            <w:vAlign w:val="center"/>
          </w:tcPr>
          <w:p>
            <w:pPr>
              <w:pStyle w:val="19"/>
            </w:pPr>
            <w:r>
              <w:t>49.26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16.19</w:t>
            </w:r>
          </w:p>
        </w:tc>
        <w:tc>
          <w:tcPr>
            <w:tcW w:w="2551" w:type="dxa"/>
            <w:tcBorders>
              <w:top w:val="single" w:sz="6" w:space="0" w:color="auto"/>
              <w:left w:val="single" w:sz="6" w:space="0" w:color="auto"/>
              <w:right w:val="single" w:sz="6" w:space="0" w:color="auto"/>
            </w:tcBorders>
            <w:vAlign w:val="center"/>
          </w:tcPr>
          <w:p>
            <w:pPr>
              <w:pStyle w:val="19"/>
            </w:pPr>
            <w:r>
              <w:t>16.19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7.21</w:t>
            </w:r>
          </w:p>
        </w:tc>
        <w:tc>
          <w:tcPr>
            <w:tcW w:w="2551" w:type="dxa"/>
            <w:tcBorders>
              <w:top w:val="single" w:sz="6" w:space="0" w:color="auto"/>
              <w:left w:val="single" w:sz="6" w:space="0" w:color="auto"/>
              <w:right w:val="single" w:sz="6" w:space="0" w:color="auto"/>
            </w:tcBorders>
            <w:vAlign w:val="center"/>
          </w:tcPr>
          <w:p>
            <w:pPr>
              <w:pStyle w:val="19"/>
            </w:pPr>
            <w:r>
              <w:t>7.21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12.34</w:t>
            </w:r>
          </w:p>
        </w:tc>
        <w:tc>
          <w:tcPr>
            <w:tcW w:w="2551" w:type="dxa"/>
            <w:tcBorders>
              <w:top w:val="single" w:sz="6" w:space="0" w:color="auto"/>
              <w:left w:val="single" w:sz="6" w:space="0" w:color="auto"/>
              <w:right w:val="single" w:sz="6" w:space="0" w:color="auto"/>
            </w:tcBorders>
            <w:vAlign w:val="center"/>
          </w:tcPr>
          <w:p>
            <w:pPr>
              <w:pStyle w:val="19"/>
            </w:pPr>
            <w:r>
              <w:t>12.34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0.61</w:t>
            </w:r>
          </w:p>
        </w:tc>
        <w:tc>
          <w:tcPr>
            <w:tcW w:w="2551" w:type="dxa"/>
            <w:tcBorders>
              <w:top w:val="single" w:sz="6" w:space="0" w:color="auto"/>
              <w:left w:val="single" w:sz="6" w:space="0" w:color="auto"/>
              <w:right w:val="single" w:sz="6" w:space="0" w:color="auto"/>
            </w:tcBorders>
            <w:vAlign w:val="center"/>
          </w:tcPr>
          <w:p>
            <w:pPr>
              <w:pStyle w:val="19"/>
            </w:pPr>
            <w:r>
              <w:t>0.61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7.64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7.64</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1.08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1.08</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4.68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4.68</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0.08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0.08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0.50</w:t>
            </w:r>
          </w:p>
        </w:tc>
        <w:tc>
          <w:tcPr>
            <w:tcW w:w="2381" w:type="dxa"/>
            <w:tcBorders>
              <w:top w:val="single" w:sz="6" w:space="0" w:color="auto"/>
              <w:left w:val="single" w:sz="6" w:space="0" w:color="auto"/>
              <w:right w:val="single" w:sz="6" w:space="0" w:color="auto"/>
            </w:tcBorders>
            <w:vAlign w:val="center"/>
          </w:tcPr>
          <w:p>
            <w:pPr>
              <w:pStyle w:val="23"/>
            </w:pPr>
            <w:r>
              <w:t>0.50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中共昌黎县委网络安全和信息化委员会办公室2025年部门预算信息公开情况说明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中共昌黎县委网络安全和信息化委员会办公室2025年部门预算信息公开情况说明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按照《中华人民共和国预算法》、《地方预决算公开操作规程》和《关于进一步推进预算公开工作的实施意见》规定，现将中共昌黎县委网络安全和信息化委员会办公室2025年部门预算公开如下：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涉密</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中共昌黎县委网络安全和信息化委员会办公室本级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按照预算管理有关规定，目前部门预算的编制实行综合预算管理，即全部收入和支出都反映在预算中。中共昌黎县委网络安全和信息化委员会办公室机关及所属事业单位的收支包含在部门预算中。</w:t>
      </w:r>
    </w:p>
    <w:p>
      <w:pPr>
        <w:pStyle w:val="26"/>
      </w:pPr>
      <w:r>
        <w:t>1.收入说明</w:t>
      </w:r>
    </w:p>
    <w:p>
      <w:pPr>
        <w:pStyle w:val="26"/>
      </w:pPr>
      <w:r>
        <w:t>反映本部门当年全部收入。2025年预算收入151.30万元，其中：一般公共预算收入151.30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共昌黎县委网络安全和信息化委员会办公室年度部门预算中支出预算的总体情况。2025年支出预算151.30万元，其中基本支出121.30万元，包括人员经费113.66万元和日常公用经费7.64万元；项目支出30.00万元，主要为网络宣传管理经费15万元、网络安全和信息化经费15万元。</w:t>
      </w:r>
    </w:p>
    <w:p>
      <w:pPr>
        <w:pStyle w:val="26"/>
      </w:pPr>
      <w:r>
        <w:t>3.比上年增减情况</w:t>
      </w:r>
    </w:p>
    <w:p>
      <w:pPr>
        <w:pStyle w:val="26"/>
      </w:pPr>
      <w:r>
        <w:t>2025年预算收支安排151.30万元，较2024年预算增加37.70万元，其中：基本支出增加12.70万元，主要为新调入1名公务员，保险、公积金调整缴费基数，调资，导致人员经费和公用经费增加。项目支出增加25.00万元，主要为根据工作实际，列入2025年年初预算安排。</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2025年，我部门机关运行经费共计安排7.64万元，主要用于办公费、工会经费、党组织活动经费、公务交通补贴等日常运行支出。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0.50万元，其中因公出国（境）费0.00万元；公务用车购置及运维费0.00万元（其中：公务用车购置费为0.00万元，公务用车运维费0.00万元)；公务接待费0.50万元。与2024年相比减少0.30万元，增减变化的主要原因是落实过紧日子要求，从严控制一般性支出，2025年年初减少公务接待预算安排。</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以习近平新时代中国特色社会主义思想特别是习近平总书记关于网络强国的重要思想为指导，全面贯彻落实党的二十大和二十届二中、三中全会精神、习近平总书记对网络安全和信息化工作的重要指示精神以及全国、全省、全市网络安全和信息化工作会议精神，围绕县委、县政府工作大局，积极谋划、主动作为，全力推进网上宣传引导、舆情监测处置、网络综合治理、网络安全保障、信息化创新驱动等各项工作。2025年度工作目标为，一是营造网络正面舆论强势，官方网宣平台发布信息数量2000条以上，市级及以上网络媒体采稿率达到30%以上；二是强化网络舆情监控处置，舆情监测预警、研判分析数1500条以上，网络舆情处置率达到95%以上；三是提升网络安全防护能力和信息化水平，网络安全监测对象数量达到29个，网络安全风险漏洞隐患处置率达到95%以上，加强信息化工作的研究。</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1.营造网络正面舆论强势</w:t>
      </w:r>
    </w:p>
    <w:p>
      <w:pPr>
        <w:pStyle w:val="30"/>
      </w:pPr>
      <w:r>
        <w:t>绩效目标：充分利用微信、抖音、今日头条等官方网宣平台，做好网络宣传引导工作，凝聚正能量。</w:t>
      </w:r>
    </w:p>
    <w:p>
      <w:pPr>
        <w:pStyle w:val="30"/>
      </w:pPr>
      <w:r>
        <w:t>绩效指标：官方网宣平台发布信息数量2000条以上，市级及以上网络媒体采稿率达到30%以上。</w:t>
      </w:r>
    </w:p>
    <w:p>
      <w:pPr>
        <w:pStyle w:val="30"/>
      </w:pPr>
      <w:r>
        <w:t>2.提升网络综合治理能力</w:t>
      </w:r>
    </w:p>
    <w:p>
      <w:pPr>
        <w:pStyle w:val="30"/>
      </w:pPr>
      <w:r>
        <w:t>绩效目标：提高舆情研判能力和信息服务水平，及时化解、妥善处理有关负面舆情，构建清朗网络环境。</w:t>
      </w:r>
    </w:p>
    <w:p>
      <w:pPr>
        <w:pStyle w:val="30"/>
      </w:pPr>
      <w:r>
        <w:t>绩效指标：舆情监测预警、研判分析数1500条以上，网络舆情处置率达到95%以上。</w:t>
      </w:r>
    </w:p>
    <w:p>
      <w:pPr>
        <w:pStyle w:val="30"/>
      </w:pPr>
      <w:r>
        <w:t>3.筑牢网络安全屏障</w:t>
      </w:r>
    </w:p>
    <w:p>
      <w:pPr>
        <w:pStyle w:val="30"/>
      </w:pPr>
      <w:r>
        <w:t>绩效目标：提高各单位网站、信息系统防入侵、防窃密、防篡改的综合安全防护能力，坚决防止发生重大网络安全事件（事故），切实保障重要网络和信息系统的安全稳定运行。</w:t>
      </w:r>
    </w:p>
    <w:p>
      <w:pPr>
        <w:pStyle w:val="30"/>
      </w:pPr>
      <w:r>
        <w:t>绩效指标：网络安全监测对象数量达到29个，网络安全风险漏洞隐患处置率达到95%以上。</w:t>
      </w:r>
    </w:p>
    <w:p>
      <w:pPr>
        <w:pStyle w:val="30"/>
      </w:pPr>
      <w:r>
        <w:t>4.推动信息化工作惠民利民</w:t>
      </w:r>
    </w:p>
    <w:p>
      <w:pPr>
        <w:pStyle w:val="30"/>
      </w:pPr>
      <w:r>
        <w:t>绩效目标：促进信息化与我县经济社会深度融合，让信息化更好造福全县人民。</w:t>
      </w:r>
    </w:p>
    <w:p>
      <w:pPr>
        <w:pStyle w:val="30"/>
      </w:pPr>
      <w:r>
        <w:t>绩效指标：组织开展信息化项目初审工作；组织开展全民数字素养与技能提升宣传活动，提高人民群众数字素养与技能。</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1.完善制度建设。制定完善《中共昌黎县委网络安全和信息化委员会办公室预算管理制度》《中共昌黎县委网络安全和信息化委员会办公室“三公”</w:t>
      </w:r>
      <w:bookmarkStart w:id="14" w:name="_GoBack"/>
      <w:bookmarkEnd w:id="14"/>
      <w:r>
        <w:t>经费管理办法》等内部制度二十余个，为全年预算绩效目标的实现奠定制度基础。</w:t>
      </w:r>
    </w:p>
    <w:p>
      <w:pPr>
        <w:pStyle w:val="31"/>
      </w:pPr>
      <w:r>
        <w:t>2.加强支出管理。优化支出结构，编细编实预算，尽快启动项目，及时支付资金，并按规定及时下达资金，确保支出进度达标。</w:t>
      </w:r>
    </w:p>
    <w:p>
      <w:pPr>
        <w:pStyle w:val="31"/>
      </w:pPr>
      <w:r>
        <w:t>3.加强绩效运行监控。按要求开展绩效运行监控，发现问题及时采取措施，确保绩效目标如期保质实现。</w:t>
      </w:r>
    </w:p>
    <w:p>
      <w:pPr>
        <w:pStyle w:val="31"/>
      </w:pPr>
      <w:r>
        <w:t>4.做好绩效自评。按要求开展上年度部门预算绩效自评和重点评价工作，对评价中发现的问题及时整改，调整优化支出结构，提高财政资金使用效益。</w:t>
      </w:r>
    </w:p>
    <w:p>
      <w:pPr>
        <w:pStyle w:val="31"/>
      </w:pPr>
      <w:r>
        <w:t>5.规范财务资产管理。完善财务管理制度，严格审批程序，加强固定资产登记、使用和报废处置管理，做到支出合理，物尽其用。</w:t>
      </w:r>
    </w:p>
    <w:p>
      <w:pPr>
        <w:pStyle w:val="31"/>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5" w:name="_Toc_3_3_0000000015"/>
      <w:r>
        <w:rPr>
          <w:rFonts w:ascii="黑体" w:eastAsia="黑体" w:cs="黑体" w:hAnsi="黑体"/>
          <w:color w:val="000000"/>
          <w:sz w:val="32"/>
        </w:rPr>
        <w:t>六、部门主管专项资金预算安排情况及绩效目标</w:t>
      </w:r>
      <w:bookmarkEnd w:id="15"/>
    </w:p>
    <w:p>
      <w:pPr>
        <w:pStyle w:val="31"/>
        <w:sectPr>
          <w:pgSz w:w="16840" w:h="11900" w:orient="landscape"/>
          <w:pgMar w:top="1361" w:right="1020" w:bottom="1134" w:left="1020" w:header="720" w:footer="720" w:gutter="0"/>
          <w:docGrid w:linePitch="326" w:charSpace="0"/>
        </w:sectPr>
      </w:pPr>
      <w:r>
        <w:rPr>
          <w:rFonts w:hAnsi="黑体"/>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1.网络安全和信息化经费绩效目标表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13032225P00232410001N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网络安全和信息化经费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共计15万元，其中财政资金15万元，其他资金0万元。主要用于网络安全监测技术服务费10万元，网络安全检查技术服务费5万元。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70%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1.开展县级网络安全监测平台建设和网络安全检查，有效监测发现网络安全风险漏洞隐患并及时处置，筑牢网络安全屏障。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网络安全监测对象数量</w:t>
            </w:r>
          </w:p>
        </w:tc>
        <w:tc>
          <w:tcPr>
            <w:tcW w:w="5386" w:type="dxa"/>
            <w:tcBorders>
              <w:top w:val="single" w:sz="6" w:space="0" w:color="auto"/>
              <w:left w:val="single" w:sz="6" w:space="0" w:color="auto"/>
              <w:right w:val="single" w:sz="6" w:space="0" w:color="auto"/>
            </w:tcBorders>
            <w:vAlign w:val="center"/>
          </w:tcPr>
          <w:p>
            <w:pPr>
              <w:pStyle w:val="20"/>
            </w:pPr>
            <w:r>
              <w:t>加强网络安全监测，及时处置网络安全风险漏洞隐患</w:t>
            </w:r>
          </w:p>
        </w:tc>
        <w:tc>
          <w:tcPr>
            <w:tcW w:w="2268" w:type="dxa"/>
            <w:tcBorders>
              <w:top w:val="single" w:sz="6" w:space="0" w:color="auto"/>
              <w:left w:val="single" w:sz="6" w:space="0" w:color="auto"/>
              <w:right w:val="single" w:sz="6" w:space="0" w:color="auto"/>
            </w:tcBorders>
            <w:vAlign w:val="center"/>
          </w:tcPr>
          <w:p>
            <w:pPr>
              <w:pStyle w:val="20"/>
            </w:pPr>
            <w:r>
              <w:t>≥29个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网络安全风险漏洞隐患处置率</w:t>
            </w:r>
          </w:p>
        </w:tc>
        <w:tc>
          <w:tcPr>
            <w:tcW w:w="5386" w:type="dxa"/>
            <w:tcBorders>
              <w:top w:val="single" w:sz="6" w:space="0" w:color="auto"/>
              <w:left w:val="single" w:sz="6" w:space="0" w:color="auto"/>
              <w:right w:val="single" w:sz="6" w:space="0" w:color="auto"/>
            </w:tcBorders>
            <w:vAlign w:val="center"/>
          </w:tcPr>
          <w:p>
            <w:pPr>
              <w:pStyle w:val="20"/>
            </w:pPr>
            <w:r>
              <w:t>网络安全风险漏洞隐患处置率=网络安全风险漏洞隐患发生数量/网络安全风险漏洞隐患处置数量</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工作及时完成率</w:t>
            </w:r>
          </w:p>
        </w:tc>
        <w:tc>
          <w:tcPr>
            <w:tcW w:w="5386" w:type="dxa"/>
            <w:tcBorders>
              <w:top w:val="single" w:sz="6" w:space="0" w:color="auto"/>
              <w:left w:val="single" w:sz="6" w:space="0" w:color="auto"/>
              <w:right w:val="single" w:sz="6" w:space="0" w:color="auto"/>
            </w:tcBorders>
            <w:vAlign w:val="center"/>
          </w:tcPr>
          <w:p>
            <w:pPr>
              <w:pStyle w:val="20"/>
            </w:pPr>
            <w:r>
              <w:t>工作完成进度/年度工作计划</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项目实施成本</w:t>
            </w:r>
          </w:p>
        </w:tc>
        <w:tc>
          <w:tcPr>
            <w:tcW w:w="5386" w:type="dxa"/>
            <w:tcBorders>
              <w:top w:val="single" w:sz="6" w:space="0" w:color="auto"/>
              <w:left w:val="single" w:sz="6" w:space="0" w:color="auto"/>
              <w:right w:val="single" w:sz="6" w:space="0" w:color="auto"/>
            </w:tcBorders>
            <w:vAlign w:val="center"/>
          </w:tcPr>
          <w:p>
            <w:pPr>
              <w:pStyle w:val="20"/>
            </w:pPr>
            <w:r>
              <w:t>实际发生的业务支出总成本</w:t>
            </w:r>
          </w:p>
        </w:tc>
        <w:tc>
          <w:tcPr>
            <w:tcW w:w="2268" w:type="dxa"/>
            <w:tcBorders>
              <w:top w:val="single" w:sz="6" w:space="0" w:color="auto"/>
              <w:left w:val="single" w:sz="6" w:space="0" w:color="auto"/>
              <w:right w:val="single" w:sz="6" w:space="0" w:color="auto"/>
            </w:tcBorders>
            <w:vAlign w:val="center"/>
          </w:tcPr>
          <w:p>
            <w:pPr>
              <w:pStyle w:val="20"/>
            </w:pPr>
            <w:r>
              <w:t>≤15万</w:t>
            </w:r>
          </w:p>
        </w:tc>
        <w:tc>
          <w:tcPr>
            <w:tcW w:w="1276" w:type="dxa"/>
            <w:vAlign w:val="center"/>
          </w:tcPr>
          <w:p>
            <w:pPr>
              <w:pStyle w:val="20"/>
            </w:pPr>
            <w:r>
              <w:t>财务凭据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减少信息安全经济损失</w:t>
            </w:r>
          </w:p>
        </w:tc>
        <w:tc>
          <w:tcPr>
            <w:tcW w:w="5386" w:type="dxa"/>
            <w:tcBorders>
              <w:top w:val="single" w:sz="6" w:space="0" w:color="auto"/>
              <w:left w:val="single" w:sz="6" w:space="0" w:color="auto"/>
              <w:right w:val="single" w:sz="6" w:space="0" w:color="auto"/>
            </w:tcBorders>
            <w:vAlign w:val="center"/>
          </w:tcPr>
          <w:p>
            <w:pPr>
              <w:pStyle w:val="20"/>
            </w:pPr>
            <w:r>
              <w:t>提升广大网民依法、文明、安全上网的意识，避免经济损失</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提升网络安全防护能力</w:t>
            </w:r>
          </w:p>
        </w:tc>
        <w:tc>
          <w:tcPr>
            <w:tcW w:w="5386" w:type="dxa"/>
            <w:tcBorders>
              <w:top w:val="single" w:sz="6" w:space="0" w:color="auto"/>
              <w:left w:val="single" w:sz="6" w:space="0" w:color="auto"/>
              <w:right w:val="single" w:sz="6" w:space="0" w:color="auto"/>
            </w:tcBorders>
            <w:vAlign w:val="center"/>
          </w:tcPr>
          <w:p>
            <w:pPr>
              <w:pStyle w:val="20"/>
            </w:pPr>
            <w:r>
              <w:t>提升网络安全防护能力，预防网络安全事件</w:t>
            </w:r>
          </w:p>
        </w:tc>
        <w:tc>
          <w:tcPr>
            <w:tcW w:w="2268" w:type="dxa"/>
            <w:tcBorders>
              <w:top w:val="single" w:sz="6" w:space="0" w:color="auto"/>
              <w:left w:val="single" w:sz="6" w:space="0" w:color="auto"/>
              <w:right w:val="single" w:sz="6" w:space="0" w:color="auto"/>
            </w:tcBorders>
            <w:vAlign w:val="center"/>
          </w:tcPr>
          <w:p>
            <w:pPr>
              <w:pStyle w:val="20"/>
            </w:pPr>
            <w:r>
              <w:t>较上年提升</w:t>
            </w:r>
          </w:p>
        </w:tc>
        <w:tc>
          <w:tcPr>
            <w:tcW w:w="1276" w:type="dxa"/>
            <w:vAlign w:val="center"/>
          </w:tcPr>
          <w:p>
            <w:pPr>
              <w:pStyle w:val="20"/>
            </w:pPr>
            <w:r>
              <w:t>历史依据</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通过问卷调查，满意和较满意的人员占全部调研对象的比例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2.网络宣传管理经费绩效目标表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13032225P00211910001C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网络宣传管理经费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共计15万元，其中财政资金15万元，其他资金0万元。主要用于大数据应用产品/服务经费10万元，办公费1.9万元，差旅费1.1万元，公务接待费0.5万元，其他商品和服务支出1.5万元。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w:t>
            </w:r>
          </w:p>
        </w:tc>
        <w:tc>
          <w:tcPr>
            <w:tcW w:w="2835" w:type="dxa"/>
            <w:tcBorders>
              <w:top w:val="single" w:sz="6" w:space="0" w:color="auto"/>
              <w:left w:val="single" w:sz="6" w:space="0" w:color="auto"/>
              <w:right w:val="single" w:sz="6" w:space="0" w:color="auto"/>
            </w:tcBorders>
            <w:vAlign w:val="center"/>
          </w:tcPr>
          <w:p>
            <w:pPr>
              <w:pStyle w:val="21"/>
            </w:pPr>
            <w:r>
              <w:t>70%</w:t>
            </w:r>
          </w:p>
        </w:tc>
        <w:tc>
          <w:tcPr>
            <w:tcW w:w="2551" w:type="dxa"/>
            <w:tcBorders>
              <w:top w:val="single" w:sz="6" w:space="0" w:color="auto"/>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1.提高舆情研判能力和信息服务水平，及时化解、妥善处理有关负面舆情。加强网上舆论引导，营造良好网络舆论氛围，发展健康向上网络文化。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舆情监测预警、研判分析数</w:t>
            </w:r>
          </w:p>
        </w:tc>
        <w:tc>
          <w:tcPr>
            <w:tcW w:w="5386" w:type="dxa"/>
            <w:tcBorders>
              <w:top w:val="single" w:sz="6" w:space="0" w:color="auto"/>
              <w:left w:val="single" w:sz="6" w:space="0" w:color="auto"/>
              <w:right w:val="single" w:sz="6" w:space="0" w:color="auto"/>
            </w:tcBorders>
            <w:vAlign w:val="center"/>
          </w:tcPr>
          <w:p>
            <w:pPr>
              <w:pStyle w:val="20"/>
            </w:pPr>
            <w:r>
              <w:t>加强网络安全监测，及时处置网络安全风险漏洞隐患</w:t>
            </w:r>
          </w:p>
        </w:tc>
        <w:tc>
          <w:tcPr>
            <w:tcW w:w="2268" w:type="dxa"/>
            <w:tcBorders>
              <w:top w:val="single" w:sz="6" w:space="0" w:color="auto"/>
              <w:left w:val="single" w:sz="6" w:space="0" w:color="auto"/>
              <w:right w:val="single" w:sz="6" w:space="0" w:color="auto"/>
            </w:tcBorders>
            <w:vAlign w:val="center"/>
          </w:tcPr>
          <w:p>
            <w:pPr>
              <w:pStyle w:val="20"/>
            </w:pPr>
            <w:r>
              <w:t>≥1500条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网络舆情处置率</w:t>
            </w:r>
          </w:p>
        </w:tc>
        <w:tc>
          <w:tcPr>
            <w:tcW w:w="5386" w:type="dxa"/>
            <w:tcBorders>
              <w:top w:val="single" w:sz="6" w:space="0" w:color="auto"/>
              <w:left w:val="single" w:sz="6" w:space="0" w:color="auto"/>
              <w:right w:val="single" w:sz="6" w:space="0" w:color="auto"/>
            </w:tcBorders>
            <w:vAlign w:val="center"/>
          </w:tcPr>
          <w:p>
            <w:pPr>
              <w:pStyle w:val="20"/>
            </w:pPr>
            <w:r>
              <w:t>网络舆情处置率=已处置的网络舆情数量/应处置的网络舆情数量</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工作及时完成率</w:t>
            </w:r>
          </w:p>
        </w:tc>
        <w:tc>
          <w:tcPr>
            <w:tcW w:w="5386" w:type="dxa"/>
            <w:tcBorders>
              <w:top w:val="single" w:sz="6" w:space="0" w:color="auto"/>
              <w:left w:val="single" w:sz="6" w:space="0" w:color="auto"/>
              <w:right w:val="single" w:sz="6" w:space="0" w:color="auto"/>
            </w:tcBorders>
            <w:vAlign w:val="center"/>
          </w:tcPr>
          <w:p>
            <w:pPr>
              <w:pStyle w:val="20"/>
            </w:pPr>
            <w:r>
              <w:t>工作完成进度/年度工作计划</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项目实施成本</w:t>
            </w:r>
          </w:p>
        </w:tc>
        <w:tc>
          <w:tcPr>
            <w:tcW w:w="5386" w:type="dxa"/>
            <w:tcBorders>
              <w:top w:val="single" w:sz="6" w:space="0" w:color="auto"/>
              <w:left w:val="single" w:sz="6" w:space="0" w:color="auto"/>
              <w:right w:val="single" w:sz="6" w:space="0" w:color="auto"/>
            </w:tcBorders>
            <w:vAlign w:val="center"/>
          </w:tcPr>
          <w:p>
            <w:pPr>
              <w:pStyle w:val="20"/>
            </w:pPr>
            <w:r>
              <w:t>实际发生的业务支出总成本</w:t>
            </w:r>
          </w:p>
        </w:tc>
        <w:tc>
          <w:tcPr>
            <w:tcW w:w="2268" w:type="dxa"/>
            <w:tcBorders>
              <w:top w:val="single" w:sz="6" w:space="0" w:color="auto"/>
              <w:left w:val="single" w:sz="6" w:space="0" w:color="auto"/>
              <w:right w:val="single" w:sz="6" w:space="0" w:color="auto"/>
            </w:tcBorders>
            <w:vAlign w:val="center"/>
          </w:tcPr>
          <w:p>
            <w:pPr>
              <w:pStyle w:val="20"/>
            </w:pPr>
            <w:r>
              <w:t>≤15万元</w:t>
            </w:r>
          </w:p>
        </w:tc>
        <w:tc>
          <w:tcPr>
            <w:tcW w:w="1276" w:type="dxa"/>
            <w:vAlign w:val="center"/>
          </w:tcPr>
          <w:p>
            <w:pPr>
              <w:pStyle w:val="20"/>
            </w:pPr>
            <w:r>
              <w:t>财务凭据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减少信息安全经济损失</w:t>
            </w:r>
          </w:p>
        </w:tc>
        <w:tc>
          <w:tcPr>
            <w:tcW w:w="5386" w:type="dxa"/>
            <w:tcBorders>
              <w:top w:val="single" w:sz="6" w:space="0" w:color="auto"/>
              <w:left w:val="single" w:sz="6" w:space="0" w:color="auto"/>
              <w:right w:val="single" w:sz="6" w:space="0" w:color="auto"/>
            </w:tcBorders>
            <w:vAlign w:val="center"/>
          </w:tcPr>
          <w:p>
            <w:pPr>
              <w:pStyle w:val="20"/>
            </w:pPr>
            <w:r>
              <w:t>提升广大网民依法、文明、安全上网的意识，避免经济损失</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提高舆情治理能力</w:t>
            </w:r>
          </w:p>
        </w:tc>
        <w:tc>
          <w:tcPr>
            <w:tcW w:w="5386" w:type="dxa"/>
            <w:tcBorders>
              <w:top w:val="single" w:sz="6" w:space="0" w:color="auto"/>
              <w:left w:val="single" w:sz="6" w:space="0" w:color="auto"/>
              <w:right w:val="single" w:sz="6" w:space="0" w:color="auto"/>
            </w:tcBorders>
            <w:vAlign w:val="center"/>
          </w:tcPr>
          <w:p>
            <w:pPr>
              <w:pStyle w:val="20"/>
            </w:pPr>
            <w:r>
              <w:t>加强政策解读和政务舆情回应，进一步提高政府治理能力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历史依据</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通过问卷调查，满意和较满意的人员占全部调研对象的比例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中共昌黎县委网络安全和信息化委员会办公室（含所属单位）上年末固定资产金额为17.60万元（详见下表）。本年度拟购置固定资产总额为0.00万元，已按要求列入政府采购预算，详见政府采购预算表。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224中共昌黎县委网络安全和信息化委员会办公室</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17.60</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51</w:t>
            </w:r>
          </w:p>
        </w:tc>
        <w:tc>
          <w:tcPr>
            <w:tcW w:w="2835" w:type="dxa"/>
            <w:vAlign w:val="center"/>
          </w:tcPr>
          <w:p>
            <w:pPr>
              <w:pStyle w:val="19"/>
            </w:pPr>
            <w:r>
              <w:t>17.60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我部门无其他需要说明的事项。</w:t>
      </w:r>
    </w:p>
    <w:p>
      <w:pPr>
        <w:spacing w:line="500" w:lineRule="exact"/>
        <w:ind w:firstLine="560"/>
        <w:rPr>
          <w:rFonts w:eastAsia="方正仿宋_GBK" w:cs="Times New Roman"/>
          <w:color w:val="000000"/>
          <w:sz w:val="28"/>
        </w:rPr>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3921454-4AEF-47A9-A59F-09E6F33E888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555</TotalTime>
  <Application>Yozo_Office27021597764231179</Application>
  <Pages>26</Pages>
  <Words>0</Words>
  <Characters>9253</Characters>
  <Lines>0</Lines>
  <Paragraphs>135</Paragraphs>
  <CharactersWithSpaces>12338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cp:lastPrinted>2025-01-21T01:43:09Z</cp:lastPrinted>
  <dcterms:created xsi:type="dcterms:W3CDTF">2025-01-19T11:44:48Z</dcterms:created>
  <dcterms:modified xsi:type="dcterms:W3CDTF">2025-01-21T07:33:01Z</dcterms:modified>
</cp:coreProperties>
</file>