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7</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9</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10</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12</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13</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15</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17</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18</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18</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18</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26</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27</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30</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30</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30</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318昌黎县财政局</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2126.90</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r>
              <w:t>1716.37</w:t>
            </w: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r>
              <w:t>12.00</w:t>
            </w: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204.88</w:t>
            </w: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r>
              <w:t>95.56</w:t>
            </w: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r>
              <w:t>24.00</w:t>
            </w: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r>
              <w:t>86.09</w:t>
            </w: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r>
              <w:t>12.00</w:t>
            </w: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2138.90</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2138.90</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2138.90</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2138.90</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318昌黎县财政局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2138.90</w:t>
            </w:r>
          </w:p>
        </w:tc>
        <w:tc>
          <w:tcPr>
            <w:tcW w:w="1134" w:type="dxa"/>
            <w:tcBorders>
              <w:top w:val="single" w:sz="6" w:space="0" w:color="auto"/>
              <w:left w:val="single" w:sz="6" w:space="0" w:color="auto"/>
              <w:right w:val="single" w:sz="6" w:space="0" w:color="auto"/>
            </w:tcBorders>
            <w:vAlign w:val="center"/>
          </w:tcPr>
          <w:p>
            <w:pPr>
              <w:pStyle w:val="23"/>
            </w:pPr>
            <w:r>
              <w:t>2138.90</w:t>
            </w:r>
          </w:p>
        </w:tc>
        <w:tc>
          <w:tcPr>
            <w:tcW w:w="1134" w:type="dxa"/>
            <w:tcBorders>
              <w:top w:val="single" w:sz="6" w:space="0" w:color="auto"/>
              <w:left w:val="single" w:sz="6" w:space="0" w:color="auto"/>
              <w:right w:val="single" w:sz="6" w:space="0" w:color="auto"/>
            </w:tcBorders>
            <w:vAlign w:val="center"/>
          </w:tcPr>
          <w:p>
            <w:pPr>
              <w:pStyle w:val="23"/>
            </w:pPr>
            <w:r>
              <w:t>2138.90</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201</w:t>
            </w:r>
          </w:p>
        </w:tc>
        <w:tc>
          <w:tcPr>
            <w:tcW w:w="1559" w:type="dxa"/>
            <w:tcBorders>
              <w:top w:val="single" w:sz="6" w:space="0" w:color="auto"/>
              <w:left w:val="single" w:sz="6" w:space="0" w:color="auto"/>
              <w:right w:val="single" w:sz="6" w:space="0" w:color="auto"/>
            </w:tcBorders>
            <w:vAlign w:val="center"/>
          </w:tcPr>
          <w:p>
            <w:pPr>
              <w:pStyle w:val="20"/>
            </w:pPr>
            <w:r>
              <w:t>一般公共服务支出</w:t>
            </w:r>
          </w:p>
        </w:tc>
        <w:tc>
          <w:tcPr>
            <w:tcW w:w="1134" w:type="dxa"/>
            <w:tcBorders>
              <w:top w:val="single" w:sz="6" w:space="0" w:color="auto"/>
              <w:left w:val="single" w:sz="6" w:space="0" w:color="auto"/>
              <w:right w:val="single" w:sz="6" w:space="0" w:color="auto"/>
            </w:tcBorders>
            <w:vAlign w:val="center"/>
          </w:tcPr>
          <w:p>
            <w:pPr>
              <w:pStyle w:val="19"/>
            </w:pPr>
            <w:r>
              <w:t>1716.37</w:t>
            </w:r>
          </w:p>
        </w:tc>
        <w:tc>
          <w:tcPr>
            <w:tcW w:w="1134" w:type="dxa"/>
            <w:tcBorders>
              <w:top w:val="single" w:sz="6" w:space="0" w:color="auto"/>
              <w:left w:val="single" w:sz="6" w:space="0" w:color="auto"/>
              <w:right w:val="single" w:sz="6" w:space="0" w:color="auto"/>
            </w:tcBorders>
            <w:vAlign w:val="center"/>
          </w:tcPr>
          <w:p>
            <w:pPr>
              <w:pStyle w:val="19"/>
            </w:pPr>
            <w:r>
              <w:t>1716.37</w:t>
            </w:r>
          </w:p>
        </w:tc>
        <w:tc>
          <w:tcPr>
            <w:tcW w:w="1134" w:type="dxa"/>
            <w:tcBorders>
              <w:top w:val="single" w:sz="6" w:space="0" w:color="auto"/>
              <w:left w:val="single" w:sz="6" w:space="0" w:color="auto"/>
              <w:right w:val="single" w:sz="6" w:space="0" w:color="auto"/>
            </w:tcBorders>
            <w:vAlign w:val="center"/>
          </w:tcPr>
          <w:p>
            <w:pPr>
              <w:pStyle w:val="19"/>
            </w:pPr>
            <w:r>
              <w:t>1716.37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20106</w:t>
            </w:r>
          </w:p>
        </w:tc>
        <w:tc>
          <w:tcPr>
            <w:tcW w:w="1559" w:type="dxa"/>
            <w:tcBorders>
              <w:top w:val="single" w:sz="6" w:space="0" w:color="auto"/>
              <w:left w:val="single" w:sz="6" w:space="0" w:color="auto"/>
              <w:right w:val="single" w:sz="6" w:space="0" w:color="auto"/>
            </w:tcBorders>
            <w:vAlign w:val="center"/>
          </w:tcPr>
          <w:p>
            <w:pPr>
              <w:pStyle w:val="20"/>
            </w:pPr>
            <w:r>
              <w:t>财政事务</w:t>
            </w:r>
          </w:p>
        </w:tc>
        <w:tc>
          <w:tcPr>
            <w:tcW w:w="1134" w:type="dxa"/>
            <w:tcBorders>
              <w:top w:val="single" w:sz="6" w:space="0" w:color="auto"/>
              <w:left w:val="single" w:sz="6" w:space="0" w:color="auto"/>
              <w:right w:val="single" w:sz="6" w:space="0" w:color="auto"/>
            </w:tcBorders>
            <w:vAlign w:val="center"/>
          </w:tcPr>
          <w:p>
            <w:pPr>
              <w:pStyle w:val="19"/>
            </w:pPr>
            <w:r>
              <w:t>1716.37</w:t>
            </w:r>
          </w:p>
        </w:tc>
        <w:tc>
          <w:tcPr>
            <w:tcW w:w="1134" w:type="dxa"/>
            <w:tcBorders>
              <w:top w:val="single" w:sz="6" w:space="0" w:color="auto"/>
              <w:left w:val="single" w:sz="6" w:space="0" w:color="auto"/>
              <w:right w:val="single" w:sz="6" w:space="0" w:color="auto"/>
            </w:tcBorders>
            <w:vAlign w:val="center"/>
          </w:tcPr>
          <w:p>
            <w:pPr>
              <w:pStyle w:val="19"/>
            </w:pPr>
            <w:r>
              <w:t>1716.37</w:t>
            </w:r>
          </w:p>
        </w:tc>
        <w:tc>
          <w:tcPr>
            <w:tcW w:w="1134" w:type="dxa"/>
            <w:tcBorders>
              <w:top w:val="single" w:sz="6" w:space="0" w:color="auto"/>
              <w:left w:val="single" w:sz="6" w:space="0" w:color="auto"/>
              <w:right w:val="single" w:sz="6" w:space="0" w:color="auto"/>
            </w:tcBorders>
            <w:vAlign w:val="center"/>
          </w:tcPr>
          <w:p>
            <w:pPr>
              <w:pStyle w:val="19"/>
            </w:pPr>
            <w:r>
              <w:t>1716.37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2010601</w:t>
            </w:r>
          </w:p>
        </w:tc>
        <w:tc>
          <w:tcPr>
            <w:tcW w:w="1559" w:type="dxa"/>
            <w:tcBorders>
              <w:top w:val="single" w:sz="6" w:space="0" w:color="auto"/>
              <w:left w:val="single" w:sz="6" w:space="0" w:color="auto"/>
              <w:right w:val="single" w:sz="6" w:space="0" w:color="auto"/>
            </w:tcBorders>
            <w:vAlign w:val="center"/>
          </w:tcPr>
          <w:p>
            <w:pPr>
              <w:pStyle w:val="20"/>
            </w:pPr>
            <w:r>
              <w:t>行政运行</w:t>
            </w:r>
          </w:p>
        </w:tc>
        <w:tc>
          <w:tcPr>
            <w:tcW w:w="1134" w:type="dxa"/>
            <w:tcBorders>
              <w:top w:val="single" w:sz="6" w:space="0" w:color="auto"/>
              <w:left w:val="single" w:sz="6" w:space="0" w:color="auto"/>
              <w:right w:val="single" w:sz="6" w:space="0" w:color="auto"/>
            </w:tcBorders>
            <w:vAlign w:val="center"/>
          </w:tcPr>
          <w:p>
            <w:pPr>
              <w:pStyle w:val="19"/>
            </w:pPr>
            <w:r>
              <w:t>581.48</w:t>
            </w:r>
          </w:p>
        </w:tc>
        <w:tc>
          <w:tcPr>
            <w:tcW w:w="1134" w:type="dxa"/>
            <w:tcBorders>
              <w:top w:val="single" w:sz="6" w:space="0" w:color="auto"/>
              <w:left w:val="single" w:sz="6" w:space="0" w:color="auto"/>
              <w:right w:val="single" w:sz="6" w:space="0" w:color="auto"/>
            </w:tcBorders>
            <w:vAlign w:val="center"/>
          </w:tcPr>
          <w:p>
            <w:pPr>
              <w:pStyle w:val="19"/>
            </w:pPr>
            <w:r>
              <w:t>581.48</w:t>
            </w:r>
          </w:p>
        </w:tc>
        <w:tc>
          <w:tcPr>
            <w:tcW w:w="1134" w:type="dxa"/>
            <w:tcBorders>
              <w:top w:val="single" w:sz="6" w:space="0" w:color="auto"/>
              <w:left w:val="single" w:sz="6" w:space="0" w:color="auto"/>
              <w:right w:val="single" w:sz="6" w:space="0" w:color="auto"/>
            </w:tcBorders>
            <w:vAlign w:val="center"/>
          </w:tcPr>
          <w:p>
            <w:pPr>
              <w:pStyle w:val="19"/>
            </w:pPr>
            <w:r>
              <w:t>581.48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2010650</w:t>
            </w:r>
          </w:p>
        </w:tc>
        <w:tc>
          <w:tcPr>
            <w:tcW w:w="1559" w:type="dxa"/>
            <w:tcBorders>
              <w:top w:val="single" w:sz="6" w:space="0" w:color="auto"/>
              <w:left w:val="single" w:sz="6" w:space="0" w:color="auto"/>
              <w:right w:val="single" w:sz="6" w:space="0" w:color="auto"/>
            </w:tcBorders>
            <w:vAlign w:val="center"/>
          </w:tcPr>
          <w:p>
            <w:pPr>
              <w:pStyle w:val="20"/>
            </w:pPr>
            <w:r>
              <w:t>事业运行</w:t>
            </w:r>
          </w:p>
        </w:tc>
        <w:tc>
          <w:tcPr>
            <w:tcW w:w="1134" w:type="dxa"/>
            <w:tcBorders>
              <w:top w:val="single" w:sz="6" w:space="0" w:color="auto"/>
              <w:left w:val="single" w:sz="6" w:space="0" w:color="auto"/>
              <w:right w:val="single" w:sz="6" w:space="0" w:color="auto"/>
            </w:tcBorders>
            <w:vAlign w:val="center"/>
          </w:tcPr>
          <w:p>
            <w:pPr>
              <w:pStyle w:val="19"/>
            </w:pPr>
            <w:r>
              <w:t>1134.88</w:t>
            </w:r>
          </w:p>
        </w:tc>
        <w:tc>
          <w:tcPr>
            <w:tcW w:w="1134" w:type="dxa"/>
            <w:tcBorders>
              <w:top w:val="single" w:sz="6" w:space="0" w:color="auto"/>
              <w:left w:val="single" w:sz="6" w:space="0" w:color="auto"/>
              <w:right w:val="single" w:sz="6" w:space="0" w:color="auto"/>
            </w:tcBorders>
            <w:vAlign w:val="center"/>
          </w:tcPr>
          <w:p>
            <w:pPr>
              <w:pStyle w:val="19"/>
            </w:pPr>
            <w:r>
              <w:t>1134.88</w:t>
            </w:r>
          </w:p>
        </w:tc>
        <w:tc>
          <w:tcPr>
            <w:tcW w:w="1134" w:type="dxa"/>
            <w:tcBorders>
              <w:top w:val="single" w:sz="6" w:space="0" w:color="auto"/>
              <w:left w:val="single" w:sz="6" w:space="0" w:color="auto"/>
              <w:right w:val="single" w:sz="6" w:space="0" w:color="auto"/>
            </w:tcBorders>
            <w:vAlign w:val="center"/>
          </w:tcPr>
          <w:p>
            <w:pPr>
              <w:pStyle w:val="19"/>
            </w:pPr>
            <w:r>
              <w:t>1134.88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208</w:t>
            </w:r>
          </w:p>
        </w:tc>
        <w:tc>
          <w:tcPr>
            <w:tcW w:w="1559" w:type="dxa"/>
            <w:tcBorders>
              <w:top w:val="single" w:sz="6" w:space="0" w:color="auto"/>
              <w:left w:val="single" w:sz="6" w:space="0" w:color="auto"/>
              <w:right w:val="single" w:sz="6" w:space="0" w:color="auto"/>
            </w:tcBorders>
            <w:vAlign w:val="center"/>
          </w:tcPr>
          <w:p>
            <w:pPr>
              <w:pStyle w:val="20"/>
            </w:pPr>
            <w:r>
              <w:t>社会保障和就业支出</w:t>
            </w:r>
          </w:p>
        </w:tc>
        <w:tc>
          <w:tcPr>
            <w:tcW w:w="1134" w:type="dxa"/>
            <w:tcBorders>
              <w:top w:val="single" w:sz="6" w:space="0" w:color="auto"/>
              <w:left w:val="single" w:sz="6" w:space="0" w:color="auto"/>
              <w:right w:val="single" w:sz="6" w:space="0" w:color="auto"/>
            </w:tcBorders>
            <w:vAlign w:val="center"/>
          </w:tcPr>
          <w:p>
            <w:pPr>
              <w:pStyle w:val="19"/>
            </w:pPr>
            <w:r>
              <w:t>204.88</w:t>
            </w:r>
          </w:p>
        </w:tc>
        <w:tc>
          <w:tcPr>
            <w:tcW w:w="1134" w:type="dxa"/>
            <w:tcBorders>
              <w:top w:val="single" w:sz="6" w:space="0" w:color="auto"/>
              <w:left w:val="single" w:sz="6" w:space="0" w:color="auto"/>
              <w:right w:val="single" w:sz="6" w:space="0" w:color="auto"/>
            </w:tcBorders>
            <w:vAlign w:val="center"/>
          </w:tcPr>
          <w:p>
            <w:pPr>
              <w:pStyle w:val="19"/>
            </w:pPr>
            <w:r>
              <w:t>204.88</w:t>
            </w:r>
          </w:p>
        </w:tc>
        <w:tc>
          <w:tcPr>
            <w:tcW w:w="1134" w:type="dxa"/>
            <w:tcBorders>
              <w:top w:val="single" w:sz="6" w:space="0" w:color="auto"/>
              <w:left w:val="single" w:sz="6" w:space="0" w:color="auto"/>
              <w:right w:val="single" w:sz="6" w:space="0" w:color="auto"/>
            </w:tcBorders>
            <w:vAlign w:val="center"/>
          </w:tcPr>
          <w:p>
            <w:pPr>
              <w:pStyle w:val="19"/>
            </w:pPr>
            <w:r>
              <w:t>204.88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1559" w:type="dxa"/>
            <w:tcBorders>
              <w:top w:val="single" w:sz="6" w:space="0" w:color="auto"/>
              <w:left w:val="single" w:sz="6" w:space="0" w:color="auto"/>
              <w:right w:val="single" w:sz="6" w:space="0" w:color="auto"/>
            </w:tcBorders>
            <w:vAlign w:val="center"/>
          </w:tcPr>
          <w:p>
            <w:pPr>
              <w:pStyle w:val="20"/>
            </w:pPr>
            <w:r>
              <w:t>行政事业单位养老支出</w:t>
            </w:r>
          </w:p>
        </w:tc>
        <w:tc>
          <w:tcPr>
            <w:tcW w:w="1134" w:type="dxa"/>
            <w:tcBorders>
              <w:top w:val="single" w:sz="6" w:space="0" w:color="auto"/>
              <w:left w:val="single" w:sz="6" w:space="0" w:color="auto"/>
              <w:right w:val="single" w:sz="6" w:space="0" w:color="auto"/>
            </w:tcBorders>
            <w:vAlign w:val="center"/>
          </w:tcPr>
          <w:p>
            <w:pPr>
              <w:pStyle w:val="19"/>
            </w:pPr>
            <w:r>
              <w:t>204.88</w:t>
            </w:r>
          </w:p>
        </w:tc>
        <w:tc>
          <w:tcPr>
            <w:tcW w:w="1134" w:type="dxa"/>
            <w:tcBorders>
              <w:top w:val="single" w:sz="6" w:space="0" w:color="auto"/>
              <w:left w:val="single" w:sz="6" w:space="0" w:color="auto"/>
              <w:right w:val="single" w:sz="6" w:space="0" w:color="auto"/>
            </w:tcBorders>
            <w:vAlign w:val="center"/>
          </w:tcPr>
          <w:p>
            <w:pPr>
              <w:pStyle w:val="19"/>
            </w:pPr>
            <w:r>
              <w:t>204.88</w:t>
            </w:r>
          </w:p>
        </w:tc>
        <w:tc>
          <w:tcPr>
            <w:tcW w:w="1134" w:type="dxa"/>
            <w:tcBorders>
              <w:top w:val="single" w:sz="6" w:space="0" w:color="auto"/>
              <w:left w:val="single" w:sz="6" w:space="0" w:color="auto"/>
              <w:right w:val="single" w:sz="6" w:space="0" w:color="auto"/>
            </w:tcBorders>
            <w:vAlign w:val="center"/>
          </w:tcPr>
          <w:p>
            <w:pPr>
              <w:pStyle w:val="19"/>
            </w:pPr>
            <w:r>
              <w:t>204.88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1559"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19"/>
            </w:pPr>
            <w:r>
              <w:t>173.50</w:t>
            </w:r>
          </w:p>
        </w:tc>
        <w:tc>
          <w:tcPr>
            <w:tcW w:w="1134" w:type="dxa"/>
            <w:tcBorders>
              <w:top w:val="single" w:sz="6" w:space="0" w:color="auto"/>
              <w:left w:val="single" w:sz="6" w:space="0" w:color="auto"/>
              <w:right w:val="single" w:sz="6" w:space="0" w:color="auto"/>
            </w:tcBorders>
            <w:vAlign w:val="center"/>
          </w:tcPr>
          <w:p>
            <w:pPr>
              <w:pStyle w:val="19"/>
            </w:pPr>
            <w:r>
              <w:t>173.50</w:t>
            </w:r>
          </w:p>
        </w:tc>
        <w:tc>
          <w:tcPr>
            <w:tcW w:w="1134" w:type="dxa"/>
            <w:tcBorders>
              <w:top w:val="single" w:sz="6" w:space="0" w:color="auto"/>
              <w:left w:val="single" w:sz="6" w:space="0" w:color="auto"/>
              <w:right w:val="single" w:sz="6" w:space="0" w:color="auto"/>
            </w:tcBorders>
            <w:vAlign w:val="center"/>
          </w:tcPr>
          <w:p>
            <w:pPr>
              <w:pStyle w:val="19"/>
            </w:pPr>
            <w:r>
              <w:t>173.50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1559"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134" w:type="dxa"/>
            <w:tcBorders>
              <w:top w:val="single" w:sz="6" w:space="0" w:color="auto"/>
              <w:left w:val="single" w:sz="6" w:space="0" w:color="auto"/>
              <w:right w:val="single" w:sz="6" w:space="0" w:color="auto"/>
            </w:tcBorders>
            <w:vAlign w:val="center"/>
          </w:tcPr>
          <w:p>
            <w:pPr>
              <w:pStyle w:val="19"/>
            </w:pPr>
            <w:r>
              <w:t>31.38</w:t>
            </w:r>
          </w:p>
        </w:tc>
        <w:tc>
          <w:tcPr>
            <w:tcW w:w="1134" w:type="dxa"/>
            <w:tcBorders>
              <w:top w:val="single" w:sz="6" w:space="0" w:color="auto"/>
              <w:left w:val="single" w:sz="6" w:space="0" w:color="auto"/>
              <w:right w:val="single" w:sz="6" w:space="0" w:color="auto"/>
            </w:tcBorders>
            <w:vAlign w:val="center"/>
          </w:tcPr>
          <w:p>
            <w:pPr>
              <w:pStyle w:val="19"/>
            </w:pPr>
            <w:r>
              <w:t>31.38</w:t>
            </w:r>
          </w:p>
        </w:tc>
        <w:tc>
          <w:tcPr>
            <w:tcW w:w="1134" w:type="dxa"/>
            <w:tcBorders>
              <w:top w:val="single" w:sz="6" w:space="0" w:color="auto"/>
              <w:left w:val="single" w:sz="6" w:space="0" w:color="auto"/>
              <w:right w:val="single" w:sz="6" w:space="0" w:color="auto"/>
            </w:tcBorders>
            <w:vAlign w:val="center"/>
          </w:tcPr>
          <w:p>
            <w:pPr>
              <w:pStyle w:val="19"/>
            </w:pPr>
            <w:r>
              <w:t>31.38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210</w:t>
            </w:r>
          </w:p>
        </w:tc>
        <w:tc>
          <w:tcPr>
            <w:tcW w:w="1559" w:type="dxa"/>
            <w:tcBorders>
              <w:top w:val="single" w:sz="6" w:space="0" w:color="auto"/>
              <w:left w:val="single" w:sz="6" w:space="0" w:color="auto"/>
              <w:right w:val="single" w:sz="6" w:space="0" w:color="auto"/>
            </w:tcBorders>
            <w:vAlign w:val="center"/>
          </w:tcPr>
          <w:p>
            <w:pPr>
              <w:pStyle w:val="20"/>
            </w:pPr>
            <w:r>
              <w:t>卫生健康支出</w:t>
            </w:r>
          </w:p>
        </w:tc>
        <w:tc>
          <w:tcPr>
            <w:tcW w:w="1134" w:type="dxa"/>
            <w:tcBorders>
              <w:top w:val="single" w:sz="6" w:space="0" w:color="auto"/>
              <w:left w:val="single" w:sz="6" w:space="0" w:color="auto"/>
              <w:right w:val="single" w:sz="6" w:space="0" w:color="auto"/>
            </w:tcBorders>
            <w:vAlign w:val="center"/>
          </w:tcPr>
          <w:p>
            <w:pPr>
              <w:pStyle w:val="19"/>
            </w:pPr>
            <w:r>
              <w:t>95.56</w:t>
            </w:r>
          </w:p>
        </w:tc>
        <w:tc>
          <w:tcPr>
            <w:tcW w:w="1134" w:type="dxa"/>
            <w:tcBorders>
              <w:top w:val="single" w:sz="6" w:space="0" w:color="auto"/>
              <w:left w:val="single" w:sz="6" w:space="0" w:color="auto"/>
              <w:right w:val="single" w:sz="6" w:space="0" w:color="auto"/>
            </w:tcBorders>
            <w:vAlign w:val="center"/>
          </w:tcPr>
          <w:p>
            <w:pPr>
              <w:pStyle w:val="19"/>
            </w:pPr>
            <w:r>
              <w:t>95.56</w:t>
            </w:r>
          </w:p>
        </w:tc>
        <w:tc>
          <w:tcPr>
            <w:tcW w:w="1134" w:type="dxa"/>
            <w:tcBorders>
              <w:top w:val="single" w:sz="6" w:space="0" w:color="auto"/>
              <w:left w:val="single" w:sz="6" w:space="0" w:color="auto"/>
              <w:right w:val="single" w:sz="6" w:space="0" w:color="auto"/>
            </w:tcBorders>
            <w:vAlign w:val="center"/>
          </w:tcPr>
          <w:p>
            <w:pPr>
              <w:pStyle w:val="19"/>
            </w:pPr>
            <w:r>
              <w:t>95.56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1559" w:type="dxa"/>
            <w:tcBorders>
              <w:top w:val="single" w:sz="6" w:space="0" w:color="auto"/>
              <w:left w:val="single" w:sz="6" w:space="0" w:color="auto"/>
              <w:right w:val="single" w:sz="6" w:space="0" w:color="auto"/>
            </w:tcBorders>
            <w:vAlign w:val="center"/>
          </w:tcPr>
          <w:p>
            <w:pPr>
              <w:pStyle w:val="20"/>
            </w:pPr>
            <w:r>
              <w:t>行政事业单位医疗</w:t>
            </w:r>
          </w:p>
        </w:tc>
        <w:tc>
          <w:tcPr>
            <w:tcW w:w="1134" w:type="dxa"/>
            <w:tcBorders>
              <w:top w:val="single" w:sz="6" w:space="0" w:color="auto"/>
              <w:left w:val="single" w:sz="6" w:space="0" w:color="auto"/>
              <w:right w:val="single" w:sz="6" w:space="0" w:color="auto"/>
            </w:tcBorders>
            <w:vAlign w:val="center"/>
          </w:tcPr>
          <w:p>
            <w:pPr>
              <w:pStyle w:val="19"/>
            </w:pPr>
            <w:r>
              <w:t>95.56</w:t>
            </w:r>
          </w:p>
        </w:tc>
        <w:tc>
          <w:tcPr>
            <w:tcW w:w="1134" w:type="dxa"/>
            <w:tcBorders>
              <w:top w:val="single" w:sz="6" w:space="0" w:color="auto"/>
              <w:left w:val="single" w:sz="6" w:space="0" w:color="auto"/>
              <w:right w:val="single" w:sz="6" w:space="0" w:color="auto"/>
            </w:tcBorders>
            <w:vAlign w:val="center"/>
          </w:tcPr>
          <w:p>
            <w:pPr>
              <w:pStyle w:val="19"/>
            </w:pPr>
            <w:r>
              <w:t>95.56</w:t>
            </w:r>
          </w:p>
        </w:tc>
        <w:tc>
          <w:tcPr>
            <w:tcW w:w="1134" w:type="dxa"/>
            <w:tcBorders>
              <w:top w:val="single" w:sz="6" w:space="0" w:color="auto"/>
              <w:left w:val="single" w:sz="6" w:space="0" w:color="auto"/>
              <w:right w:val="single" w:sz="6" w:space="0" w:color="auto"/>
            </w:tcBorders>
            <w:vAlign w:val="center"/>
          </w:tcPr>
          <w:p>
            <w:pPr>
              <w:pStyle w:val="19"/>
            </w:pPr>
            <w:r>
              <w:t>95.56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1559" w:type="dxa"/>
            <w:tcBorders>
              <w:top w:val="single" w:sz="6" w:space="0" w:color="auto"/>
              <w:left w:val="single" w:sz="6" w:space="0" w:color="auto"/>
              <w:right w:val="single" w:sz="6" w:space="0" w:color="auto"/>
            </w:tcBorders>
            <w:vAlign w:val="center"/>
          </w:tcPr>
          <w:p>
            <w:pPr>
              <w:pStyle w:val="20"/>
            </w:pPr>
            <w:r>
              <w:t>行政单位医疗</w:t>
            </w:r>
          </w:p>
        </w:tc>
        <w:tc>
          <w:tcPr>
            <w:tcW w:w="1134" w:type="dxa"/>
            <w:tcBorders>
              <w:top w:val="single" w:sz="6" w:space="0" w:color="auto"/>
              <w:left w:val="single" w:sz="6" w:space="0" w:color="auto"/>
              <w:right w:val="single" w:sz="6" w:space="0" w:color="auto"/>
            </w:tcBorders>
            <w:vAlign w:val="center"/>
          </w:tcPr>
          <w:p>
            <w:pPr>
              <w:pStyle w:val="19"/>
            </w:pPr>
            <w:r>
              <w:t>17.88</w:t>
            </w:r>
          </w:p>
        </w:tc>
        <w:tc>
          <w:tcPr>
            <w:tcW w:w="1134" w:type="dxa"/>
            <w:tcBorders>
              <w:top w:val="single" w:sz="6" w:space="0" w:color="auto"/>
              <w:left w:val="single" w:sz="6" w:space="0" w:color="auto"/>
              <w:right w:val="single" w:sz="6" w:space="0" w:color="auto"/>
            </w:tcBorders>
            <w:vAlign w:val="center"/>
          </w:tcPr>
          <w:p>
            <w:pPr>
              <w:pStyle w:val="19"/>
            </w:pPr>
            <w:r>
              <w:t>17.88</w:t>
            </w:r>
          </w:p>
        </w:tc>
        <w:tc>
          <w:tcPr>
            <w:tcW w:w="1134" w:type="dxa"/>
            <w:tcBorders>
              <w:top w:val="single" w:sz="6" w:space="0" w:color="auto"/>
              <w:left w:val="single" w:sz="6" w:space="0" w:color="auto"/>
              <w:right w:val="single" w:sz="6" w:space="0" w:color="auto"/>
            </w:tcBorders>
            <w:vAlign w:val="center"/>
          </w:tcPr>
          <w:p>
            <w:pPr>
              <w:pStyle w:val="19"/>
            </w:pPr>
            <w:r>
              <w:t>17.88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1559" w:type="dxa"/>
            <w:tcBorders>
              <w:top w:val="single" w:sz="6" w:space="0" w:color="auto"/>
              <w:left w:val="single" w:sz="6" w:space="0" w:color="auto"/>
              <w:right w:val="single" w:sz="6" w:space="0" w:color="auto"/>
            </w:tcBorders>
            <w:vAlign w:val="center"/>
          </w:tcPr>
          <w:p>
            <w:pPr>
              <w:pStyle w:val="20"/>
            </w:pPr>
            <w:r>
              <w:t>事业单位医疗</w:t>
            </w:r>
          </w:p>
        </w:tc>
        <w:tc>
          <w:tcPr>
            <w:tcW w:w="1134" w:type="dxa"/>
            <w:tcBorders>
              <w:top w:val="single" w:sz="6" w:space="0" w:color="auto"/>
              <w:left w:val="single" w:sz="6" w:space="0" w:color="auto"/>
              <w:right w:val="single" w:sz="6" w:space="0" w:color="auto"/>
            </w:tcBorders>
            <w:vAlign w:val="center"/>
          </w:tcPr>
          <w:p>
            <w:pPr>
              <w:pStyle w:val="19"/>
            </w:pPr>
            <w:r>
              <w:t>77.68</w:t>
            </w:r>
          </w:p>
        </w:tc>
        <w:tc>
          <w:tcPr>
            <w:tcW w:w="1134" w:type="dxa"/>
            <w:tcBorders>
              <w:top w:val="single" w:sz="6" w:space="0" w:color="auto"/>
              <w:left w:val="single" w:sz="6" w:space="0" w:color="auto"/>
              <w:right w:val="single" w:sz="6" w:space="0" w:color="auto"/>
            </w:tcBorders>
            <w:vAlign w:val="center"/>
          </w:tcPr>
          <w:p>
            <w:pPr>
              <w:pStyle w:val="19"/>
            </w:pPr>
            <w:r>
              <w:t>77.68</w:t>
            </w:r>
          </w:p>
        </w:tc>
        <w:tc>
          <w:tcPr>
            <w:tcW w:w="1134" w:type="dxa"/>
            <w:tcBorders>
              <w:top w:val="single" w:sz="6" w:space="0" w:color="auto"/>
              <w:left w:val="single" w:sz="6" w:space="0" w:color="auto"/>
              <w:right w:val="single" w:sz="6" w:space="0" w:color="auto"/>
            </w:tcBorders>
            <w:vAlign w:val="center"/>
          </w:tcPr>
          <w:p>
            <w:pPr>
              <w:pStyle w:val="19"/>
            </w:pPr>
            <w:r>
              <w:t>77.68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213</w:t>
            </w:r>
          </w:p>
        </w:tc>
        <w:tc>
          <w:tcPr>
            <w:tcW w:w="1559" w:type="dxa"/>
            <w:tcBorders>
              <w:top w:val="single" w:sz="6" w:space="0" w:color="auto"/>
              <w:left w:val="single" w:sz="6" w:space="0" w:color="auto"/>
              <w:right w:val="single" w:sz="6" w:space="0" w:color="auto"/>
            </w:tcBorders>
            <w:vAlign w:val="center"/>
          </w:tcPr>
          <w:p>
            <w:pPr>
              <w:pStyle w:val="20"/>
            </w:pPr>
            <w:r>
              <w:t>农林水支出</w:t>
            </w:r>
          </w:p>
        </w:tc>
        <w:tc>
          <w:tcPr>
            <w:tcW w:w="1134" w:type="dxa"/>
            <w:tcBorders>
              <w:top w:val="single" w:sz="6" w:space="0" w:color="auto"/>
              <w:left w:val="single" w:sz="6" w:space="0" w:color="auto"/>
              <w:right w:val="single" w:sz="6" w:space="0" w:color="auto"/>
            </w:tcBorders>
            <w:vAlign w:val="center"/>
          </w:tcPr>
          <w:p>
            <w:pPr>
              <w:pStyle w:val="19"/>
            </w:pPr>
            <w:r>
              <w:t>24.00</w:t>
            </w:r>
          </w:p>
        </w:tc>
        <w:tc>
          <w:tcPr>
            <w:tcW w:w="1134" w:type="dxa"/>
            <w:tcBorders>
              <w:top w:val="single" w:sz="6" w:space="0" w:color="auto"/>
              <w:left w:val="single" w:sz="6" w:space="0" w:color="auto"/>
              <w:right w:val="single" w:sz="6" w:space="0" w:color="auto"/>
            </w:tcBorders>
            <w:vAlign w:val="center"/>
          </w:tcPr>
          <w:p>
            <w:pPr>
              <w:pStyle w:val="19"/>
            </w:pPr>
            <w:r>
              <w:t>24.00</w:t>
            </w:r>
          </w:p>
        </w:tc>
        <w:tc>
          <w:tcPr>
            <w:tcW w:w="1134" w:type="dxa"/>
            <w:tcBorders>
              <w:top w:val="single" w:sz="6" w:space="0" w:color="auto"/>
              <w:left w:val="single" w:sz="6" w:space="0" w:color="auto"/>
              <w:right w:val="single" w:sz="6" w:space="0" w:color="auto"/>
            </w:tcBorders>
            <w:vAlign w:val="center"/>
          </w:tcPr>
          <w:p>
            <w:pPr>
              <w:pStyle w:val="19"/>
            </w:pPr>
            <w:r>
              <w:t>24.00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21399</w:t>
            </w:r>
          </w:p>
        </w:tc>
        <w:tc>
          <w:tcPr>
            <w:tcW w:w="1559" w:type="dxa"/>
            <w:tcBorders>
              <w:top w:val="single" w:sz="6" w:space="0" w:color="auto"/>
              <w:left w:val="single" w:sz="6" w:space="0" w:color="auto"/>
              <w:right w:val="single" w:sz="6" w:space="0" w:color="auto"/>
            </w:tcBorders>
            <w:vAlign w:val="center"/>
          </w:tcPr>
          <w:p>
            <w:pPr>
              <w:pStyle w:val="20"/>
            </w:pPr>
            <w:r>
              <w:t>其他农林水支出</w:t>
            </w:r>
          </w:p>
        </w:tc>
        <w:tc>
          <w:tcPr>
            <w:tcW w:w="1134" w:type="dxa"/>
            <w:tcBorders>
              <w:top w:val="single" w:sz="6" w:space="0" w:color="auto"/>
              <w:left w:val="single" w:sz="6" w:space="0" w:color="auto"/>
              <w:right w:val="single" w:sz="6" w:space="0" w:color="auto"/>
            </w:tcBorders>
            <w:vAlign w:val="center"/>
          </w:tcPr>
          <w:p>
            <w:pPr>
              <w:pStyle w:val="19"/>
            </w:pPr>
            <w:r>
              <w:t>24.00</w:t>
            </w:r>
          </w:p>
        </w:tc>
        <w:tc>
          <w:tcPr>
            <w:tcW w:w="1134" w:type="dxa"/>
            <w:tcBorders>
              <w:top w:val="single" w:sz="6" w:space="0" w:color="auto"/>
              <w:left w:val="single" w:sz="6" w:space="0" w:color="auto"/>
              <w:right w:val="single" w:sz="6" w:space="0" w:color="auto"/>
            </w:tcBorders>
            <w:vAlign w:val="center"/>
          </w:tcPr>
          <w:p>
            <w:pPr>
              <w:pStyle w:val="19"/>
            </w:pPr>
            <w:r>
              <w:t>24.00</w:t>
            </w:r>
          </w:p>
        </w:tc>
        <w:tc>
          <w:tcPr>
            <w:tcW w:w="1134" w:type="dxa"/>
            <w:tcBorders>
              <w:top w:val="single" w:sz="6" w:space="0" w:color="auto"/>
              <w:left w:val="single" w:sz="6" w:space="0" w:color="auto"/>
              <w:right w:val="single" w:sz="6" w:space="0" w:color="auto"/>
            </w:tcBorders>
            <w:vAlign w:val="center"/>
          </w:tcPr>
          <w:p>
            <w:pPr>
              <w:pStyle w:val="19"/>
            </w:pPr>
            <w:r>
              <w:t>24.00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2139999</w:t>
            </w:r>
          </w:p>
        </w:tc>
        <w:tc>
          <w:tcPr>
            <w:tcW w:w="1559" w:type="dxa"/>
            <w:tcBorders>
              <w:top w:val="single" w:sz="6" w:space="0" w:color="auto"/>
              <w:left w:val="single" w:sz="6" w:space="0" w:color="auto"/>
              <w:right w:val="single" w:sz="6" w:space="0" w:color="auto"/>
            </w:tcBorders>
            <w:vAlign w:val="center"/>
          </w:tcPr>
          <w:p>
            <w:pPr>
              <w:pStyle w:val="20"/>
            </w:pPr>
            <w:r>
              <w:t>其他农林水支出</w:t>
            </w:r>
          </w:p>
        </w:tc>
        <w:tc>
          <w:tcPr>
            <w:tcW w:w="1134" w:type="dxa"/>
            <w:tcBorders>
              <w:top w:val="single" w:sz="6" w:space="0" w:color="auto"/>
              <w:left w:val="single" w:sz="6" w:space="0" w:color="auto"/>
              <w:right w:val="single" w:sz="6" w:space="0" w:color="auto"/>
            </w:tcBorders>
            <w:vAlign w:val="center"/>
          </w:tcPr>
          <w:p>
            <w:pPr>
              <w:pStyle w:val="19"/>
            </w:pPr>
            <w:r>
              <w:t>24.00</w:t>
            </w:r>
          </w:p>
        </w:tc>
        <w:tc>
          <w:tcPr>
            <w:tcW w:w="1134" w:type="dxa"/>
            <w:tcBorders>
              <w:top w:val="single" w:sz="6" w:space="0" w:color="auto"/>
              <w:left w:val="single" w:sz="6" w:space="0" w:color="auto"/>
              <w:right w:val="single" w:sz="6" w:space="0" w:color="auto"/>
            </w:tcBorders>
            <w:vAlign w:val="center"/>
          </w:tcPr>
          <w:p>
            <w:pPr>
              <w:pStyle w:val="19"/>
            </w:pPr>
            <w:r>
              <w:t>24.00</w:t>
            </w:r>
          </w:p>
        </w:tc>
        <w:tc>
          <w:tcPr>
            <w:tcW w:w="1134" w:type="dxa"/>
            <w:tcBorders>
              <w:top w:val="single" w:sz="6" w:space="0" w:color="auto"/>
              <w:left w:val="single" w:sz="6" w:space="0" w:color="auto"/>
              <w:right w:val="single" w:sz="6" w:space="0" w:color="auto"/>
            </w:tcBorders>
            <w:vAlign w:val="center"/>
          </w:tcPr>
          <w:p>
            <w:pPr>
              <w:pStyle w:val="19"/>
            </w:pPr>
            <w:r>
              <w:t>24.00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221</w:t>
            </w:r>
          </w:p>
        </w:tc>
        <w:tc>
          <w:tcPr>
            <w:tcW w:w="1559" w:type="dxa"/>
            <w:tcBorders>
              <w:top w:val="single" w:sz="6" w:space="0" w:color="auto"/>
              <w:left w:val="single" w:sz="6" w:space="0" w:color="auto"/>
              <w:right w:val="single" w:sz="6" w:space="0" w:color="auto"/>
            </w:tcBorders>
            <w:vAlign w:val="center"/>
          </w:tcPr>
          <w:p>
            <w:pPr>
              <w:pStyle w:val="20"/>
            </w:pPr>
            <w:r>
              <w:t>住房保障支出</w:t>
            </w:r>
          </w:p>
        </w:tc>
        <w:tc>
          <w:tcPr>
            <w:tcW w:w="1134" w:type="dxa"/>
            <w:tcBorders>
              <w:top w:val="single" w:sz="6" w:space="0" w:color="auto"/>
              <w:left w:val="single" w:sz="6" w:space="0" w:color="auto"/>
              <w:right w:val="single" w:sz="6" w:space="0" w:color="auto"/>
            </w:tcBorders>
            <w:vAlign w:val="center"/>
          </w:tcPr>
          <w:p>
            <w:pPr>
              <w:pStyle w:val="19"/>
            </w:pPr>
            <w:r>
              <w:t>86.09</w:t>
            </w:r>
          </w:p>
        </w:tc>
        <w:tc>
          <w:tcPr>
            <w:tcW w:w="1134" w:type="dxa"/>
            <w:tcBorders>
              <w:top w:val="single" w:sz="6" w:space="0" w:color="auto"/>
              <w:left w:val="single" w:sz="6" w:space="0" w:color="auto"/>
              <w:right w:val="single" w:sz="6" w:space="0" w:color="auto"/>
            </w:tcBorders>
            <w:vAlign w:val="center"/>
          </w:tcPr>
          <w:p>
            <w:pPr>
              <w:pStyle w:val="19"/>
            </w:pPr>
            <w:r>
              <w:t>86.09</w:t>
            </w:r>
          </w:p>
        </w:tc>
        <w:tc>
          <w:tcPr>
            <w:tcW w:w="1134" w:type="dxa"/>
            <w:tcBorders>
              <w:top w:val="single" w:sz="6" w:space="0" w:color="auto"/>
              <w:left w:val="single" w:sz="6" w:space="0" w:color="auto"/>
              <w:right w:val="single" w:sz="6" w:space="0" w:color="auto"/>
            </w:tcBorders>
            <w:vAlign w:val="center"/>
          </w:tcPr>
          <w:p>
            <w:pPr>
              <w:pStyle w:val="19"/>
            </w:pPr>
            <w:r>
              <w:t>86.09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1559" w:type="dxa"/>
            <w:tcBorders>
              <w:top w:val="single" w:sz="6" w:space="0" w:color="auto"/>
              <w:left w:val="single" w:sz="6" w:space="0" w:color="auto"/>
              <w:right w:val="single" w:sz="6" w:space="0" w:color="auto"/>
            </w:tcBorders>
            <w:vAlign w:val="center"/>
          </w:tcPr>
          <w:p>
            <w:pPr>
              <w:pStyle w:val="20"/>
            </w:pPr>
            <w:r>
              <w:t>住房改革支出</w:t>
            </w:r>
          </w:p>
        </w:tc>
        <w:tc>
          <w:tcPr>
            <w:tcW w:w="1134" w:type="dxa"/>
            <w:tcBorders>
              <w:top w:val="single" w:sz="6" w:space="0" w:color="auto"/>
              <w:left w:val="single" w:sz="6" w:space="0" w:color="auto"/>
              <w:right w:val="single" w:sz="6" w:space="0" w:color="auto"/>
            </w:tcBorders>
            <w:vAlign w:val="center"/>
          </w:tcPr>
          <w:p>
            <w:pPr>
              <w:pStyle w:val="19"/>
            </w:pPr>
            <w:r>
              <w:t>86.09</w:t>
            </w:r>
          </w:p>
        </w:tc>
        <w:tc>
          <w:tcPr>
            <w:tcW w:w="1134" w:type="dxa"/>
            <w:tcBorders>
              <w:top w:val="single" w:sz="6" w:space="0" w:color="auto"/>
              <w:left w:val="single" w:sz="6" w:space="0" w:color="auto"/>
              <w:right w:val="single" w:sz="6" w:space="0" w:color="auto"/>
            </w:tcBorders>
            <w:vAlign w:val="center"/>
          </w:tcPr>
          <w:p>
            <w:pPr>
              <w:pStyle w:val="19"/>
            </w:pPr>
            <w:r>
              <w:t>86.09</w:t>
            </w:r>
          </w:p>
        </w:tc>
        <w:tc>
          <w:tcPr>
            <w:tcW w:w="1134" w:type="dxa"/>
            <w:tcBorders>
              <w:top w:val="single" w:sz="6" w:space="0" w:color="auto"/>
              <w:left w:val="single" w:sz="6" w:space="0" w:color="auto"/>
              <w:right w:val="single" w:sz="6" w:space="0" w:color="auto"/>
            </w:tcBorders>
            <w:vAlign w:val="center"/>
          </w:tcPr>
          <w:p>
            <w:pPr>
              <w:pStyle w:val="19"/>
            </w:pPr>
            <w:r>
              <w:t>86.09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1559" w:type="dxa"/>
            <w:tcBorders>
              <w:top w:val="single" w:sz="6" w:space="0" w:color="auto"/>
              <w:left w:val="single" w:sz="6" w:space="0" w:color="auto"/>
              <w:right w:val="single" w:sz="6" w:space="0" w:color="auto"/>
            </w:tcBorders>
            <w:vAlign w:val="center"/>
          </w:tcPr>
          <w:p>
            <w:pPr>
              <w:pStyle w:val="20"/>
            </w:pPr>
            <w:r>
              <w:t>住房公积金</w:t>
            </w:r>
          </w:p>
        </w:tc>
        <w:tc>
          <w:tcPr>
            <w:tcW w:w="1134" w:type="dxa"/>
            <w:tcBorders>
              <w:top w:val="single" w:sz="6" w:space="0" w:color="auto"/>
              <w:left w:val="single" w:sz="6" w:space="0" w:color="auto"/>
              <w:right w:val="single" w:sz="6" w:space="0" w:color="auto"/>
            </w:tcBorders>
            <w:vAlign w:val="center"/>
          </w:tcPr>
          <w:p>
            <w:pPr>
              <w:pStyle w:val="19"/>
            </w:pPr>
            <w:r>
              <w:t>86.09</w:t>
            </w:r>
          </w:p>
        </w:tc>
        <w:tc>
          <w:tcPr>
            <w:tcW w:w="1134" w:type="dxa"/>
            <w:tcBorders>
              <w:top w:val="single" w:sz="6" w:space="0" w:color="auto"/>
              <w:left w:val="single" w:sz="6" w:space="0" w:color="auto"/>
              <w:right w:val="single" w:sz="6" w:space="0" w:color="auto"/>
            </w:tcBorders>
            <w:vAlign w:val="center"/>
          </w:tcPr>
          <w:p>
            <w:pPr>
              <w:pStyle w:val="19"/>
            </w:pPr>
            <w:r>
              <w:t>86.09</w:t>
            </w:r>
          </w:p>
        </w:tc>
        <w:tc>
          <w:tcPr>
            <w:tcW w:w="1134" w:type="dxa"/>
            <w:tcBorders>
              <w:top w:val="single" w:sz="6" w:space="0" w:color="auto"/>
              <w:left w:val="single" w:sz="6" w:space="0" w:color="auto"/>
              <w:right w:val="single" w:sz="6" w:space="0" w:color="auto"/>
            </w:tcBorders>
            <w:vAlign w:val="center"/>
          </w:tcPr>
          <w:p>
            <w:pPr>
              <w:pStyle w:val="19"/>
            </w:pPr>
            <w:r>
              <w:t>86.09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top w:val="single" w:sz="6" w:space="0" w:color="auto"/>
              <w:left w:val="single" w:sz="6" w:space="0" w:color="auto"/>
              <w:right w:val="single" w:sz="6" w:space="0" w:color="auto"/>
            </w:tcBorders>
            <w:vAlign w:val="center"/>
          </w:tcPr>
          <w:p>
            <w:pPr>
              <w:pStyle w:val="20"/>
            </w:pPr>
            <w:r>
              <w:t>223</w:t>
            </w:r>
          </w:p>
        </w:tc>
        <w:tc>
          <w:tcPr>
            <w:tcW w:w="1559" w:type="dxa"/>
            <w:tcBorders>
              <w:top w:val="single" w:sz="6" w:space="0" w:color="auto"/>
              <w:left w:val="single" w:sz="6" w:space="0" w:color="auto"/>
              <w:right w:val="single" w:sz="6" w:space="0" w:color="auto"/>
            </w:tcBorders>
            <w:vAlign w:val="center"/>
          </w:tcPr>
          <w:p>
            <w:pPr>
              <w:pStyle w:val="20"/>
            </w:pPr>
            <w:r>
              <w:t>国有资本经营预算支出</w:t>
            </w:r>
          </w:p>
        </w:tc>
        <w:tc>
          <w:tcPr>
            <w:tcW w:w="1134" w:type="dxa"/>
            <w:tcBorders>
              <w:top w:val="single" w:sz="6" w:space="0" w:color="auto"/>
              <w:left w:val="single" w:sz="6" w:space="0" w:color="auto"/>
              <w:right w:val="single" w:sz="6" w:space="0" w:color="auto"/>
            </w:tcBorders>
            <w:vAlign w:val="center"/>
          </w:tcPr>
          <w:p>
            <w:pPr>
              <w:pStyle w:val="19"/>
            </w:pPr>
            <w:r>
              <w:t>12.00</w:t>
            </w:r>
          </w:p>
        </w:tc>
        <w:tc>
          <w:tcPr>
            <w:tcW w:w="1134" w:type="dxa"/>
            <w:tcBorders>
              <w:top w:val="single" w:sz="6" w:space="0" w:color="auto"/>
              <w:left w:val="single" w:sz="6" w:space="0" w:color="auto"/>
              <w:right w:val="single" w:sz="6" w:space="0" w:color="auto"/>
            </w:tcBorders>
            <w:vAlign w:val="center"/>
          </w:tcPr>
          <w:p>
            <w:pPr>
              <w:pStyle w:val="19"/>
            </w:pPr>
            <w:r>
              <w:t>12.00</w:t>
            </w:r>
          </w:p>
        </w:tc>
        <w:tc>
          <w:tcPr>
            <w:tcW w:w="1134" w:type="dxa"/>
            <w:tcBorders>
              <w:top w:val="single" w:sz="6" w:space="0" w:color="auto"/>
              <w:left w:val="single" w:sz="6" w:space="0" w:color="auto"/>
              <w:right w:val="single" w:sz="6" w:space="0" w:color="auto"/>
            </w:tcBorders>
            <w:vAlign w:val="center"/>
          </w:tcPr>
          <w:p>
            <w:pPr>
              <w:pStyle w:val="19"/>
            </w:pPr>
            <w:r>
              <w:t>12.00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top w:val="single" w:sz="6" w:space="0" w:color="auto"/>
              <w:left w:val="single" w:sz="6" w:space="0" w:color="auto"/>
              <w:right w:val="single" w:sz="6" w:space="0" w:color="auto"/>
            </w:tcBorders>
            <w:vAlign w:val="center"/>
          </w:tcPr>
          <w:p>
            <w:pPr>
              <w:pStyle w:val="20"/>
            </w:pPr>
            <w:r>
              <w:t>22301</w:t>
            </w:r>
          </w:p>
        </w:tc>
        <w:tc>
          <w:tcPr>
            <w:tcW w:w="1559" w:type="dxa"/>
            <w:tcBorders>
              <w:top w:val="single" w:sz="6" w:space="0" w:color="auto"/>
              <w:left w:val="single" w:sz="6" w:space="0" w:color="auto"/>
              <w:right w:val="single" w:sz="6" w:space="0" w:color="auto"/>
            </w:tcBorders>
            <w:vAlign w:val="center"/>
          </w:tcPr>
          <w:p>
            <w:pPr>
              <w:pStyle w:val="20"/>
            </w:pPr>
            <w:r>
              <w:t>解决历史遗留问题及改革成本支出</w:t>
            </w:r>
          </w:p>
        </w:tc>
        <w:tc>
          <w:tcPr>
            <w:tcW w:w="1134" w:type="dxa"/>
            <w:tcBorders>
              <w:top w:val="single" w:sz="6" w:space="0" w:color="auto"/>
              <w:left w:val="single" w:sz="6" w:space="0" w:color="auto"/>
              <w:right w:val="single" w:sz="6" w:space="0" w:color="auto"/>
            </w:tcBorders>
            <w:vAlign w:val="center"/>
          </w:tcPr>
          <w:p>
            <w:pPr>
              <w:pStyle w:val="19"/>
            </w:pPr>
            <w:r>
              <w:t>12.00</w:t>
            </w:r>
          </w:p>
        </w:tc>
        <w:tc>
          <w:tcPr>
            <w:tcW w:w="1134" w:type="dxa"/>
            <w:tcBorders>
              <w:top w:val="single" w:sz="6" w:space="0" w:color="auto"/>
              <w:left w:val="single" w:sz="6" w:space="0" w:color="auto"/>
              <w:right w:val="single" w:sz="6" w:space="0" w:color="auto"/>
            </w:tcBorders>
            <w:vAlign w:val="center"/>
          </w:tcPr>
          <w:p>
            <w:pPr>
              <w:pStyle w:val="19"/>
            </w:pPr>
            <w:r>
              <w:t>12.00</w:t>
            </w:r>
          </w:p>
        </w:tc>
        <w:tc>
          <w:tcPr>
            <w:tcW w:w="1134" w:type="dxa"/>
            <w:tcBorders>
              <w:top w:val="single" w:sz="6" w:space="0" w:color="auto"/>
              <w:left w:val="single" w:sz="6" w:space="0" w:color="auto"/>
              <w:right w:val="single" w:sz="6" w:space="0" w:color="auto"/>
            </w:tcBorders>
            <w:vAlign w:val="center"/>
          </w:tcPr>
          <w:p>
            <w:pPr>
              <w:pStyle w:val="19"/>
            </w:pPr>
            <w:r>
              <w:t>12.00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tcBorders>
              <w:top w:val="single" w:sz="6" w:space="0" w:color="auto"/>
              <w:left w:val="single" w:sz="6" w:space="0" w:color="auto"/>
              <w:right w:val="single" w:sz="6" w:space="0" w:color="auto"/>
            </w:tcBorders>
            <w:vAlign w:val="center"/>
          </w:tcPr>
          <w:p>
            <w:pPr>
              <w:pStyle w:val="20"/>
            </w:pPr>
            <w:r>
              <w:t>2230105</w:t>
            </w:r>
          </w:p>
        </w:tc>
        <w:tc>
          <w:tcPr>
            <w:tcW w:w="1559" w:type="dxa"/>
            <w:tcBorders>
              <w:top w:val="single" w:sz="6" w:space="0" w:color="auto"/>
              <w:left w:val="single" w:sz="6" w:space="0" w:color="auto"/>
              <w:right w:val="single" w:sz="6" w:space="0" w:color="auto"/>
            </w:tcBorders>
            <w:vAlign w:val="center"/>
          </w:tcPr>
          <w:p>
            <w:pPr>
              <w:pStyle w:val="20"/>
            </w:pPr>
            <w:r>
              <w:t>国有企业退休人员社会化管理补助支出</w:t>
            </w:r>
          </w:p>
        </w:tc>
        <w:tc>
          <w:tcPr>
            <w:tcW w:w="1134" w:type="dxa"/>
            <w:tcBorders>
              <w:top w:val="single" w:sz="6" w:space="0" w:color="auto"/>
              <w:left w:val="single" w:sz="6" w:space="0" w:color="auto"/>
              <w:right w:val="single" w:sz="6" w:space="0" w:color="auto"/>
            </w:tcBorders>
            <w:vAlign w:val="center"/>
          </w:tcPr>
          <w:p>
            <w:pPr>
              <w:pStyle w:val="19"/>
            </w:pPr>
            <w:r>
              <w:t>12.00</w:t>
            </w:r>
          </w:p>
        </w:tc>
        <w:tc>
          <w:tcPr>
            <w:tcW w:w="1134" w:type="dxa"/>
            <w:tcBorders>
              <w:top w:val="single" w:sz="6" w:space="0" w:color="auto"/>
              <w:left w:val="single" w:sz="6" w:space="0" w:color="auto"/>
              <w:right w:val="single" w:sz="6" w:space="0" w:color="auto"/>
            </w:tcBorders>
            <w:vAlign w:val="center"/>
          </w:tcPr>
          <w:p>
            <w:pPr>
              <w:pStyle w:val="19"/>
            </w:pPr>
            <w:r>
              <w:t>12.00</w:t>
            </w:r>
          </w:p>
        </w:tc>
        <w:tc>
          <w:tcPr>
            <w:tcW w:w="1134" w:type="dxa"/>
            <w:tcBorders>
              <w:top w:val="single" w:sz="6" w:space="0" w:color="auto"/>
              <w:left w:val="single" w:sz="6" w:space="0" w:color="auto"/>
              <w:right w:val="single" w:sz="6" w:space="0" w:color="auto"/>
            </w:tcBorders>
            <w:vAlign w:val="center"/>
          </w:tcPr>
          <w:p>
            <w:pPr>
              <w:pStyle w:val="19"/>
            </w:pPr>
            <w:r>
              <w:t>12.00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318昌黎县财政局</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2138.90</w:t>
            </w:r>
          </w:p>
        </w:tc>
        <w:tc>
          <w:tcPr>
            <w:tcW w:w="1361" w:type="dxa"/>
            <w:tcBorders>
              <w:top w:val="single" w:sz="6" w:space="0" w:color="auto"/>
              <w:left w:val="single" w:sz="6" w:space="0" w:color="auto"/>
              <w:right w:val="single" w:sz="6" w:space="0" w:color="auto"/>
            </w:tcBorders>
            <w:vAlign w:val="center"/>
          </w:tcPr>
          <w:p>
            <w:pPr>
              <w:pStyle w:val="23"/>
            </w:pPr>
            <w:r>
              <w:t>2102.90</w:t>
            </w:r>
          </w:p>
        </w:tc>
        <w:tc>
          <w:tcPr>
            <w:tcW w:w="1361" w:type="dxa"/>
            <w:tcBorders>
              <w:top w:val="single" w:sz="6" w:space="0" w:color="auto"/>
              <w:left w:val="single" w:sz="6" w:space="0" w:color="auto"/>
              <w:right w:val="single" w:sz="6" w:space="0" w:color="auto"/>
            </w:tcBorders>
            <w:vAlign w:val="center"/>
          </w:tcPr>
          <w:p>
            <w:pPr>
              <w:pStyle w:val="23"/>
            </w:pPr>
            <w:r>
              <w:t>36.00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201</w:t>
            </w:r>
          </w:p>
        </w:tc>
        <w:tc>
          <w:tcPr>
            <w:tcW w:w="4535" w:type="dxa"/>
            <w:tcBorders>
              <w:top w:val="single" w:sz="6" w:space="0" w:color="auto"/>
              <w:left w:val="single" w:sz="6" w:space="0" w:color="auto"/>
              <w:right w:val="single" w:sz="6" w:space="0" w:color="auto"/>
            </w:tcBorders>
            <w:vAlign w:val="center"/>
          </w:tcPr>
          <w:p>
            <w:pPr>
              <w:pStyle w:val="20"/>
            </w:pPr>
            <w:r>
              <w:t>一般公共服务支出</w:t>
            </w:r>
          </w:p>
        </w:tc>
        <w:tc>
          <w:tcPr>
            <w:tcW w:w="1361" w:type="dxa"/>
            <w:tcBorders>
              <w:top w:val="single" w:sz="6" w:space="0" w:color="auto"/>
              <w:left w:val="single" w:sz="6" w:space="0" w:color="auto"/>
              <w:right w:val="single" w:sz="6" w:space="0" w:color="auto"/>
            </w:tcBorders>
            <w:vAlign w:val="center"/>
          </w:tcPr>
          <w:p>
            <w:pPr>
              <w:pStyle w:val="19"/>
            </w:pPr>
            <w:r>
              <w:t>1716.37</w:t>
            </w:r>
          </w:p>
        </w:tc>
        <w:tc>
          <w:tcPr>
            <w:tcW w:w="1361" w:type="dxa"/>
            <w:tcBorders>
              <w:top w:val="single" w:sz="6" w:space="0" w:color="auto"/>
              <w:left w:val="single" w:sz="6" w:space="0" w:color="auto"/>
              <w:right w:val="single" w:sz="6" w:space="0" w:color="auto"/>
            </w:tcBorders>
            <w:vAlign w:val="center"/>
          </w:tcPr>
          <w:p>
            <w:pPr>
              <w:pStyle w:val="19"/>
            </w:pPr>
            <w:r>
              <w:t>1716.37</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20106</w:t>
            </w:r>
          </w:p>
        </w:tc>
        <w:tc>
          <w:tcPr>
            <w:tcW w:w="4535" w:type="dxa"/>
            <w:tcBorders>
              <w:top w:val="single" w:sz="6" w:space="0" w:color="auto"/>
              <w:left w:val="single" w:sz="6" w:space="0" w:color="auto"/>
              <w:right w:val="single" w:sz="6" w:space="0" w:color="auto"/>
            </w:tcBorders>
            <w:vAlign w:val="center"/>
          </w:tcPr>
          <w:p>
            <w:pPr>
              <w:pStyle w:val="20"/>
            </w:pPr>
            <w:r>
              <w:t>财政事务</w:t>
            </w:r>
          </w:p>
        </w:tc>
        <w:tc>
          <w:tcPr>
            <w:tcW w:w="1361" w:type="dxa"/>
            <w:tcBorders>
              <w:top w:val="single" w:sz="6" w:space="0" w:color="auto"/>
              <w:left w:val="single" w:sz="6" w:space="0" w:color="auto"/>
              <w:right w:val="single" w:sz="6" w:space="0" w:color="auto"/>
            </w:tcBorders>
            <w:vAlign w:val="center"/>
          </w:tcPr>
          <w:p>
            <w:pPr>
              <w:pStyle w:val="19"/>
            </w:pPr>
            <w:r>
              <w:t>1716.37</w:t>
            </w:r>
          </w:p>
        </w:tc>
        <w:tc>
          <w:tcPr>
            <w:tcW w:w="1361" w:type="dxa"/>
            <w:tcBorders>
              <w:top w:val="single" w:sz="6" w:space="0" w:color="auto"/>
              <w:left w:val="single" w:sz="6" w:space="0" w:color="auto"/>
              <w:right w:val="single" w:sz="6" w:space="0" w:color="auto"/>
            </w:tcBorders>
            <w:vAlign w:val="center"/>
          </w:tcPr>
          <w:p>
            <w:pPr>
              <w:pStyle w:val="19"/>
            </w:pPr>
            <w:r>
              <w:t>1716.37</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2010601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1361" w:type="dxa"/>
            <w:tcBorders>
              <w:top w:val="single" w:sz="6" w:space="0" w:color="auto"/>
              <w:left w:val="single" w:sz="6" w:space="0" w:color="auto"/>
              <w:right w:val="single" w:sz="6" w:space="0" w:color="auto"/>
            </w:tcBorders>
            <w:vAlign w:val="center"/>
          </w:tcPr>
          <w:p>
            <w:pPr>
              <w:pStyle w:val="19"/>
            </w:pPr>
            <w:r>
              <w:t>581.48</w:t>
            </w:r>
          </w:p>
        </w:tc>
        <w:tc>
          <w:tcPr>
            <w:tcW w:w="1361" w:type="dxa"/>
            <w:tcBorders>
              <w:top w:val="single" w:sz="6" w:space="0" w:color="auto"/>
              <w:left w:val="single" w:sz="6" w:space="0" w:color="auto"/>
              <w:right w:val="single" w:sz="6" w:space="0" w:color="auto"/>
            </w:tcBorders>
            <w:vAlign w:val="center"/>
          </w:tcPr>
          <w:p>
            <w:pPr>
              <w:pStyle w:val="19"/>
            </w:pPr>
            <w:r>
              <w:t>581.48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2010650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1361" w:type="dxa"/>
            <w:tcBorders>
              <w:top w:val="single" w:sz="6" w:space="0" w:color="auto"/>
              <w:left w:val="single" w:sz="6" w:space="0" w:color="auto"/>
              <w:right w:val="single" w:sz="6" w:space="0" w:color="auto"/>
            </w:tcBorders>
            <w:vAlign w:val="center"/>
          </w:tcPr>
          <w:p>
            <w:pPr>
              <w:pStyle w:val="19"/>
            </w:pPr>
            <w:r>
              <w:t>1134.88</w:t>
            </w:r>
          </w:p>
        </w:tc>
        <w:tc>
          <w:tcPr>
            <w:tcW w:w="1361" w:type="dxa"/>
            <w:tcBorders>
              <w:top w:val="single" w:sz="6" w:space="0" w:color="auto"/>
              <w:left w:val="single" w:sz="6" w:space="0" w:color="auto"/>
              <w:right w:val="single" w:sz="6" w:space="0" w:color="auto"/>
            </w:tcBorders>
            <w:vAlign w:val="center"/>
          </w:tcPr>
          <w:p>
            <w:pPr>
              <w:pStyle w:val="19"/>
            </w:pPr>
            <w:r>
              <w:t>1134.88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1361" w:type="dxa"/>
            <w:tcBorders>
              <w:top w:val="single" w:sz="6" w:space="0" w:color="auto"/>
              <w:left w:val="single" w:sz="6" w:space="0" w:color="auto"/>
              <w:right w:val="single" w:sz="6" w:space="0" w:color="auto"/>
            </w:tcBorders>
            <w:vAlign w:val="center"/>
          </w:tcPr>
          <w:p>
            <w:pPr>
              <w:pStyle w:val="19"/>
            </w:pPr>
            <w:r>
              <w:t>204.88</w:t>
            </w:r>
          </w:p>
        </w:tc>
        <w:tc>
          <w:tcPr>
            <w:tcW w:w="1361" w:type="dxa"/>
            <w:tcBorders>
              <w:top w:val="single" w:sz="6" w:space="0" w:color="auto"/>
              <w:left w:val="single" w:sz="6" w:space="0" w:color="auto"/>
              <w:right w:val="single" w:sz="6" w:space="0" w:color="auto"/>
            </w:tcBorders>
            <w:vAlign w:val="center"/>
          </w:tcPr>
          <w:p>
            <w:pPr>
              <w:pStyle w:val="19"/>
            </w:pPr>
            <w:r>
              <w:t>204.88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1361" w:type="dxa"/>
            <w:tcBorders>
              <w:top w:val="single" w:sz="6" w:space="0" w:color="auto"/>
              <w:left w:val="single" w:sz="6" w:space="0" w:color="auto"/>
              <w:right w:val="single" w:sz="6" w:space="0" w:color="auto"/>
            </w:tcBorders>
            <w:vAlign w:val="center"/>
          </w:tcPr>
          <w:p>
            <w:pPr>
              <w:pStyle w:val="19"/>
            </w:pPr>
            <w:r>
              <w:t>204.88</w:t>
            </w:r>
          </w:p>
        </w:tc>
        <w:tc>
          <w:tcPr>
            <w:tcW w:w="1361" w:type="dxa"/>
            <w:tcBorders>
              <w:top w:val="single" w:sz="6" w:space="0" w:color="auto"/>
              <w:left w:val="single" w:sz="6" w:space="0" w:color="auto"/>
              <w:right w:val="single" w:sz="6" w:space="0" w:color="auto"/>
            </w:tcBorders>
            <w:vAlign w:val="center"/>
          </w:tcPr>
          <w:p>
            <w:pPr>
              <w:pStyle w:val="19"/>
            </w:pPr>
            <w:r>
              <w:t>204.88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19"/>
            </w:pPr>
            <w:r>
              <w:t>173.50</w:t>
            </w:r>
          </w:p>
        </w:tc>
        <w:tc>
          <w:tcPr>
            <w:tcW w:w="1361" w:type="dxa"/>
            <w:tcBorders>
              <w:top w:val="single" w:sz="6" w:space="0" w:color="auto"/>
              <w:left w:val="single" w:sz="6" w:space="0" w:color="auto"/>
              <w:right w:val="single" w:sz="6" w:space="0" w:color="auto"/>
            </w:tcBorders>
            <w:vAlign w:val="center"/>
          </w:tcPr>
          <w:p>
            <w:pPr>
              <w:pStyle w:val="19"/>
            </w:pPr>
            <w:r>
              <w:t>173.50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361" w:type="dxa"/>
            <w:tcBorders>
              <w:top w:val="single" w:sz="6" w:space="0" w:color="auto"/>
              <w:left w:val="single" w:sz="6" w:space="0" w:color="auto"/>
              <w:right w:val="single" w:sz="6" w:space="0" w:color="auto"/>
            </w:tcBorders>
            <w:vAlign w:val="center"/>
          </w:tcPr>
          <w:p>
            <w:pPr>
              <w:pStyle w:val="19"/>
            </w:pPr>
            <w:r>
              <w:t>31.38</w:t>
            </w:r>
          </w:p>
        </w:tc>
        <w:tc>
          <w:tcPr>
            <w:tcW w:w="1361" w:type="dxa"/>
            <w:tcBorders>
              <w:top w:val="single" w:sz="6" w:space="0" w:color="auto"/>
              <w:left w:val="single" w:sz="6" w:space="0" w:color="auto"/>
              <w:right w:val="single" w:sz="6" w:space="0" w:color="auto"/>
            </w:tcBorders>
            <w:vAlign w:val="center"/>
          </w:tcPr>
          <w:p>
            <w:pPr>
              <w:pStyle w:val="19"/>
            </w:pPr>
            <w:r>
              <w:t>31.38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1361" w:type="dxa"/>
            <w:tcBorders>
              <w:top w:val="single" w:sz="6" w:space="0" w:color="auto"/>
              <w:left w:val="single" w:sz="6" w:space="0" w:color="auto"/>
              <w:right w:val="single" w:sz="6" w:space="0" w:color="auto"/>
            </w:tcBorders>
            <w:vAlign w:val="center"/>
          </w:tcPr>
          <w:p>
            <w:pPr>
              <w:pStyle w:val="19"/>
            </w:pPr>
            <w:r>
              <w:t>95.56</w:t>
            </w:r>
          </w:p>
        </w:tc>
        <w:tc>
          <w:tcPr>
            <w:tcW w:w="1361" w:type="dxa"/>
            <w:tcBorders>
              <w:top w:val="single" w:sz="6" w:space="0" w:color="auto"/>
              <w:left w:val="single" w:sz="6" w:space="0" w:color="auto"/>
              <w:right w:val="single" w:sz="6" w:space="0" w:color="auto"/>
            </w:tcBorders>
            <w:vAlign w:val="center"/>
          </w:tcPr>
          <w:p>
            <w:pPr>
              <w:pStyle w:val="19"/>
            </w:pPr>
            <w:r>
              <w:t>95.56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1361" w:type="dxa"/>
            <w:tcBorders>
              <w:top w:val="single" w:sz="6" w:space="0" w:color="auto"/>
              <w:left w:val="single" w:sz="6" w:space="0" w:color="auto"/>
              <w:right w:val="single" w:sz="6" w:space="0" w:color="auto"/>
            </w:tcBorders>
            <w:vAlign w:val="center"/>
          </w:tcPr>
          <w:p>
            <w:pPr>
              <w:pStyle w:val="19"/>
            </w:pPr>
            <w:r>
              <w:t>95.56</w:t>
            </w:r>
          </w:p>
        </w:tc>
        <w:tc>
          <w:tcPr>
            <w:tcW w:w="1361" w:type="dxa"/>
            <w:tcBorders>
              <w:top w:val="single" w:sz="6" w:space="0" w:color="auto"/>
              <w:left w:val="single" w:sz="6" w:space="0" w:color="auto"/>
              <w:right w:val="single" w:sz="6" w:space="0" w:color="auto"/>
            </w:tcBorders>
            <w:vAlign w:val="center"/>
          </w:tcPr>
          <w:p>
            <w:pPr>
              <w:pStyle w:val="19"/>
            </w:pPr>
            <w:r>
              <w:t>95.56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1361" w:type="dxa"/>
            <w:tcBorders>
              <w:top w:val="single" w:sz="6" w:space="0" w:color="auto"/>
              <w:left w:val="single" w:sz="6" w:space="0" w:color="auto"/>
              <w:right w:val="single" w:sz="6" w:space="0" w:color="auto"/>
            </w:tcBorders>
            <w:vAlign w:val="center"/>
          </w:tcPr>
          <w:p>
            <w:pPr>
              <w:pStyle w:val="19"/>
            </w:pPr>
            <w:r>
              <w:t>17.88</w:t>
            </w:r>
          </w:p>
        </w:tc>
        <w:tc>
          <w:tcPr>
            <w:tcW w:w="1361" w:type="dxa"/>
            <w:tcBorders>
              <w:top w:val="single" w:sz="6" w:space="0" w:color="auto"/>
              <w:left w:val="single" w:sz="6" w:space="0" w:color="auto"/>
              <w:right w:val="single" w:sz="6" w:space="0" w:color="auto"/>
            </w:tcBorders>
            <w:vAlign w:val="center"/>
          </w:tcPr>
          <w:p>
            <w:pPr>
              <w:pStyle w:val="19"/>
            </w:pPr>
            <w:r>
              <w:t>17.88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1361" w:type="dxa"/>
            <w:tcBorders>
              <w:top w:val="single" w:sz="6" w:space="0" w:color="auto"/>
              <w:left w:val="single" w:sz="6" w:space="0" w:color="auto"/>
              <w:right w:val="single" w:sz="6" w:space="0" w:color="auto"/>
            </w:tcBorders>
            <w:vAlign w:val="center"/>
          </w:tcPr>
          <w:p>
            <w:pPr>
              <w:pStyle w:val="19"/>
            </w:pPr>
            <w:r>
              <w:t>77.68</w:t>
            </w:r>
          </w:p>
        </w:tc>
        <w:tc>
          <w:tcPr>
            <w:tcW w:w="1361" w:type="dxa"/>
            <w:tcBorders>
              <w:top w:val="single" w:sz="6" w:space="0" w:color="auto"/>
              <w:left w:val="single" w:sz="6" w:space="0" w:color="auto"/>
              <w:right w:val="single" w:sz="6" w:space="0" w:color="auto"/>
            </w:tcBorders>
            <w:vAlign w:val="center"/>
          </w:tcPr>
          <w:p>
            <w:pPr>
              <w:pStyle w:val="19"/>
            </w:pPr>
            <w:r>
              <w:t>77.68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213</w:t>
            </w:r>
          </w:p>
        </w:tc>
        <w:tc>
          <w:tcPr>
            <w:tcW w:w="4535" w:type="dxa"/>
            <w:tcBorders>
              <w:top w:val="single" w:sz="6" w:space="0" w:color="auto"/>
              <w:left w:val="single" w:sz="6" w:space="0" w:color="auto"/>
              <w:right w:val="single" w:sz="6" w:space="0" w:color="auto"/>
            </w:tcBorders>
            <w:vAlign w:val="center"/>
          </w:tcPr>
          <w:p>
            <w:pPr>
              <w:pStyle w:val="20"/>
            </w:pPr>
            <w:r>
              <w:t>农林水支出</w:t>
            </w:r>
          </w:p>
        </w:tc>
        <w:tc>
          <w:tcPr>
            <w:tcW w:w="1361" w:type="dxa"/>
            <w:tcBorders>
              <w:top w:val="single" w:sz="6" w:space="0" w:color="auto"/>
              <w:left w:val="single" w:sz="6" w:space="0" w:color="auto"/>
              <w:right w:val="single" w:sz="6" w:space="0" w:color="auto"/>
            </w:tcBorders>
            <w:vAlign w:val="center"/>
          </w:tcPr>
          <w:p>
            <w:pPr>
              <w:pStyle w:val="19"/>
            </w:pPr>
            <w:r>
              <w:t>24.00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21399</w:t>
            </w:r>
          </w:p>
        </w:tc>
        <w:tc>
          <w:tcPr>
            <w:tcW w:w="4535" w:type="dxa"/>
            <w:tcBorders>
              <w:top w:val="single" w:sz="6" w:space="0" w:color="auto"/>
              <w:left w:val="single" w:sz="6" w:space="0" w:color="auto"/>
              <w:right w:val="single" w:sz="6" w:space="0" w:color="auto"/>
            </w:tcBorders>
            <w:vAlign w:val="center"/>
          </w:tcPr>
          <w:p>
            <w:pPr>
              <w:pStyle w:val="20"/>
            </w:pPr>
            <w:r>
              <w:t>其他农林水支出</w:t>
            </w:r>
          </w:p>
        </w:tc>
        <w:tc>
          <w:tcPr>
            <w:tcW w:w="1361" w:type="dxa"/>
            <w:tcBorders>
              <w:top w:val="single" w:sz="6" w:space="0" w:color="auto"/>
              <w:left w:val="single" w:sz="6" w:space="0" w:color="auto"/>
              <w:right w:val="single" w:sz="6" w:space="0" w:color="auto"/>
            </w:tcBorders>
            <w:vAlign w:val="center"/>
          </w:tcPr>
          <w:p>
            <w:pPr>
              <w:pStyle w:val="19"/>
            </w:pPr>
            <w:r>
              <w:t>24.00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2139999</w:t>
            </w:r>
          </w:p>
        </w:tc>
        <w:tc>
          <w:tcPr>
            <w:tcW w:w="4535" w:type="dxa"/>
            <w:tcBorders>
              <w:top w:val="single" w:sz="6" w:space="0" w:color="auto"/>
              <w:left w:val="single" w:sz="6" w:space="0" w:color="auto"/>
              <w:right w:val="single" w:sz="6" w:space="0" w:color="auto"/>
            </w:tcBorders>
            <w:vAlign w:val="center"/>
          </w:tcPr>
          <w:p>
            <w:pPr>
              <w:pStyle w:val="20"/>
            </w:pPr>
            <w:r>
              <w:t>其他农林水支出</w:t>
            </w:r>
          </w:p>
        </w:tc>
        <w:tc>
          <w:tcPr>
            <w:tcW w:w="1361" w:type="dxa"/>
            <w:tcBorders>
              <w:top w:val="single" w:sz="6" w:space="0" w:color="auto"/>
              <w:left w:val="single" w:sz="6" w:space="0" w:color="auto"/>
              <w:right w:val="single" w:sz="6" w:space="0" w:color="auto"/>
            </w:tcBorders>
            <w:vAlign w:val="center"/>
          </w:tcPr>
          <w:p>
            <w:pPr>
              <w:pStyle w:val="19"/>
            </w:pPr>
            <w:r>
              <w:t>24.00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1361" w:type="dxa"/>
            <w:tcBorders>
              <w:top w:val="single" w:sz="6" w:space="0" w:color="auto"/>
              <w:left w:val="single" w:sz="6" w:space="0" w:color="auto"/>
              <w:right w:val="single" w:sz="6" w:space="0" w:color="auto"/>
            </w:tcBorders>
            <w:vAlign w:val="center"/>
          </w:tcPr>
          <w:p>
            <w:pPr>
              <w:pStyle w:val="19"/>
            </w:pPr>
            <w:r>
              <w:t>86.09</w:t>
            </w:r>
          </w:p>
        </w:tc>
        <w:tc>
          <w:tcPr>
            <w:tcW w:w="1361" w:type="dxa"/>
            <w:tcBorders>
              <w:top w:val="single" w:sz="6" w:space="0" w:color="auto"/>
              <w:left w:val="single" w:sz="6" w:space="0" w:color="auto"/>
              <w:right w:val="single" w:sz="6" w:space="0" w:color="auto"/>
            </w:tcBorders>
            <w:vAlign w:val="center"/>
          </w:tcPr>
          <w:p>
            <w:pPr>
              <w:pStyle w:val="19"/>
            </w:pPr>
            <w:r>
              <w:t>86.09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1361" w:type="dxa"/>
            <w:tcBorders>
              <w:top w:val="single" w:sz="6" w:space="0" w:color="auto"/>
              <w:left w:val="single" w:sz="6" w:space="0" w:color="auto"/>
              <w:right w:val="single" w:sz="6" w:space="0" w:color="auto"/>
            </w:tcBorders>
            <w:vAlign w:val="center"/>
          </w:tcPr>
          <w:p>
            <w:pPr>
              <w:pStyle w:val="19"/>
            </w:pPr>
            <w:r>
              <w:t>86.09</w:t>
            </w:r>
          </w:p>
        </w:tc>
        <w:tc>
          <w:tcPr>
            <w:tcW w:w="1361" w:type="dxa"/>
            <w:tcBorders>
              <w:top w:val="single" w:sz="6" w:space="0" w:color="auto"/>
              <w:left w:val="single" w:sz="6" w:space="0" w:color="auto"/>
              <w:right w:val="single" w:sz="6" w:space="0" w:color="auto"/>
            </w:tcBorders>
            <w:vAlign w:val="center"/>
          </w:tcPr>
          <w:p>
            <w:pPr>
              <w:pStyle w:val="19"/>
            </w:pPr>
            <w:r>
              <w:t>86.09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1361" w:type="dxa"/>
            <w:tcBorders>
              <w:top w:val="single" w:sz="6" w:space="0" w:color="auto"/>
              <w:left w:val="single" w:sz="6" w:space="0" w:color="auto"/>
              <w:right w:val="single" w:sz="6" w:space="0" w:color="auto"/>
            </w:tcBorders>
            <w:vAlign w:val="center"/>
          </w:tcPr>
          <w:p>
            <w:pPr>
              <w:pStyle w:val="19"/>
            </w:pPr>
            <w:r>
              <w:t>86.09</w:t>
            </w:r>
          </w:p>
        </w:tc>
        <w:tc>
          <w:tcPr>
            <w:tcW w:w="1361" w:type="dxa"/>
            <w:tcBorders>
              <w:top w:val="single" w:sz="6" w:space="0" w:color="auto"/>
              <w:left w:val="single" w:sz="6" w:space="0" w:color="auto"/>
              <w:right w:val="single" w:sz="6" w:space="0" w:color="auto"/>
            </w:tcBorders>
            <w:vAlign w:val="center"/>
          </w:tcPr>
          <w:p>
            <w:pPr>
              <w:pStyle w:val="19"/>
            </w:pPr>
            <w:r>
              <w:t>86.09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top w:val="single" w:sz="6" w:space="0" w:color="auto"/>
              <w:left w:val="single" w:sz="6" w:space="0" w:color="auto"/>
              <w:right w:val="single" w:sz="6" w:space="0" w:color="auto"/>
            </w:tcBorders>
            <w:vAlign w:val="center"/>
          </w:tcPr>
          <w:p>
            <w:pPr>
              <w:pStyle w:val="20"/>
            </w:pPr>
            <w:r>
              <w:t>223</w:t>
            </w:r>
          </w:p>
        </w:tc>
        <w:tc>
          <w:tcPr>
            <w:tcW w:w="4535" w:type="dxa"/>
            <w:tcBorders>
              <w:top w:val="single" w:sz="6" w:space="0" w:color="auto"/>
              <w:left w:val="single" w:sz="6" w:space="0" w:color="auto"/>
              <w:right w:val="single" w:sz="6" w:space="0" w:color="auto"/>
            </w:tcBorders>
            <w:vAlign w:val="center"/>
          </w:tcPr>
          <w:p>
            <w:pPr>
              <w:pStyle w:val="20"/>
            </w:pPr>
            <w:r>
              <w:t>国有资本经营预算支出</w:t>
            </w:r>
          </w:p>
        </w:tc>
        <w:tc>
          <w:tcPr>
            <w:tcW w:w="1361" w:type="dxa"/>
            <w:tcBorders>
              <w:top w:val="single" w:sz="6" w:space="0" w:color="auto"/>
              <w:left w:val="single" w:sz="6" w:space="0" w:color="auto"/>
              <w:right w:val="single" w:sz="6" w:space="0" w:color="auto"/>
            </w:tcBorders>
            <w:vAlign w:val="center"/>
          </w:tcPr>
          <w:p>
            <w:pPr>
              <w:pStyle w:val="19"/>
            </w:pPr>
            <w:r>
              <w:t>12.00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top w:val="single" w:sz="6" w:space="0" w:color="auto"/>
              <w:left w:val="single" w:sz="6" w:space="0" w:color="auto"/>
              <w:right w:val="single" w:sz="6" w:space="0" w:color="auto"/>
            </w:tcBorders>
            <w:vAlign w:val="center"/>
          </w:tcPr>
          <w:p>
            <w:pPr>
              <w:pStyle w:val="20"/>
            </w:pPr>
            <w:r>
              <w:t>22301</w:t>
            </w:r>
          </w:p>
        </w:tc>
        <w:tc>
          <w:tcPr>
            <w:tcW w:w="4535" w:type="dxa"/>
            <w:tcBorders>
              <w:top w:val="single" w:sz="6" w:space="0" w:color="auto"/>
              <w:left w:val="single" w:sz="6" w:space="0" w:color="auto"/>
              <w:right w:val="single" w:sz="6" w:space="0" w:color="auto"/>
            </w:tcBorders>
            <w:vAlign w:val="center"/>
          </w:tcPr>
          <w:p>
            <w:pPr>
              <w:pStyle w:val="20"/>
            </w:pPr>
            <w:r>
              <w:t>解决历史遗留问题及改革成本支出</w:t>
            </w:r>
          </w:p>
        </w:tc>
        <w:tc>
          <w:tcPr>
            <w:tcW w:w="1361" w:type="dxa"/>
            <w:tcBorders>
              <w:top w:val="single" w:sz="6" w:space="0" w:color="auto"/>
              <w:left w:val="single" w:sz="6" w:space="0" w:color="auto"/>
              <w:right w:val="single" w:sz="6" w:space="0" w:color="auto"/>
            </w:tcBorders>
            <w:vAlign w:val="center"/>
          </w:tcPr>
          <w:p>
            <w:pPr>
              <w:pStyle w:val="19"/>
            </w:pPr>
            <w:r>
              <w:t>12.00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top w:val="single" w:sz="6" w:space="0" w:color="auto"/>
              <w:left w:val="single" w:sz="6" w:space="0" w:color="auto"/>
              <w:right w:val="single" w:sz="6" w:space="0" w:color="auto"/>
            </w:tcBorders>
            <w:vAlign w:val="center"/>
          </w:tcPr>
          <w:p>
            <w:pPr>
              <w:pStyle w:val="20"/>
            </w:pPr>
            <w:r>
              <w:t>2230105</w:t>
            </w:r>
          </w:p>
        </w:tc>
        <w:tc>
          <w:tcPr>
            <w:tcW w:w="4535" w:type="dxa"/>
            <w:tcBorders>
              <w:top w:val="single" w:sz="6" w:space="0" w:color="auto"/>
              <w:left w:val="single" w:sz="6" w:space="0" w:color="auto"/>
              <w:right w:val="single" w:sz="6" w:space="0" w:color="auto"/>
            </w:tcBorders>
            <w:vAlign w:val="center"/>
          </w:tcPr>
          <w:p>
            <w:pPr>
              <w:pStyle w:val="20"/>
            </w:pPr>
            <w:r>
              <w:t>国有企业退休人员社会化管理补助支出</w:t>
            </w:r>
          </w:p>
        </w:tc>
        <w:tc>
          <w:tcPr>
            <w:tcW w:w="1361" w:type="dxa"/>
            <w:tcBorders>
              <w:top w:val="single" w:sz="6" w:space="0" w:color="auto"/>
              <w:left w:val="single" w:sz="6" w:space="0" w:color="auto"/>
              <w:right w:val="single" w:sz="6" w:space="0" w:color="auto"/>
            </w:tcBorders>
            <w:vAlign w:val="center"/>
          </w:tcPr>
          <w:p>
            <w:pPr>
              <w:pStyle w:val="19"/>
            </w:pPr>
            <w:r>
              <w:t>12.00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318昌黎县财政局</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2126.90</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r>
              <w:t>1716.37</w:t>
            </w:r>
          </w:p>
        </w:tc>
        <w:tc>
          <w:tcPr>
            <w:tcW w:w="1474" w:type="dxa"/>
            <w:tcBorders>
              <w:top w:val="single" w:sz="6" w:space="0" w:color="auto"/>
              <w:left w:val="single" w:sz="6" w:space="0" w:color="auto"/>
              <w:right w:val="single" w:sz="6" w:space="0" w:color="auto"/>
            </w:tcBorders>
            <w:vAlign w:val="center"/>
          </w:tcPr>
          <w:p>
            <w:pPr>
              <w:pStyle w:val="19"/>
            </w:pPr>
            <w:r>
              <w:t>1716.37</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r>
              <w:t>12.00</w:t>
            </w: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r>
              <w:t>204.88</w:t>
            </w:r>
          </w:p>
        </w:tc>
        <w:tc>
          <w:tcPr>
            <w:tcW w:w="1474" w:type="dxa"/>
            <w:tcBorders>
              <w:top w:val="single" w:sz="6" w:space="0" w:color="auto"/>
              <w:left w:val="single" w:sz="6" w:space="0" w:color="auto"/>
              <w:right w:val="single" w:sz="6" w:space="0" w:color="auto"/>
            </w:tcBorders>
            <w:vAlign w:val="center"/>
          </w:tcPr>
          <w:p>
            <w:pPr>
              <w:pStyle w:val="19"/>
            </w:pPr>
            <w:r>
              <w:t>204.88</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r>
              <w:t>95.56</w:t>
            </w:r>
          </w:p>
        </w:tc>
        <w:tc>
          <w:tcPr>
            <w:tcW w:w="1474" w:type="dxa"/>
            <w:tcBorders>
              <w:top w:val="single" w:sz="6" w:space="0" w:color="auto"/>
              <w:left w:val="single" w:sz="6" w:space="0" w:color="auto"/>
              <w:right w:val="single" w:sz="6" w:space="0" w:color="auto"/>
            </w:tcBorders>
            <w:vAlign w:val="center"/>
          </w:tcPr>
          <w:p>
            <w:pPr>
              <w:pStyle w:val="19"/>
            </w:pPr>
            <w:r>
              <w:t>95.56</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r>
              <w:t>24.00</w:t>
            </w:r>
          </w:p>
        </w:tc>
        <w:tc>
          <w:tcPr>
            <w:tcW w:w="1474" w:type="dxa"/>
            <w:tcBorders>
              <w:top w:val="single" w:sz="6" w:space="0" w:color="auto"/>
              <w:left w:val="single" w:sz="6" w:space="0" w:color="auto"/>
              <w:right w:val="single" w:sz="6" w:space="0" w:color="auto"/>
            </w:tcBorders>
            <w:vAlign w:val="center"/>
          </w:tcPr>
          <w:p>
            <w:pPr>
              <w:pStyle w:val="19"/>
            </w:pPr>
            <w:r>
              <w:t>24.00</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r>
              <w:t>86.09</w:t>
            </w:r>
          </w:p>
        </w:tc>
        <w:tc>
          <w:tcPr>
            <w:tcW w:w="1474" w:type="dxa"/>
            <w:tcBorders>
              <w:top w:val="single" w:sz="6" w:space="0" w:color="auto"/>
              <w:left w:val="single" w:sz="6" w:space="0" w:color="auto"/>
              <w:right w:val="single" w:sz="6" w:space="0" w:color="auto"/>
            </w:tcBorders>
            <w:vAlign w:val="center"/>
          </w:tcPr>
          <w:p>
            <w:pPr>
              <w:pStyle w:val="19"/>
            </w:pPr>
            <w:r>
              <w:t>86.09</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r>
              <w:t>12.00</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r>
              <w:t>12.00</w:t>
            </w: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2138.90</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2138.90</w:t>
            </w:r>
          </w:p>
        </w:tc>
        <w:tc>
          <w:tcPr>
            <w:tcW w:w="1474" w:type="dxa"/>
            <w:tcBorders>
              <w:top w:val="single" w:sz="6" w:space="0" w:color="auto"/>
              <w:left w:val="single" w:sz="6" w:space="0" w:color="auto"/>
              <w:right w:val="single" w:sz="6" w:space="0" w:color="auto"/>
            </w:tcBorders>
            <w:vAlign w:val="center"/>
          </w:tcPr>
          <w:p>
            <w:pPr>
              <w:pStyle w:val="23"/>
            </w:pPr>
            <w:r>
              <w:t>2126.90</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r>
              <w:t>12.00</w:t>
            </w: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2138.90</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2138.90</w:t>
            </w:r>
          </w:p>
        </w:tc>
        <w:tc>
          <w:tcPr>
            <w:tcW w:w="1474" w:type="dxa"/>
            <w:tcBorders>
              <w:top w:val="single" w:sz="6" w:space="0" w:color="auto"/>
              <w:left w:val="single" w:sz="6" w:space="0" w:color="auto"/>
              <w:right w:val="single" w:sz="6" w:space="0" w:color="auto"/>
            </w:tcBorders>
            <w:vAlign w:val="center"/>
          </w:tcPr>
          <w:p>
            <w:pPr>
              <w:pStyle w:val="23"/>
            </w:pPr>
            <w:r>
              <w:t>2126.90</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r>
              <w:t>12.00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318昌黎县财政局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2126.90</w:t>
            </w:r>
          </w:p>
        </w:tc>
        <w:tc>
          <w:tcPr>
            <w:tcW w:w="2551" w:type="dxa"/>
            <w:tcBorders>
              <w:top w:val="single" w:sz="6" w:space="0" w:color="auto"/>
              <w:left w:val="single" w:sz="6" w:space="0" w:color="auto"/>
              <w:right w:val="single" w:sz="6" w:space="0" w:color="auto"/>
            </w:tcBorders>
            <w:vAlign w:val="center"/>
          </w:tcPr>
          <w:p>
            <w:pPr>
              <w:pStyle w:val="23"/>
            </w:pPr>
            <w:r>
              <w:t>2102.90</w:t>
            </w:r>
          </w:p>
        </w:tc>
        <w:tc>
          <w:tcPr>
            <w:tcW w:w="2551" w:type="dxa"/>
            <w:vAlign w:val="center"/>
          </w:tcPr>
          <w:p>
            <w:pPr>
              <w:pStyle w:val="23"/>
            </w:pPr>
            <w:r>
              <w:t>24.00</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201</w:t>
            </w:r>
          </w:p>
        </w:tc>
        <w:tc>
          <w:tcPr>
            <w:tcW w:w="4535" w:type="dxa"/>
            <w:tcBorders>
              <w:top w:val="single" w:sz="6" w:space="0" w:color="auto"/>
              <w:left w:val="single" w:sz="6" w:space="0" w:color="auto"/>
              <w:right w:val="single" w:sz="6" w:space="0" w:color="auto"/>
            </w:tcBorders>
            <w:vAlign w:val="center"/>
          </w:tcPr>
          <w:p>
            <w:pPr>
              <w:pStyle w:val="20"/>
            </w:pPr>
            <w:r>
              <w:t>一般公共服务支出</w:t>
            </w:r>
          </w:p>
        </w:tc>
        <w:tc>
          <w:tcPr>
            <w:tcW w:w="2551" w:type="dxa"/>
            <w:tcBorders>
              <w:top w:val="single" w:sz="6" w:space="0" w:color="auto"/>
              <w:left w:val="single" w:sz="6" w:space="0" w:color="auto"/>
              <w:right w:val="single" w:sz="6" w:space="0" w:color="auto"/>
            </w:tcBorders>
            <w:vAlign w:val="center"/>
          </w:tcPr>
          <w:p>
            <w:pPr>
              <w:pStyle w:val="19"/>
            </w:pPr>
            <w:r>
              <w:t>1716.37</w:t>
            </w:r>
          </w:p>
        </w:tc>
        <w:tc>
          <w:tcPr>
            <w:tcW w:w="2551" w:type="dxa"/>
            <w:tcBorders>
              <w:top w:val="single" w:sz="6" w:space="0" w:color="auto"/>
              <w:left w:val="single" w:sz="6" w:space="0" w:color="auto"/>
              <w:right w:val="single" w:sz="6" w:space="0" w:color="auto"/>
            </w:tcBorders>
            <w:vAlign w:val="center"/>
          </w:tcPr>
          <w:p>
            <w:pPr>
              <w:pStyle w:val="19"/>
            </w:pPr>
            <w:r>
              <w:t>1716.37</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20106</w:t>
            </w:r>
          </w:p>
        </w:tc>
        <w:tc>
          <w:tcPr>
            <w:tcW w:w="4535" w:type="dxa"/>
            <w:tcBorders>
              <w:top w:val="single" w:sz="6" w:space="0" w:color="auto"/>
              <w:left w:val="single" w:sz="6" w:space="0" w:color="auto"/>
              <w:right w:val="single" w:sz="6" w:space="0" w:color="auto"/>
            </w:tcBorders>
            <w:vAlign w:val="center"/>
          </w:tcPr>
          <w:p>
            <w:pPr>
              <w:pStyle w:val="20"/>
            </w:pPr>
            <w:r>
              <w:t>财政事务</w:t>
            </w:r>
          </w:p>
        </w:tc>
        <w:tc>
          <w:tcPr>
            <w:tcW w:w="2551" w:type="dxa"/>
            <w:tcBorders>
              <w:top w:val="single" w:sz="6" w:space="0" w:color="auto"/>
              <w:left w:val="single" w:sz="6" w:space="0" w:color="auto"/>
              <w:right w:val="single" w:sz="6" w:space="0" w:color="auto"/>
            </w:tcBorders>
            <w:vAlign w:val="center"/>
          </w:tcPr>
          <w:p>
            <w:pPr>
              <w:pStyle w:val="19"/>
            </w:pPr>
            <w:r>
              <w:t>1716.37</w:t>
            </w:r>
          </w:p>
        </w:tc>
        <w:tc>
          <w:tcPr>
            <w:tcW w:w="2551" w:type="dxa"/>
            <w:tcBorders>
              <w:top w:val="single" w:sz="6" w:space="0" w:color="auto"/>
              <w:left w:val="single" w:sz="6" w:space="0" w:color="auto"/>
              <w:right w:val="single" w:sz="6" w:space="0" w:color="auto"/>
            </w:tcBorders>
            <w:vAlign w:val="center"/>
          </w:tcPr>
          <w:p>
            <w:pPr>
              <w:pStyle w:val="19"/>
            </w:pPr>
            <w:r>
              <w:t>1716.37</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2010601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2551" w:type="dxa"/>
            <w:tcBorders>
              <w:top w:val="single" w:sz="6" w:space="0" w:color="auto"/>
              <w:left w:val="single" w:sz="6" w:space="0" w:color="auto"/>
              <w:right w:val="single" w:sz="6" w:space="0" w:color="auto"/>
            </w:tcBorders>
            <w:vAlign w:val="center"/>
          </w:tcPr>
          <w:p>
            <w:pPr>
              <w:pStyle w:val="19"/>
            </w:pPr>
            <w:r>
              <w:t>581.48</w:t>
            </w:r>
          </w:p>
        </w:tc>
        <w:tc>
          <w:tcPr>
            <w:tcW w:w="2551" w:type="dxa"/>
            <w:tcBorders>
              <w:top w:val="single" w:sz="6" w:space="0" w:color="auto"/>
              <w:left w:val="single" w:sz="6" w:space="0" w:color="auto"/>
              <w:right w:val="single" w:sz="6" w:space="0" w:color="auto"/>
            </w:tcBorders>
            <w:vAlign w:val="center"/>
          </w:tcPr>
          <w:p>
            <w:pPr>
              <w:pStyle w:val="19"/>
            </w:pPr>
            <w:r>
              <w:t>581.48</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2010650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2551" w:type="dxa"/>
            <w:tcBorders>
              <w:top w:val="single" w:sz="6" w:space="0" w:color="auto"/>
              <w:left w:val="single" w:sz="6" w:space="0" w:color="auto"/>
              <w:right w:val="single" w:sz="6" w:space="0" w:color="auto"/>
            </w:tcBorders>
            <w:vAlign w:val="center"/>
          </w:tcPr>
          <w:p>
            <w:pPr>
              <w:pStyle w:val="19"/>
            </w:pPr>
            <w:r>
              <w:t>1134.88</w:t>
            </w:r>
          </w:p>
        </w:tc>
        <w:tc>
          <w:tcPr>
            <w:tcW w:w="2551" w:type="dxa"/>
            <w:tcBorders>
              <w:top w:val="single" w:sz="6" w:space="0" w:color="auto"/>
              <w:left w:val="single" w:sz="6" w:space="0" w:color="auto"/>
              <w:right w:val="single" w:sz="6" w:space="0" w:color="auto"/>
            </w:tcBorders>
            <w:vAlign w:val="center"/>
          </w:tcPr>
          <w:p>
            <w:pPr>
              <w:pStyle w:val="19"/>
            </w:pPr>
            <w:r>
              <w:t>1134.88</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2551" w:type="dxa"/>
            <w:tcBorders>
              <w:top w:val="single" w:sz="6" w:space="0" w:color="auto"/>
              <w:left w:val="single" w:sz="6" w:space="0" w:color="auto"/>
              <w:right w:val="single" w:sz="6" w:space="0" w:color="auto"/>
            </w:tcBorders>
            <w:vAlign w:val="center"/>
          </w:tcPr>
          <w:p>
            <w:pPr>
              <w:pStyle w:val="19"/>
            </w:pPr>
            <w:r>
              <w:t>204.88</w:t>
            </w:r>
          </w:p>
        </w:tc>
        <w:tc>
          <w:tcPr>
            <w:tcW w:w="2551" w:type="dxa"/>
            <w:tcBorders>
              <w:top w:val="single" w:sz="6" w:space="0" w:color="auto"/>
              <w:left w:val="single" w:sz="6" w:space="0" w:color="auto"/>
              <w:right w:val="single" w:sz="6" w:space="0" w:color="auto"/>
            </w:tcBorders>
            <w:vAlign w:val="center"/>
          </w:tcPr>
          <w:p>
            <w:pPr>
              <w:pStyle w:val="19"/>
            </w:pPr>
            <w:r>
              <w:t>204.88</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2551" w:type="dxa"/>
            <w:tcBorders>
              <w:top w:val="single" w:sz="6" w:space="0" w:color="auto"/>
              <w:left w:val="single" w:sz="6" w:space="0" w:color="auto"/>
              <w:right w:val="single" w:sz="6" w:space="0" w:color="auto"/>
            </w:tcBorders>
            <w:vAlign w:val="center"/>
          </w:tcPr>
          <w:p>
            <w:pPr>
              <w:pStyle w:val="19"/>
            </w:pPr>
            <w:r>
              <w:t>204.88</w:t>
            </w:r>
          </w:p>
        </w:tc>
        <w:tc>
          <w:tcPr>
            <w:tcW w:w="2551" w:type="dxa"/>
            <w:tcBorders>
              <w:top w:val="single" w:sz="6" w:space="0" w:color="auto"/>
              <w:left w:val="single" w:sz="6" w:space="0" w:color="auto"/>
              <w:right w:val="single" w:sz="6" w:space="0" w:color="auto"/>
            </w:tcBorders>
            <w:vAlign w:val="center"/>
          </w:tcPr>
          <w:p>
            <w:pPr>
              <w:pStyle w:val="19"/>
            </w:pPr>
            <w:r>
              <w:t>204.88</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19"/>
            </w:pPr>
            <w:r>
              <w:t>173.50</w:t>
            </w:r>
          </w:p>
        </w:tc>
        <w:tc>
          <w:tcPr>
            <w:tcW w:w="2551" w:type="dxa"/>
            <w:tcBorders>
              <w:top w:val="single" w:sz="6" w:space="0" w:color="auto"/>
              <w:left w:val="single" w:sz="6" w:space="0" w:color="auto"/>
              <w:right w:val="single" w:sz="6" w:space="0" w:color="auto"/>
            </w:tcBorders>
            <w:vAlign w:val="center"/>
          </w:tcPr>
          <w:p>
            <w:pPr>
              <w:pStyle w:val="19"/>
            </w:pPr>
            <w:r>
              <w:t>173.50</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2551" w:type="dxa"/>
            <w:tcBorders>
              <w:top w:val="single" w:sz="6" w:space="0" w:color="auto"/>
              <w:left w:val="single" w:sz="6" w:space="0" w:color="auto"/>
              <w:right w:val="single" w:sz="6" w:space="0" w:color="auto"/>
            </w:tcBorders>
            <w:vAlign w:val="center"/>
          </w:tcPr>
          <w:p>
            <w:pPr>
              <w:pStyle w:val="19"/>
            </w:pPr>
            <w:r>
              <w:t>31.38</w:t>
            </w:r>
          </w:p>
        </w:tc>
        <w:tc>
          <w:tcPr>
            <w:tcW w:w="2551" w:type="dxa"/>
            <w:tcBorders>
              <w:top w:val="single" w:sz="6" w:space="0" w:color="auto"/>
              <w:left w:val="single" w:sz="6" w:space="0" w:color="auto"/>
              <w:right w:val="single" w:sz="6" w:space="0" w:color="auto"/>
            </w:tcBorders>
            <w:vAlign w:val="center"/>
          </w:tcPr>
          <w:p>
            <w:pPr>
              <w:pStyle w:val="19"/>
            </w:pPr>
            <w:r>
              <w:t>31.38</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2551" w:type="dxa"/>
            <w:tcBorders>
              <w:top w:val="single" w:sz="6" w:space="0" w:color="auto"/>
              <w:left w:val="single" w:sz="6" w:space="0" w:color="auto"/>
              <w:right w:val="single" w:sz="6" w:space="0" w:color="auto"/>
            </w:tcBorders>
            <w:vAlign w:val="center"/>
          </w:tcPr>
          <w:p>
            <w:pPr>
              <w:pStyle w:val="19"/>
            </w:pPr>
            <w:r>
              <w:t>95.56</w:t>
            </w:r>
          </w:p>
        </w:tc>
        <w:tc>
          <w:tcPr>
            <w:tcW w:w="2551" w:type="dxa"/>
            <w:tcBorders>
              <w:top w:val="single" w:sz="6" w:space="0" w:color="auto"/>
              <w:left w:val="single" w:sz="6" w:space="0" w:color="auto"/>
              <w:right w:val="single" w:sz="6" w:space="0" w:color="auto"/>
            </w:tcBorders>
            <w:vAlign w:val="center"/>
          </w:tcPr>
          <w:p>
            <w:pPr>
              <w:pStyle w:val="19"/>
            </w:pPr>
            <w:r>
              <w:t>95.56</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2551" w:type="dxa"/>
            <w:tcBorders>
              <w:top w:val="single" w:sz="6" w:space="0" w:color="auto"/>
              <w:left w:val="single" w:sz="6" w:space="0" w:color="auto"/>
              <w:right w:val="single" w:sz="6" w:space="0" w:color="auto"/>
            </w:tcBorders>
            <w:vAlign w:val="center"/>
          </w:tcPr>
          <w:p>
            <w:pPr>
              <w:pStyle w:val="19"/>
            </w:pPr>
            <w:r>
              <w:t>95.56</w:t>
            </w:r>
          </w:p>
        </w:tc>
        <w:tc>
          <w:tcPr>
            <w:tcW w:w="2551" w:type="dxa"/>
            <w:tcBorders>
              <w:top w:val="single" w:sz="6" w:space="0" w:color="auto"/>
              <w:left w:val="single" w:sz="6" w:space="0" w:color="auto"/>
              <w:right w:val="single" w:sz="6" w:space="0" w:color="auto"/>
            </w:tcBorders>
            <w:vAlign w:val="center"/>
          </w:tcPr>
          <w:p>
            <w:pPr>
              <w:pStyle w:val="19"/>
            </w:pPr>
            <w:r>
              <w:t>95.56</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2551" w:type="dxa"/>
            <w:tcBorders>
              <w:top w:val="single" w:sz="6" w:space="0" w:color="auto"/>
              <w:left w:val="single" w:sz="6" w:space="0" w:color="auto"/>
              <w:right w:val="single" w:sz="6" w:space="0" w:color="auto"/>
            </w:tcBorders>
            <w:vAlign w:val="center"/>
          </w:tcPr>
          <w:p>
            <w:pPr>
              <w:pStyle w:val="19"/>
            </w:pPr>
            <w:r>
              <w:t>17.88</w:t>
            </w:r>
          </w:p>
        </w:tc>
        <w:tc>
          <w:tcPr>
            <w:tcW w:w="2551" w:type="dxa"/>
            <w:tcBorders>
              <w:top w:val="single" w:sz="6" w:space="0" w:color="auto"/>
              <w:left w:val="single" w:sz="6" w:space="0" w:color="auto"/>
              <w:right w:val="single" w:sz="6" w:space="0" w:color="auto"/>
            </w:tcBorders>
            <w:vAlign w:val="center"/>
          </w:tcPr>
          <w:p>
            <w:pPr>
              <w:pStyle w:val="19"/>
            </w:pPr>
            <w:r>
              <w:t>17.88</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2551" w:type="dxa"/>
            <w:tcBorders>
              <w:top w:val="single" w:sz="6" w:space="0" w:color="auto"/>
              <w:left w:val="single" w:sz="6" w:space="0" w:color="auto"/>
              <w:right w:val="single" w:sz="6" w:space="0" w:color="auto"/>
            </w:tcBorders>
            <w:vAlign w:val="center"/>
          </w:tcPr>
          <w:p>
            <w:pPr>
              <w:pStyle w:val="19"/>
            </w:pPr>
            <w:r>
              <w:t>77.68</w:t>
            </w:r>
          </w:p>
        </w:tc>
        <w:tc>
          <w:tcPr>
            <w:tcW w:w="2551" w:type="dxa"/>
            <w:tcBorders>
              <w:top w:val="single" w:sz="6" w:space="0" w:color="auto"/>
              <w:left w:val="single" w:sz="6" w:space="0" w:color="auto"/>
              <w:right w:val="single" w:sz="6" w:space="0" w:color="auto"/>
            </w:tcBorders>
            <w:vAlign w:val="center"/>
          </w:tcPr>
          <w:p>
            <w:pPr>
              <w:pStyle w:val="19"/>
            </w:pPr>
            <w:r>
              <w:t>77.68</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213</w:t>
            </w:r>
          </w:p>
        </w:tc>
        <w:tc>
          <w:tcPr>
            <w:tcW w:w="4535" w:type="dxa"/>
            <w:tcBorders>
              <w:top w:val="single" w:sz="6" w:space="0" w:color="auto"/>
              <w:left w:val="single" w:sz="6" w:space="0" w:color="auto"/>
              <w:right w:val="single" w:sz="6" w:space="0" w:color="auto"/>
            </w:tcBorders>
            <w:vAlign w:val="center"/>
          </w:tcPr>
          <w:p>
            <w:pPr>
              <w:pStyle w:val="20"/>
            </w:pPr>
            <w:r>
              <w:t>农林水支出</w:t>
            </w:r>
          </w:p>
        </w:tc>
        <w:tc>
          <w:tcPr>
            <w:tcW w:w="2551" w:type="dxa"/>
            <w:tcBorders>
              <w:top w:val="single" w:sz="6" w:space="0" w:color="auto"/>
              <w:left w:val="single" w:sz="6" w:space="0" w:color="auto"/>
              <w:right w:val="single" w:sz="6" w:space="0" w:color="auto"/>
            </w:tcBorders>
            <w:vAlign w:val="center"/>
          </w:tcPr>
          <w:p>
            <w:pPr>
              <w:pStyle w:val="19"/>
            </w:pPr>
            <w:r>
              <w:t>24.00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24.00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21399</w:t>
            </w:r>
          </w:p>
        </w:tc>
        <w:tc>
          <w:tcPr>
            <w:tcW w:w="4535" w:type="dxa"/>
            <w:tcBorders>
              <w:top w:val="single" w:sz="6" w:space="0" w:color="auto"/>
              <w:left w:val="single" w:sz="6" w:space="0" w:color="auto"/>
              <w:right w:val="single" w:sz="6" w:space="0" w:color="auto"/>
            </w:tcBorders>
            <w:vAlign w:val="center"/>
          </w:tcPr>
          <w:p>
            <w:pPr>
              <w:pStyle w:val="20"/>
            </w:pPr>
            <w:r>
              <w:t>其他农林水支出</w:t>
            </w:r>
          </w:p>
        </w:tc>
        <w:tc>
          <w:tcPr>
            <w:tcW w:w="2551" w:type="dxa"/>
            <w:tcBorders>
              <w:top w:val="single" w:sz="6" w:space="0" w:color="auto"/>
              <w:left w:val="single" w:sz="6" w:space="0" w:color="auto"/>
              <w:right w:val="single" w:sz="6" w:space="0" w:color="auto"/>
            </w:tcBorders>
            <w:vAlign w:val="center"/>
          </w:tcPr>
          <w:p>
            <w:pPr>
              <w:pStyle w:val="19"/>
            </w:pPr>
            <w:r>
              <w:t>24.00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24.00</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2139999</w:t>
            </w:r>
          </w:p>
        </w:tc>
        <w:tc>
          <w:tcPr>
            <w:tcW w:w="4535" w:type="dxa"/>
            <w:tcBorders>
              <w:top w:val="single" w:sz="6" w:space="0" w:color="auto"/>
              <w:left w:val="single" w:sz="6" w:space="0" w:color="auto"/>
              <w:right w:val="single" w:sz="6" w:space="0" w:color="auto"/>
            </w:tcBorders>
            <w:vAlign w:val="center"/>
          </w:tcPr>
          <w:p>
            <w:pPr>
              <w:pStyle w:val="20"/>
            </w:pPr>
            <w:r>
              <w:t>其他农林水支出</w:t>
            </w:r>
          </w:p>
        </w:tc>
        <w:tc>
          <w:tcPr>
            <w:tcW w:w="2551" w:type="dxa"/>
            <w:tcBorders>
              <w:top w:val="single" w:sz="6" w:space="0" w:color="auto"/>
              <w:left w:val="single" w:sz="6" w:space="0" w:color="auto"/>
              <w:right w:val="single" w:sz="6" w:space="0" w:color="auto"/>
            </w:tcBorders>
            <w:vAlign w:val="center"/>
          </w:tcPr>
          <w:p>
            <w:pPr>
              <w:pStyle w:val="19"/>
            </w:pPr>
            <w:r>
              <w:t>24.00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24.00</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86.09</w:t>
            </w:r>
          </w:p>
        </w:tc>
        <w:tc>
          <w:tcPr>
            <w:tcW w:w="2551" w:type="dxa"/>
            <w:tcBorders>
              <w:top w:val="single" w:sz="6" w:space="0" w:color="auto"/>
              <w:left w:val="single" w:sz="6" w:space="0" w:color="auto"/>
              <w:right w:val="single" w:sz="6" w:space="0" w:color="auto"/>
            </w:tcBorders>
            <w:vAlign w:val="center"/>
          </w:tcPr>
          <w:p>
            <w:pPr>
              <w:pStyle w:val="19"/>
            </w:pPr>
            <w:r>
              <w:t>86.09</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2551" w:type="dxa"/>
            <w:tcBorders>
              <w:top w:val="single" w:sz="6" w:space="0" w:color="auto"/>
              <w:left w:val="single" w:sz="6" w:space="0" w:color="auto"/>
              <w:right w:val="single" w:sz="6" w:space="0" w:color="auto"/>
            </w:tcBorders>
            <w:vAlign w:val="center"/>
          </w:tcPr>
          <w:p>
            <w:pPr>
              <w:pStyle w:val="19"/>
            </w:pPr>
            <w:r>
              <w:t>86.09</w:t>
            </w:r>
          </w:p>
        </w:tc>
        <w:tc>
          <w:tcPr>
            <w:tcW w:w="2551" w:type="dxa"/>
            <w:tcBorders>
              <w:top w:val="single" w:sz="6" w:space="0" w:color="auto"/>
              <w:left w:val="single" w:sz="6" w:space="0" w:color="auto"/>
              <w:right w:val="single" w:sz="6" w:space="0" w:color="auto"/>
            </w:tcBorders>
            <w:vAlign w:val="center"/>
          </w:tcPr>
          <w:p>
            <w:pPr>
              <w:pStyle w:val="19"/>
            </w:pPr>
            <w:r>
              <w:t>86.09</w:t>
            </w:r>
          </w:p>
        </w:tc>
        <w:tc>
          <w:tcPr>
            <w:tcW w:w="2551" w:type="dxa"/>
            <w:vAlign w:val="center"/>
          </w:tcPr>
          <w:p>
            <w:pPr>
              <w:pStyle w:val="19"/>
            </w:pP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86.09</w:t>
            </w:r>
          </w:p>
        </w:tc>
        <w:tc>
          <w:tcPr>
            <w:tcW w:w="2551" w:type="dxa"/>
            <w:tcBorders>
              <w:top w:val="single" w:sz="6" w:space="0" w:color="auto"/>
              <w:left w:val="single" w:sz="6" w:space="0" w:color="auto"/>
              <w:right w:val="single" w:sz="6" w:space="0" w:color="auto"/>
            </w:tcBorders>
            <w:vAlign w:val="center"/>
          </w:tcPr>
          <w:p>
            <w:pPr>
              <w:pStyle w:val="19"/>
            </w:pPr>
            <w:r>
              <w:t>86.09</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318昌黎县财政局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2102.90</w:t>
            </w:r>
          </w:p>
        </w:tc>
        <w:tc>
          <w:tcPr>
            <w:tcW w:w="2551" w:type="dxa"/>
            <w:tcBorders>
              <w:top w:val="single" w:sz="6" w:space="0" w:color="auto"/>
              <w:left w:val="single" w:sz="6" w:space="0" w:color="auto"/>
              <w:right w:val="single" w:sz="6" w:space="0" w:color="auto"/>
            </w:tcBorders>
            <w:vAlign w:val="center"/>
          </w:tcPr>
          <w:p>
            <w:pPr>
              <w:pStyle w:val="23"/>
            </w:pPr>
            <w:r>
              <w:t>1802.96</w:t>
            </w:r>
          </w:p>
        </w:tc>
        <w:tc>
          <w:tcPr>
            <w:tcW w:w="2551" w:type="dxa"/>
            <w:vAlign w:val="center"/>
          </w:tcPr>
          <w:p>
            <w:pPr>
              <w:pStyle w:val="23"/>
            </w:pPr>
            <w:r>
              <w:t>299.94</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1674.90</w:t>
            </w:r>
          </w:p>
        </w:tc>
        <w:tc>
          <w:tcPr>
            <w:tcW w:w="2551" w:type="dxa"/>
            <w:tcBorders>
              <w:top w:val="single" w:sz="6" w:space="0" w:color="auto"/>
              <w:left w:val="single" w:sz="6" w:space="0" w:color="auto"/>
              <w:right w:val="single" w:sz="6" w:space="0" w:color="auto"/>
            </w:tcBorders>
            <w:vAlign w:val="center"/>
          </w:tcPr>
          <w:p>
            <w:pPr>
              <w:pStyle w:val="19"/>
            </w:pPr>
            <w:r>
              <w:t>1674.90</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648.57</w:t>
            </w:r>
          </w:p>
        </w:tc>
        <w:tc>
          <w:tcPr>
            <w:tcW w:w="2551" w:type="dxa"/>
            <w:tcBorders>
              <w:top w:val="single" w:sz="6" w:space="0" w:color="auto"/>
              <w:left w:val="single" w:sz="6" w:space="0" w:color="auto"/>
              <w:right w:val="single" w:sz="6" w:space="0" w:color="auto"/>
            </w:tcBorders>
            <w:vAlign w:val="center"/>
          </w:tcPr>
          <w:p>
            <w:pPr>
              <w:pStyle w:val="19"/>
            </w:pPr>
            <w:r>
              <w:t>648.57</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106.38</w:t>
            </w:r>
          </w:p>
        </w:tc>
        <w:tc>
          <w:tcPr>
            <w:tcW w:w="2551" w:type="dxa"/>
            <w:tcBorders>
              <w:top w:val="single" w:sz="6" w:space="0" w:color="auto"/>
              <w:left w:val="single" w:sz="6" w:space="0" w:color="auto"/>
              <w:right w:val="single" w:sz="6" w:space="0" w:color="auto"/>
            </w:tcBorders>
            <w:vAlign w:val="center"/>
          </w:tcPr>
          <w:p>
            <w:pPr>
              <w:pStyle w:val="19"/>
            </w:pPr>
            <w:r>
              <w:t>106.38</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30103</w:t>
            </w:r>
          </w:p>
        </w:tc>
        <w:tc>
          <w:tcPr>
            <w:tcW w:w="4535" w:type="dxa"/>
            <w:tcBorders>
              <w:top w:val="single" w:sz="6" w:space="0" w:color="auto"/>
              <w:left w:val="single" w:sz="6" w:space="0" w:color="auto"/>
              <w:right w:val="single" w:sz="6" w:space="0" w:color="auto"/>
            </w:tcBorders>
            <w:vAlign w:val="center"/>
          </w:tcPr>
          <w:p>
            <w:pPr>
              <w:pStyle w:val="20"/>
            </w:pPr>
            <w:r>
              <w:t>奖金</w:t>
            </w:r>
          </w:p>
        </w:tc>
        <w:tc>
          <w:tcPr>
            <w:tcW w:w="2551" w:type="dxa"/>
            <w:tcBorders>
              <w:top w:val="single" w:sz="6" w:space="0" w:color="auto"/>
              <w:left w:val="single" w:sz="6" w:space="0" w:color="auto"/>
              <w:right w:val="single" w:sz="6" w:space="0" w:color="auto"/>
            </w:tcBorders>
            <w:vAlign w:val="center"/>
          </w:tcPr>
          <w:p>
            <w:pPr>
              <w:pStyle w:val="19"/>
            </w:pPr>
            <w:r>
              <w:t>26.01</w:t>
            </w:r>
          </w:p>
        </w:tc>
        <w:tc>
          <w:tcPr>
            <w:tcW w:w="2551" w:type="dxa"/>
            <w:tcBorders>
              <w:top w:val="single" w:sz="6" w:space="0" w:color="auto"/>
              <w:left w:val="single" w:sz="6" w:space="0" w:color="auto"/>
              <w:right w:val="single" w:sz="6" w:space="0" w:color="auto"/>
            </w:tcBorders>
            <w:vAlign w:val="center"/>
          </w:tcPr>
          <w:p>
            <w:pPr>
              <w:pStyle w:val="19"/>
            </w:pPr>
            <w:r>
              <w:t>26.01</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289.62</w:t>
            </w:r>
          </w:p>
        </w:tc>
        <w:tc>
          <w:tcPr>
            <w:tcW w:w="2551" w:type="dxa"/>
            <w:tcBorders>
              <w:top w:val="single" w:sz="6" w:space="0" w:color="auto"/>
              <w:left w:val="single" w:sz="6" w:space="0" w:color="auto"/>
              <w:right w:val="single" w:sz="6" w:space="0" w:color="auto"/>
            </w:tcBorders>
            <w:vAlign w:val="center"/>
          </w:tcPr>
          <w:p>
            <w:pPr>
              <w:pStyle w:val="19"/>
            </w:pPr>
            <w:r>
              <w:t>289.62</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173.50</w:t>
            </w:r>
          </w:p>
        </w:tc>
        <w:tc>
          <w:tcPr>
            <w:tcW w:w="2551" w:type="dxa"/>
            <w:tcBorders>
              <w:top w:val="single" w:sz="6" w:space="0" w:color="auto"/>
              <w:left w:val="single" w:sz="6" w:space="0" w:color="auto"/>
              <w:right w:val="single" w:sz="6" w:space="0" w:color="auto"/>
            </w:tcBorders>
            <w:vAlign w:val="center"/>
          </w:tcPr>
          <w:p>
            <w:pPr>
              <w:pStyle w:val="19"/>
            </w:pPr>
            <w:r>
              <w:t>173.50</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t>职业年金缴费</w:t>
            </w:r>
          </w:p>
        </w:tc>
        <w:tc>
          <w:tcPr>
            <w:tcW w:w="2551" w:type="dxa"/>
            <w:tcBorders>
              <w:top w:val="single" w:sz="6" w:space="0" w:color="auto"/>
              <w:left w:val="single" w:sz="6" w:space="0" w:color="auto"/>
              <w:right w:val="single" w:sz="6" w:space="0" w:color="auto"/>
            </w:tcBorders>
            <w:vAlign w:val="center"/>
          </w:tcPr>
          <w:p>
            <w:pPr>
              <w:pStyle w:val="19"/>
            </w:pPr>
            <w:r>
              <w:t>31.38</w:t>
            </w:r>
          </w:p>
        </w:tc>
        <w:tc>
          <w:tcPr>
            <w:tcW w:w="2551" w:type="dxa"/>
            <w:tcBorders>
              <w:top w:val="single" w:sz="6" w:space="0" w:color="auto"/>
              <w:left w:val="single" w:sz="6" w:space="0" w:color="auto"/>
              <w:right w:val="single" w:sz="6" w:space="0" w:color="auto"/>
            </w:tcBorders>
            <w:vAlign w:val="center"/>
          </w:tcPr>
          <w:p>
            <w:pPr>
              <w:pStyle w:val="19"/>
            </w:pPr>
            <w:r>
              <w:t>31.38</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95.56</w:t>
            </w:r>
          </w:p>
        </w:tc>
        <w:tc>
          <w:tcPr>
            <w:tcW w:w="2551" w:type="dxa"/>
            <w:tcBorders>
              <w:top w:val="single" w:sz="6" w:space="0" w:color="auto"/>
              <w:left w:val="single" w:sz="6" w:space="0" w:color="auto"/>
              <w:right w:val="single" w:sz="6" w:space="0" w:color="auto"/>
            </w:tcBorders>
            <w:vAlign w:val="center"/>
          </w:tcPr>
          <w:p>
            <w:pPr>
              <w:pStyle w:val="19"/>
            </w:pPr>
            <w:r>
              <w:t>95.56</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10.47</w:t>
            </w:r>
          </w:p>
        </w:tc>
        <w:tc>
          <w:tcPr>
            <w:tcW w:w="2551" w:type="dxa"/>
            <w:tcBorders>
              <w:top w:val="single" w:sz="6" w:space="0" w:color="auto"/>
              <w:left w:val="single" w:sz="6" w:space="0" w:color="auto"/>
              <w:right w:val="single" w:sz="6" w:space="0" w:color="auto"/>
            </w:tcBorders>
            <w:vAlign w:val="center"/>
          </w:tcPr>
          <w:p>
            <w:pPr>
              <w:pStyle w:val="19"/>
            </w:pPr>
            <w:r>
              <w:t>10.47</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86.09</w:t>
            </w:r>
          </w:p>
        </w:tc>
        <w:tc>
          <w:tcPr>
            <w:tcW w:w="2551" w:type="dxa"/>
            <w:tcBorders>
              <w:top w:val="single" w:sz="6" w:space="0" w:color="auto"/>
              <w:left w:val="single" w:sz="6" w:space="0" w:color="auto"/>
              <w:right w:val="single" w:sz="6" w:space="0" w:color="auto"/>
            </w:tcBorders>
            <w:vAlign w:val="center"/>
          </w:tcPr>
          <w:p>
            <w:pPr>
              <w:pStyle w:val="19"/>
            </w:pPr>
            <w:r>
              <w:t>86.09</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30114</w:t>
            </w:r>
          </w:p>
        </w:tc>
        <w:tc>
          <w:tcPr>
            <w:tcW w:w="4535" w:type="dxa"/>
            <w:tcBorders>
              <w:top w:val="single" w:sz="6" w:space="0" w:color="auto"/>
              <w:left w:val="single" w:sz="6" w:space="0" w:color="auto"/>
              <w:right w:val="single" w:sz="6" w:space="0" w:color="auto"/>
            </w:tcBorders>
            <w:vAlign w:val="center"/>
          </w:tcPr>
          <w:p>
            <w:pPr>
              <w:pStyle w:val="20"/>
            </w:pPr>
            <w:r>
              <w:t>医疗费</w:t>
            </w:r>
          </w:p>
        </w:tc>
        <w:tc>
          <w:tcPr>
            <w:tcW w:w="2551" w:type="dxa"/>
            <w:tcBorders>
              <w:top w:val="single" w:sz="6" w:space="0" w:color="auto"/>
              <w:left w:val="single" w:sz="6" w:space="0" w:color="auto"/>
              <w:right w:val="single" w:sz="6" w:space="0" w:color="auto"/>
            </w:tcBorders>
            <w:vAlign w:val="center"/>
          </w:tcPr>
          <w:p>
            <w:pPr>
              <w:pStyle w:val="19"/>
            </w:pPr>
            <w:r>
              <w:t>17.00</w:t>
            </w:r>
          </w:p>
        </w:tc>
        <w:tc>
          <w:tcPr>
            <w:tcW w:w="2551" w:type="dxa"/>
            <w:tcBorders>
              <w:top w:val="single" w:sz="6" w:space="0" w:color="auto"/>
              <w:left w:val="single" w:sz="6" w:space="0" w:color="auto"/>
              <w:right w:val="single" w:sz="6" w:space="0" w:color="auto"/>
            </w:tcBorders>
            <w:vAlign w:val="center"/>
          </w:tcPr>
          <w:p>
            <w:pPr>
              <w:pStyle w:val="19"/>
            </w:pPr>
            <w:r>
              <w:t>17.00</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30199</w:t>
            </w:r>
          </w:p>
        </w:tc>
        <w:tc>
          <w:tcPr>
            <w:tcW w:w="4535" w:type="dxa"/>
            <w:tcBorders>
              <w:top w:val="single" w:sz="6" w:space="0" w:color="auto"/>
              <w:left w:val="single" w:sz="6" w:space="0" w:color="auto"/>
              <w:right w:val="single" w:sz="6" w:space="0" w:color="auto"/>
            </w:tcBorders>
            <w:vAlign w:val="center"/>
          </w:tcPr>
          <w:p>
            <w:pPr>
              <w:pStyle w:val="20"/>
            </w:pPr>
            <w:r>
              <w:t>其他工资福利支出</w:t>
            </w:r>
          </w:p>
        </w:tc>
        <w:tc>
          <w:tcPr>
            <w:tcW w:w="2551" w:type="dxa"/>
            <w:tcBorders>
              <w:top w:val="single" w:sz="6" w:space="0" w:color="auto"/>
              <w:left w:val="single" w:sz="6" w:space="0" w:color="auto"/>
              <w:right w:val="single" w:sz="6" w:space="0" w:color="auto"/>
            </w:tcBorders>
            <w:vAlign w:val="center"/>
          </w:tcPr>
          <w:p>
            <w:pPr>
              <w:pStyle w:val="19"/>
            </w:pPr>
            <w:r>
              <w:t>190.31</w:t>
            </w:r>
          </w:p>
        </w:tc>
        <w:tc>
          <w:tcPr>
            <w:tcW w:w="2551" w:type="dxa"/>
            <w:tcBorders>
              <w:top w:val="single" w:sz="6" w:space="0" w:color="auto"/>
              <w:left w:val="single" w:sz="6" w:space="0" w:color="auto"/>
              <w:right w:val="single" w:sz="6" w:space="0" w:color="auto"/>
            </w:tcBorders>
            <w:vAlign w:val="center"/>
          </w:tcPr>
          <w:p>
            <w:pPr>
              <w:pStyle w:val="19"/>
            </w:pPr>
            <w:r>
              <w:t>190.31</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289.94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289.94</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66.20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66.20</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30202</w:t>
            </w:r>
          </w:p>
        </w:tc>
        <w:tc>
          <w:tcPr>
            <w:tcW w:w="4535" w:type="dxa"/>
            <w:tcBorders>
              <w:top w:val="single" w:sz="6" w:space="0" w:color="auto"/>
              <w:left w:val="single" w:sz="6" w:space="0" w:color="auto"/>
              <w:right w:val="single" w:sz="6" w:space="0" w:color="auto"/>
            </w:tcBorders>
            <w:vAlign w:val="center"/>
          </w:tcPr>
          <w:p>
            <w:pPr>
              <w:pStyle w:val="20"/>
            </w:pPr>
            <w:r>
              <w:t>印刷费</w:t>
            </w:r>
          </w:p>
        </w:tc>
        <w:tc>
          <w:tcPr>
            <w:tcW w:w="2551" w:type="dxa"/>
            <w:tcBorders>
              <w:top w:val="single" w:sz="6" w:space="0" w:color="auto"/>
              <w:left w:val="single" w:sz="6" w:space="0" w:color="auto"/>
              <w:right w:val="single" w:sz="6" w:space="0" w:color="auto"/>
            </w:tcBorders>
            <w:vAlign w:val="center"/>
          </w:tcPr>
          <w:p>
            <w:pPr>
              <w:pStyle w:val="19"/>
            </w:pPr>
            <w:r>
              <w:t>4.08</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4.08</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30204</w:t>
            </w:r>
          </w:p>
        </w:tc>
        <w:tc>
          <w:tcPr>
            <w:tcW w:w="4535" w:type="dxa"/>
            <w:tcBorders>
              <w:top w:val="single" w:sz="6" w:space="0" w:color="auto"/>
              <w:left w:val="single" w:sz="6" w:space="0" w:color="auto"/>
              <w:right w:val="single" w:sz="6" w:space="0" w:color="auto"/>
            </w:tcBorders>
            <w:vAlign w:val="center"/>
          </w:tcPr>
          <w:p>
            <w:pPr>
              <w:pStyle w:val="20"/>
            </w:pPr>
            <w:r>
              <w:t>手续费</w:t>
            </w:r>
          </w:p>
        </w:tc>
        <w:tc>
          <w:tcPr>
            <w:tcW w:w="2551" w:type="dxa"/>
            <w:tcBorders>
              <w:top w:val="single" w:sz="6" w:space="0" w:color="auto"/>
              <w:left w:val="single" w:sz="6" w:space="0" w:color="auto"/>
              <w:right w:val="single" w:sz="6" w:space="0" w:color="auto"/>
            </w:tcBorders>
            <w:vAlign w:val="center"/>
          </w:tcPr>
          <w:p>
            <w:pPr>
              <w:pStyle w:val="19"/>
            </w:pPr>
            <w:r>
              <w:t>0.50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0.50</w:t>
            </w: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30205</w:t>
            </w:r>
          </w:p>
        </w:tc>
        <w:tc>
          <w:tcPr>
            <w:tcW w:w="4535" w:type="dxa"/>
            <w:tcBorders>
              <w:top w:val="single" w:sz="6" w:space="0" w:color="auto"/>
              <w:left w:val="single" w:sz="6" w:space="0" w:color="auto"/>
              <w:right w:val="single" w:sz="6" w:space="0" w:color="auto"/>
            </w:tcBorders>
            <w:vAlign w:val="center"/>
          </w:tcPr>
          <w:p>
            <w:pPr>
              <w:pStyle w:val="20"/>
            </w:pPr>
            <w:r>
              <w:t>水费</w:t>
            </w:r>
          </w:p>
        </w:tc>
        <w:tc>
          <w:tcPr>
            <w:tcW w:w="2551" w:type="dxa"/>
            <w:tcBorders>
              <w:top w:val="single" w:sz="6" w:space="0" w:color="auto"/>
              <w:left w:val="single" w:sz="6" w:space="0" w:color="auto"/>
              <w:right w:val="single" w:sz="6" w:space="0" w:color="auto"/>
            </w:tcBorders>
            <w:vAlign w:val="center"/>
          </w:tcPr>
          <w:p>
            <w:pPr>
              <w:pStyle w:val="19"/>
            </w:pPr>
            <w:r>
              <w:t>1.00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w:t>
            </w: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30206</w:t>
            </w:r>
          </w:p>
        </w:tc>
        <w:tc>
          <w:tcPr>
            <w:tcW w:w="4535" w:type="dxa"/>
            <w:tcBorders>
              <w:top w:val="single" w:sz="6" w:space="0" w:color="auto"/>
              <w:left w:val="single" w:sz="6" w:space="0" w:color="auto"/>
              <w:right w:val="single" w:sz="6" w:space="0" w:color="auto"/>
            </w:tcBorders>
            <w:vAlign w:val="center"/>
          </w:tcPr>
          <w:p>
            <w:pPr>
              <w:pStyle w:val="20"/>
            </w:pPr>
            <w:r>
              <w:t>电费</w:t>
            </w:r>
          </w:p>
        </w:tc>
        <w:tc>
          <w:tcPr>
            <w:tcW w:w="2551" w:type="dxa"/>
            <w:tcBorders>
              <w:top w:val="single" w:sz="6" w:space="0" w:color="auto"/>
              <w:left w:val="single" w:sz="6" w:space="0" w:color="auto"/>
              <w:right w:val="single" w:sz="6" w:space="0" w:color="auto"/>
            </w:tcBorders>
            <w:vAlign w:val="center"/>
          </w:tcPr>
          <w:p>
            <w:pPr>
              <w:pStyle w:val="19"/>
            </w:pPr>
            <w:r>
              <w:t>11.00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11.00</w:t>
            </w: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30207</w:t>
            </w:r>
          </w:p>
        </w:tc>
        <w:tc>
          <w:tcPr>
            <w:tcW w:w="4535" w:type="dxa"/>
            <w:tcBorders>
              <w:top w:val="single" w:sz="6" w:space="0" w:color="auto"/>
              <w:left w:val="single" w:sz="6" w:space="0" w:color="auto"/>
              <w:right w:val="single" w:sz="6" w:space="0" w:color="auto"/>
            </w:tcBorders>
            <w:vAlign w:val="center"/>
          </w:tcPr>
          <w:p>
            <w:pPr>
              <w:pStyle w:val="20"/>
            </w:pPr>
            <w:r>
              <w:t>邮电费</w:t>
            </w:r>
          </w:p>
        </w:tc>
        <w:tc>
          <w:tcPr>
            <w:tcW w:w="2551" w:type="dxa"/>
            <w:tcBorders>
              <w:top w:val="single" w:sz="6" w:space="0" w:color="auto"/>
              <w:left w:val="single" w:sz="6" w:space="0" w:color="auto"/>
              <w:right w:val="single" w:sz="6" w:space="0" w:color="auto"/>
            </w:tcBorders>
            <w:vAlign w:val="center"/>
          </w:tcPr>
          <w:p>
            <w:pPr>
              <w:pStyle w:val="19"/>
            </w:pPr>
            <w:r>
              <w:t>24.00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24.00</w:t>
            </w:r>
          </w:p>
        </w:tc>
      </w:tr>
      <w:tr>
        <w:trPr>
          <w:trHeight w:val="369"/>
        </w:trPr>
        <w:tc>
          <w:tcPr>
            <w:tcW w:w="850" w:type="dxa"/>
            <w:vAlign w:val="center"/>
          </w:tcPr>
          <w:p>
            <w:pPr>
              <w:pStyle w:val="21"/>
            </w:pPr>
            <w:r>
              <w:t>21</w:t>
            </w:r>
          </w:p>
        </w:tc>
        <w:tc>
          <w:tcPr>
            <w:tcW w:w="1191" w:type="dxa"/>
            <w:tcBorders>
              <w:top w:val="single" w:sz="6" w:space="0" w:color="auto"/>
              <w:left w:val="single" w:sz="6" w:space="0" w:color="auto"/>
              <w:right w:val="single" w:sz="6" w:space="0" w:color="auto"/>
            </w:tcBorders>
            <w:vAlign w:val="center"/>
          </w:tcPr>
          <w:p>
            <w:pPr>
              <w:pStyle w:val="20"/>
            </w:pPr>
            <w:r>
              <w:t>30211</w:t>
            </w:r>
          </w:p>
        </w:tc>
        <w:tc>
          <w:tcPr>
            <w:tcW w:w="4535" w:type="dxa"/>
            <w:tcBorders>
              <w:top w:val="single" w:sz="6" w:space="0" w:color="auto"/>
              <w:left w:val="single" w:sz="6" w:space="0" w:color="auto"/>
              <w:right w:val="single" w:sz="6" w:space="0" w:color="auto"/>
            </w:tcBorders>
            <w:vAlign w:val="center"/>
          </w:tcPr>
          <w:p>
            <w:pPr>
              <w:pStyle w:val="20"/>
            </w:pPr>
            <w:r>
              <w:t>差旅费</w:t>
            </w:r>
          </w:p>
        </w:tc>
        <w:tc>
          <w:tcPr>
            <w:tcW w:w="2551" w:type="dxa"/>
            <w:tcBorders>
              <w:top w:val="single" w:sz="6" w:space="0" w:color="auto"/>
              <w:left w:val="single" w:sz="6" w:space="0" w:color="auto"/>
              <w:right w:val="single" w:sz="6" w:space="0" w:color="auto"/>
            </w:tcBorders>
            <w:vAlign w:val="center"/>
          </w:tcPr>
          <w:p>
            <w:pPr>
              <w:pStyle w:val="19"/>
            </w:pPr>
            <w:r>
              <w:t>14.00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14.00</w:t>
            </w:r>
          </w:p>
        </w:tc>
      </w:tr>
      <w:tr>
        <w:trPr>
          <w:trHeight w:val="369"/>
        </w:trPr>
        <w:tc>
          <w:tcPr>
            <w:tcW w:w="850" w:type="dxa"/>
            <w:vAlign w:val="center"/>
          </w:tcPr>
          <w:p>
            <w:pPr>
              <w:pStyle w:val="21"/>
            </w:pPr>
            <w:r>
              <w:t>22</w:t>
            </w:r>
          </w:p>
        </w:tc>
        <w:tc>
          <w:tcPr>
            <w:tcW w:w="1191" w:type="dxa"/>
            <w:tcBorders>
              <w:top w:val="single" w:sz="6" w:space="0" w:color="auto"/>
              <w:left w:val="single" w:sz="6" w:space="0" w:color="auto"/>
              <w:right w:val="single" w:sz="6" w:space="0" w:color="auto"/>
            </w:tcBorders>
            <w:vAlign w:val="center"/>
          </w:tcPr>
          <w:p>
            <w:pPr>
              <w:pStyle w:val="20"/>
            </w:pPr>
            <w:r>
              <w:t>30213</w:t>
            </w:r>
          </w:p>
        </w:tc>
        <w:tc>
          <w:tcPr>
            <w:tcW w:w="4535" w:type="dxa"/>
            <w:tcBorders>
              <w:top w:val="single" w:sz="6" w:space="0" w:color="auto"/>
              <w:left w:val="single" w:sz="6" w:space="0" w:color="auto"/>
              <w:right w:val="single" w:sz="6" w:space="0" w:color="auto"/>
            </w:tcBorders>
            <w:vAlign w:val="center"/>
          </w:tcPr>
          <w:p>
            <w:pPr>
              <w:pStyle w:val="20"/>
            </w:pPr>
            <w:r>
              <w:t>维修(护)费</w:t>
            </w:r>
          </w:p>
        </w:tc>
        <w:tc>
          <w:tcPr>
            <w:tcW w:w="2551" w:type="dxa"/>
            <w:tcBorders>
              <w:top w:val="single" w:sz="6" w:space="0" w:color="auto"/>
              <w:left w:val="single" w:sz="6" w:space="0" w:color="auto"/>
              <w:right w:val="single" w:sz="6" w:space="0" w:color="auto"/>
            </w:tcBorders>
            <w:vAlign w:val="center"/>
          </w:tcPr>
          <w:p>
            <w:pPr>
              <w:pStyle w:val="19"/>
            </w:pPr>
            <w:r>
              <w:t>5.70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5.70</w:t>
            </w:r>
          </w:p>
        </w:tc>
      </w:tr>
      <w:tr>
        <w:trPr>
          <w:trHeight w:val="369"/>
        </w:trPr>
        <w:tc>
          <w:tcPr>
            <w:tcW w:w="850" w:type="dxa"/>
            <w:vAlign w:val="center"/>
          </w:tcPr>
          <w:p>
            <w:pPr>
              <w:pStyle w:val="21"/>
            </w:pPr>
            <w:r>
              <w:t>23</w:t>
            </w:r>
          </w:p>
        </w:tc>
        <w:tc>
          <w:tcPr>
            <w:tcW w:w="1191" w:type="dxa"/>
            <w:tcBorders>
              <w:top w:val="single" w:sz="6" w:space="0" w:color="auto"/>
              <w:left w:val="single" w:sz="6" w:space="0" w:color="auto"/>
              <w:right w:val="single" w:sz="6" w:space="0" w:color="auto"/>
            </w:tcBorders>
            <w:vAlign w:val="center"/>
          </w:tcPr>
          <w:p>
            <w:pPr>
              <w:pStyle w:val="20"/>
            </w:pPr>
            <w:r>
              <w:t>30216</w:t>
            </w:r>
          </w:p>
        </w:tc>
        <w:tc>
          <w:tcPr>
            <w:tcW w:w="4535" w:type="dxa"/>
            <w:tcBorders>
              <w:top w:val="single" w:sz="6" w:space="0" w:color="auto"/>
              <w:left w:val="single" w:sz="6" w:space="0" w:color="auto"/>
              <w:right w:val="single" w:sz="6" w:space="0" w:color="auto"/>
            </w:tcBorders>
            <w:vAlign w:val="center"/>
          </w:tcPr>
          <w:p>
            <w:pPr>
              <w:pStyle w:val="20"/>
            </w:pPr>
            <w:r>
              <w:t>培训费</w:t>
            </w:r>
          </w:p>
        </w:tc>
        <w:tc>
          <w:tcPr>
            <w:tcW w:w="2551" w:type="dxa"/>
            <w:tcBorders>
              <w:top w:val="single" w:sz="6" w:space="0" w:color="auto"/>
              <w:left w:val="single" w:sz="6" w:space="0" w:color="auto"/>
              <w:right w:val="single" w:sz="6" w:space="0" w:color="auto"/>
            </w:tcBorders>
            <w:vAlign w:val="center"/>
          </w:tcPr>
          <w:p>
            <w:pPr>
              <w:pStyle w:val="19"/>
            </w:pPr>
            <w:r>
              <w:t>0.20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0.20</w:t>
            </w:r>
          </w:p>
        </w:tc>
      </w:tr>
      <w:tr>
        <w:trPr>
          <w:trHeight w:val="369"/>
        </w:trPr>
        <w:tc>
          <w:tcPr>
            <w:tcW w:w="850" w:type="dxa"/>
            <w:vAlign w:val="center"/>
          </w:tcPr>
          <w:p>
            <w:pPr>
              <w:pStyle w:val="21"/>
            </w:pPr>
            <w:r>
              <w:t>24</w:t>
            </w:r>
          </w:p>
        </w:tc>
        <w:tc>
          <w:tcPr>
            <w:tcW w:w="1191" w:type="dxa"/>
            <w:tcBorders>
              <w:top w:val="single" w:sz="6" w:space="0" w:color="auto"/>
              <w:left w:val="single" w:sz="6" w:space="0" w:color="auto"/>
              <w:right w:val="single" w:sz="6" w:space="0" w:color="auto"/>
            </w:tcBorders>
            <w:vAlign w:val="center"/>
          </w:tcPr>
          <w:p>
            <w:pPr>
              <w:pStyle w:val="20"/>
            </w:pPr>
            <w:r>
              <w:t>30217</w:t>
            </w:r>
          </w:p>
        </w:tc>
        <w:tc>
          <w:tcPr>
            <w:tcW w:w="4535" w:type="dxa"/>
            <w:tcBorders>
              <w:top w:val="single" w:sz="6" w:space="0" w:color="auto"/>
              <w:left w:val="single" w:sz="6" w:space="0" w:color="auto"/>
              <w:right w:val="single" w:sz="6" w:space="0" w:color="auto"/>
            </w:tcBorders>
            <w:vAlign w:val="center"/>
          </w:tcPr>
          <w:p>
            <w:pPr>
              <w:pStyle w:val="20"/>
            </w:pPr>
            <w:r>
              <w:t>公务接待费</w:t>
            </w:r>
          </w:p>
        </w:tc>
        <w:tc>
          <w:tcPr>
            <w:tcW w:w="2551" w:type="dxa"/>
            <w:tcBorders>
              <w:top w:val="single" w:sz="6" w:space="0" w:color="auto"/>
              <w:left w:val="single" w:sz="6" w:space="0" w:color="auto"/>
              <w:right w:val="single" w:sz="6" w:space="0" w:color="auto"/>
            </w:tcBorders>
            <w:vAlign w:val="center"/>
          </w:tcPr>
          <w:p>
            <w:pPr>
              <w:pStyle w:val="19"/>
            </w:pPr>
            <w:r>
              <w:t>4.00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4.00</w:t>
            </w:r>
          </w:p>
        </w:tc>
      </w:tr>
      <w:tr>
        <w:trPr>
          <w:trHeight w:val="369"/>
        </w:trPr>
        <w:tc>
          <w:tcPr>
            <w:tcW w:w="850" w:type="dxa"/>
            <w:vAlign w:val="center"/>
          </w:tcPr>
          <w:p>
            <w:pPr>
              <w:pStyle w:val="21"/>
            </w:pPr>
            <w:r>
              <w:t>25</w:t>
            </w:r>
          </w:p>
        </w:tc>
        <w:tc>
          <w:tcPr>
            <w:tcW w:w="1191" w:type="dxa"/>
            <w:tcBorders>
              <w:top w:val="single" w:sz="6" w:space="0" w:color="auto"/>
              <w:left w:val="single" w:sz="6" w:space="0" w:color="auto"/>
              <w:right w:val="single" w:sz="6" w:space="0" w:color="auto"/>
            </w:tcBorders>
            <w:vAlign w:val="center"/>
          </w:tcPr>
          <w:p>
            <w:pPr>
              <w:pStyle w:val="20"/>
            </w:pPr>
            <w:r>
              <w:t>30226</w:t>
            </w:r>
          </w:p>
        </w:tc>
        <w:tc>
          <w:tcPr>
            <w:tcW w:w="4535" w:type="dxa"/>
            <w:tcBorders>
              <w:top w:val="single" w:sz="6" w:space="0" w:color="auto"/>
              <w:left w:val="single" w:sz="6" w:space="0" w:color="auto"/>
              <w:right w:val="single" w:sz="6" w:space="0" w:color="auto"/>
            </w:tcBorders>
            <w:vAlign w:val="center"/>
          </w:tcPr>
          <w:p>
            <w:pPr>
              <w:pStyle w:val="20"/>
            </w:pPr>
            <w:r>
              <w:t>劳务费</w:t>
            </w:r>
          </w:p>
        </w:tc>
        <w:tc>
          <w:tcPr>
            <w:tcW w:w="2551" w:type="dxa"/>
            <w:tcBorders>
              <w:top w:val="single" w:sz="6" w:space="0" w:color="auto"/>
              <w:left w:val="single" w:sz="6" w:space="0" w:color="auto"/>
              <w:right w:val="single" w:sz="6" w:space="0" w:color="auto"/>
            </w:tcBorders>
            <w:vAlign w:val="center"/>
          </w:tcPr>
          <w:p>
            <w:pPr>
              <w:pStyle w:val="19"/>
            </w:pPr>
            <w:r>
              <w:t>47.60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47.60</w:t>
            </w:r>
          </w:p>
        </w:tc>
      </w:tr>
      <w:tr>
        <w:trPr>
          <w:trHeight w:val="369"/>
        </w:trPr>
        <w:tc>
          <w:tcPr>
            <w:tcW w:w="850" w:type="dxa"/>
            <w:vAlign w:val="center"/>
          </w:tcPr>
          <w:p>
            <w:pPr>
              <w:pStyle w:val="21"/>
            </w:pPr>
            <w:r>
              <w:t>26</w:t>
            </w:r>
          </w:p>
        </w:tc>
        <w:tc>
          <w:tcPr>
            <w:tcW w:w="1191" w:type="dxa"/>
            <w:tcBorders>
              <w:top w:val="single" w:sz="6" w:space="0" w:color="auto"/>
              <w:left w:val="single" w:sz="6" w:space="0" w:color="auto"/>
              <w:right w:val="single" w:sz="6" w:space="0" w:color="auto"/>
            </w:tcBorders>
            <w:vAlign w:val="center"/>
          </w:tcPr>
          <w:p>
            <w:pPr>
              <w:pStyle w:val="20"/>
            </w:pPr>
            <w:r>
              <w:t>30227</w:t>
            </w:r>
          </w:p>
        </w:tc>
        <w:tc>
          <w:tcPr>
            <w:tcW w:w="4535" w:type="dxa"/>
            <w:tcBorders>
              <w:top w:val="single" w:sz="6" w:space="0" w:color="auto"/>
              <w:left w:val="single" w:sz="6" w:space="0" w:color="auto"/>
              <w:right w:val="single" w:sz="6" w:space="0" w:color="auto"/>
            </w:tcBorders>
            <w:vAlign w:val="center"/>
          </w:tcPr>
          <w:p>
            <w:pPr>
              <w:pStyle w:val="20"/>
            </w:pPr>
            <w:r>
              <w:t>委托业务费</w:t>
            </w:r>
          </w:p>
        </w:tc>
        <w:tc>
          <w:tcPr>
            <w:tcW w:w="2551" w:type="dxa"/>
            <w:tcBorders>
              <w:top w:val="single" w:sz="6" w:space="0" w:color="auto"/>
              <w:left w:val="single" w:sz="6" w:space="0" w:color="auto"/>
              <w:right w:val="single" w:sz="6" w:space="0" w:color="auto"/>
            </w:tcBorders>
            <w:vAlign w:val="center"/>
          </w:tcPr>
          <w:p>
            <w:pPr>
              <w:pStyle w:val="19"/>
            </w:pPr>
            <w:r>
              <w:t>49.00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49.00</w:t>
            </w:r>
          </w:p>
        </w:tc>
      </w:tr>
      <w:tr>
        <w:trPr>
          <w:trHeight w:val="369"/>
        </w:trPr>
        <w:tc>
          <w:tcPr>
            <w:tcW w:w="850" w:type="dxa"/>
            <w:vAlign w:val="center"/>
          </w:tcPr>
          <w:p>
            <w:pPr>
              <w:pStyle w:val="21"/>
            </w:pPr>
            <w:r>
              <w:t>27</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12.78</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12.78</w:t>
            </w:r>
          </w:p>
        </w:tc>
      </w:tr>
      <w:tr>
        <w:trPr>
          <w:trHeight w:val="369"/>
        </w:trPr>
        <w:tc>
          <w:tcPr>
            <w:tcW w:w="850" w:type="dxa"/>
            <w:vAlign w:val="center"/>
          </w:tcPr>
          <w:p>
            <w:pPr>
              <w:pStyle w:val="21"/>
            </w:pPr>
            <w:r>
              <w:t>28</w:t>
            </w:r>
          </w:p>
        </w:tc>
        <w:tc>
          <w:tcPr>
            <w:tcW w:w="1191" w:type="dxa"/>
            <w:tcBorders>
              <w:top w:val="single" w:sz="6" w:space="0" w:color="auto"/>
              <w:left w:val="single" w:sz="6" w:space="0" w:color="auto"/>
              <w:right w:val="single" w:sz="6" w:space="0" w:color="auto"/>
            </w:tcBorders>
            <w:vAlign w:val="center"/>
          </w:tcPr>
          <w:p>
            <w:pPr>
              <w:pStyle w:val="20"/>
            </w:pPr>
            <w:r>
              <w:t>30231</w:t>
            </w:r>
          </w:p>
        </w:tc>
        <w:tc>
          <w:tcPr>
            <w:tcW w:w="4535" w:type="dxa"/>
            <w:tcBorders>
              <w:top w:val="single" w:sz="6" w:space="0" w:color="auto"/>
              <w:left w:val="single" w:sz="6" w:space="0" w:color="auto"/>
              <w:right w:val="single" w:sz="6" w:space="0" w:color="auto"/>
            </w:tcBorders>
            <w:vAlign w:val="center"/>
          </w:tcPr>
          <w:p>
            <w:pPr>
              <w:pStyle w:val="20"/>
            </w:pPr>
            <w:r>
              <w:t>公务用车运行维护费</w:t>
            </w:r>
          </w:p>
        </w:tc>
        <w:tc>
          <w:tcPr>
            <w:tcW w:w="2551" w:type="dxa"/>
            <w:tcBorders>
              <w:top w:val="single" w:sz="6" w:space="0" w:color="auto"/>
              <w:left w:val="single" w:sz="6" w:space="0" w:color="auto"/>
              <w:right w:val="single" w:sz="6" w:space="0" w:color="auto"/>
            </w:tcBorders>
            <w:vAlign w:val="center"/>
          </w:tcPr>
          <w:p>
            <w:pPr>
              <w:pStyle w:val="19"/>
            </w:pPr>
            <w:r>
              <w:t>5.40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5.40</w:t>
            </w:r>
          </w:p>
        </w:tc>
      </w:tr>
      <w:tr>
        <w:trPr>
          <w:trHeight w:val="369"/>
        </w:trPr>
        <w:tc>
          <w:tcPr>
            <w:tcW w:w="850" w:type="dxa"/>
            <w:vAlign w:val="center"/>
          </w:tcPr>
          <w:p>
            <w:pPr>
              <w:pStyle w:val="21"/>
            </w:pPr>
            <w:r>
              <w:t>29</w:t>
            </w:r>
          </w:p>
        </w:tc>
        <w:tc>
          <w:tcPr>
            <w:tcW w:w="1191" w:type="dxa"/>
            <w:tcBorders>
              <w:top w:val="single" w:sz="6" w:space="0" w:color="auto"/>
              <w:left w:val="single" w:sz="6" w:space="0" w:color="auto"/>
              <w:right w:val="single" w:sz="6" w:space="0" w:color="auto"/>
            </w:tcBorders>
            <w:vAlign w:val="center"/>
          </w:tcPr>
          <w:p>
            <w:pPr>
              <w:pStyle w:val="20"/>
            </w:pPr>
            <w:r>
              <w:t>30239</w:t>
            </w:r>
          </w:p>
        </w:tc>
        <w:tc>
          <w:tcPr>
            <w:tcW w:w="4535" w:type="dxa"/>
            <w:tcBorders>
              <w:top w:val="single" w:sz="6" w:space="0" w:color="auto"/>
              <w:left w:val="single" w:sz="6" w:space="0" w:color="auto"/>
              <w:right w:val="single" w:sz="6" w:space="0" w:color="auto"/>
            </w:tcBorders>
            <w:vAlign w:val="center"/>
          </w:tcPr>
          <w:p>
            <w:pPr>
              <w:pStyle w:val="20"/>
            </w:pPr>
            <w:r>
              <w:t>其他交通费用</w:t>
            </w:r>
          </w:p>
        </w:tc>
        <w:tc>
          <w:tcPr>
            <w:tcW w:w="2551" w:type="dxa"/>
            <w:tcBorders>
              <w:top w:val="single" w:sz="6" w:space="0" w:color="auto"/>
              <w:left w:val="single" w:sz="6" w:space="0" w:color="auto"/>
              <w:right w:val="single" w:sz="6" w:space="0" w:color="auto"/>
            </w:tcBorders>
            <w:vAlign w:val="center"/>
          </w:tcPr>
          <w:p>
            <w:pPr>
              <w:pStyle w:val="19"/>
            </w:pPr>
            <w:r>
              <w:t>16.38</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16.38</w:t>
            </w:r>
          </w:p>
        </w:tc>
      </w:tr>
      <w:tr>
        <w:trPr>
          <w:trHeight w:val="369"/>
        </w:trPr>
        <w:tc>
          <w:tcPr>
            <w:tcW w:w="850" w:type="dxa"/>
            <w:vAlign w:val="center"/>
          </w:tcPr>
          <w:p>
            <w:pPr>
              <w:pStyle w:val="21"/>
            </w:pPr>
            <w:r>
              <w:t>30</w:t>
            </w:r>
          </w:p>
        </w:tc>
        <w:tc>
          <w:tcPr>
            <w:tcW w:w="1191" w:type="dxa"/>
            <w:tcBorders>
              <w:top w:val="single" w:sz="6" w:space="0" w:color="auto"/>
              <w:left w:val="single" w:sz="6" w:space="0" w:color="auto"/>
              <w:right w:val="single" w:sz="6" w:space="0" w:color="auto"/>
            </w:tcBorders>
            <w:vAlign w:val="center"/>
          </w:tcPr>
          <w:p>
            <w:pPr>
              <w:pStyle w:val="20"/>
            </w:pPr>
            <w:r>
              <w:t>30299</w:t>
            </w:r>
          </w:p>
        </w:tc>
        <w:tc>
          <w:tcPr>
            <w:tcW w:w="4535" w:type="dxa"/>
            <w:tcBorders>
              <w:top w:val="single" w:sz="6" w:space="0" w:color="auto"/>
              <w:left w:val="single" w:sz="6" w:space="0" w:color="auto"/>
              <w:right w:val="single" w:sz="6" w:space="0" w:color="auto"/>
            </w:tcBorders>
            <w:vAlign w:val="center"/>
          </w:tcPr>
          <w:p>
            <w:pPr>
              <w:pStyle w:val="20"/>
            </w:pPr>
            <w:r>
              <w:t>其他商品和服务支出</w:t>
            </w:r>
          </w:p>
        </w:tc>
        <w:tc>
          <w:tcPr>
            <w:tcW w:w="2551" w:type="dxa"/>
            <w:tcBorders>
              <w:top w:val="single" w:sz="6" w:space="0" w:color="auto"/>
              <w:left w:val="single" w:sz="6" w:space="0" w:color="auto"/>
              <w:right w:val="single" w:sz="6" w:space="0" w:color="auto"/>
            </w:tcBorders>
            <w:vAlign w:val="center"/>
          </w:tcPr>
          <w:p>
            <w:pPr>
              <w:pStyle w:val="19"/>
            </w:pPr>
            <w:r>
              <w:t>28.10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28.10</w:t>
            </w:r>
          </w:p>
        </w:tc>
      </w:tr>
      <w:tr>
        <w:trPr>
          <w:trHeight w:val="369"/>
        </w:trPr>
        <w:tc>
          <w:tcPr>
            <w:tcW w:w="850" w:type="dxa"/>
            <w:vAlign w:val="center"/>
          </w:tcPr>
          <w:p>
            <w:pPr>
              <w:pStyle w:val="21"/>
            </w:pPr>
            <w:r>
              <w:t>31</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128.06</w:t>
            </w:r>
          </w:p>
        </w:tc>
        <w:tc>
          <w:tcPr>
            <w:tcW w:w="2551" w:type="dxa"/>
            <w:tcBorders>
              <w:top w:val="single" w:sz="6" w:space="0" w:color="auto"/>
              <w:left w:val="single" w:sz="6" w:space="0" w:color="auto"/>
              <w:right w:val="single" w:sz="6" w:space="0" w:color="auto"/>
            </w:tcBorders>
            <w:vAlign w:val="center"/>
          </w:tcPr>
          <w:p>
            <w:pPr>
              <w:pStyle w:val="19"/>
            </w:pPr>
            <w:r>
              <w:t>128.06</w:t>
            </w:r>
          </w:p>
        </w:tc>
        <w:tc>
          <w:tcPr>
            <w:tcW w:w="2551" w:type="dxa"/>
            <w:vAlign w:val="center"/>
          </w:tcPr>
          <w:p>
            <w:pPr>
              <w:pStyle w:val="19"/>
            </w:pPr>
          </w:p>
        </w:tc>
      </w:tr>
      <w:tr>
        <w:trPr>
          <w:trHeight w:val="369"/>
        </w:trPr>
        <w:tc>
          <w:tcPr>
            <w:tcW w:w="850" w:type="dxa"/>
            <w:vAlign w:val="center"/>
          </w:tcPr>
          <w:p>
            <w:pPr>
              <w:pStyle w:val="21"/>
            </w:pPr>
            <w:r>
              <w:t>32</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121.44</w:t>
            </w:r>
          </w:p>
        </w:tc>
        <w:tc>
          <w:tcPr>
            <w:tcW w:w="2551" w:type="dxa"/>
            <w:tcBorders>
              <w:top w:val="single" w:sz="6" w:space="0" w:color="auto"/>
              <w:left w:val="single" w:sz="6" w:space="0" w:color="auto"/>
              <w:right w:val="single" w:sz="6" w:space="0" w:color="auto"/>
            </w:tcBorders>
            <w:vAlign w:val="center"/>
          </w:tcPr>
          <w:p>
            <w:pPr>
              <w:pStyle w:val="19"/>
            </w:pPr>
            <w:r>
              <w:t>121.44</w:t>
            </w:r>
          </w:p>
        </w:tc>
        <w:tc>
          <w:tcPr>
            <w:tcW w:w="2551" w:type="dxa"/>
            <w:vAlign w:val="center"/>
          </w:tcPr>
          <w:p>
            <w:pPr>
              <w:pStyle w:val="19"/>
            </w:pPr>
          </w:p>
        </w:tc>
      </w:tr>
      <w:tr>
        <w:trPr>
          <w:trHeight w:val="369"/>
        </w:trPr>
        <w:tc>
          <w:tcPr>
            <w:tcW w:w="850" w:type="dxa"/>
            <w:vAlign w:val="center"/>
          </w:tcPr>
          <w:p>
            <w:pPr>
              <w:pStyle w:val="21"/>
            </w:pPr>
            <w:r>
              <w:t>33</w:t>
            </w:r>
          </w:p>
        </w:tc>
        <w:tc>
          <w:tcPr>
            <w:tcW w:w="1191" w:type="dxa"/>
            <w:tcBorders>
              <w:top w:val="single" w:sz="6" w:space="0" w:color="auto"/>
              <w:left w:val="single" w:sz="6" w:space="0" w:color="auto"/>
              <w:right w:val="single" w:sz="6" w:space="0" w:color="auto"/>
            </w:tcBorders>
            <w:vAlign w:val="center"/>
          </w:tcPr>
          <w:p>
            <w:pPr>
              <w:pStyle w:val="20"/>
            </w:pPr>
            <w:r>
              <w:t>30305</w:t>
            </w:r>
          </w:p>
        </w:tc>
        <w:tc>
          <w:tcPr>
            <w:tcW w:w="4535" w:type="dxa"/>
            <w:tcBorders>
              <w:top w:val="single" w:sz="6" w:space="0" w:color="auto"/>
              <w:left w:val="single" w:sz="6" w:space="0" w:color="auto"/>
              <w:right w:val="single" w:sz="6" w:space="0" w:color="auto"/>
            </w:tcBorders>
            <w:vAlign w:val="center"/>
          </w:tcPr>
          <w:p>
            <w:pPr>
              <w:pStyle w:val="20"/>
            </w:pPr>
            <w:r>
              <w:t>生活补助</w:t>
            </w:r>
          </w:p>
        </w:tc>
        <w:tc>
          <w:tcPr>
            <w:tcW w:w="2551" w:type="dxa"/>
            <w:tcBorders>
              <w:top w:val="single" w:sz="6" w:space="0" w:color="auto"/>
              <w:left w:val="single" w:sz="6" w:space="0" w:color="auto"/>
              <w:right w:val="single" w:sz="6" w:space="0" w:color="auto"/>
            </w:tcBorders>
            <w:vAlign w:val="center"/>
          </w:tcPr>
          <w:p>
            <w:pPr>
              <w:pStyle w:val="19"/>
            </w:pPr>
            <w:r>
              <w:t>6.63</w:t>
            </w:r>
          </w:p>
        </w:tc>
        <w:tc>
          <w:tcPr>
            <w:tcW w:w="2551" w:type="dxa"/>
            <w:tcBorders>
              <w:top w:val="single" w:sz="6" w:space="0" w:color="auto"/>
              <w:left w:val="single" w:sz="6" w:space="0" w:color="auto"/>
              <w:right w:val="single" w:sz="6" w:space="0" w:color="auto"/>
            </w:tcBorders>
            <w:vAlign w:val="center"/>
          </w:tcPr>
          <w:p>
            <w:pPr>
              <w:pStyle w:val="19"/>
            </w:pPr>
            <w:r>
              <w:t>6.63</w:t>
            </w:r>
          </w:p>
        </w:tc>
        <w:tc>
          <w:tcPr>
            <w:tcW w:w="2551" w:type="dxa"/>
            <w:vAlign w:val="center"/>
          </w:tcPr>
          <w:p>
            <w:pPr>
              <w:pStyle w:val="19"/>
            </w:pPr>
          </w:p>
        </w:tc>
      </w:tr>
      <w:tr>
        <w:trPr>
          <w:trHeight w:val="369"/>
        </w:trPr>
        <w:tc>
          <w:tcPr>
            <w:tcW w:w="850" w:type="dxa"/>
            <w:vAlign w:val="center"/>
          </w:tcPr>
          <w:p>
            <w:pPr>
              <w:pStyle w:val="21"/>
            </w:pPr>
            <w:r>
              <w:t>34</w:t>
            </w:r>
          </w:p>
        </w:tc>
        <w:tc>
          <w:tcPr>
            <w:tcW w:w="1191" w:type="dxa"/>
            <w:tcBorders>
              <w:top w:val="single" w:sz="6" w:space="0" w:color="auto"/>
              <w:left w:val="single" w:sz="6" w:space="0" w:color="auto"/>
              <w:right w:val="single" w:sz="6" w:space="0" w:color="auto"/>
            </w:tcBorders>
            <w:vAlign w:val="center"/>
          </w:tcPr>
          <w:p>
            <w:pPr>
              <w:pStyle w:val="20"/>
            </w:pPr>
            <w:r>
              <w:t>310</w:t>
            </w:r>
          </w:p>
        </w:tc>
        <w:tc>
          <w:tcPr>
            <w:tcW w:w="4535" w:type="dxa"/>
            <w:tcBorders>
              <w:top w:val="single" w:sz="6" w:space="0" w:color="auto"/>
              <w:left w:val="single" w:sz="6" w:space="0" w:color="auto"/>
              <w:right w:val="single" w:sz="6" w:space="0" w:color="auto"/>
            </w:tcBorders>
            <w:vAlign w:val="center"/>
          </w:tcPr>
          <w:p>
            <w:pPr>
              <w:pStyle w:val="20"/>
            </w:pPr>
            <w:r>
              <w:t>资本性支出</w:t>
            </w:r>
          </w:p>
        </w:tc>
        <w:tc>
          <w:tcPr>
            <w:tcW w:w="2551" w:type="dxa"/>
            <w:tcBorders>
              <w:top w:val="single" w:sz="6" w:space="0" w:color="auto"/>
              <w:left w:val="single" w:sz="6" w:space="0" w:color="auto"/>
              <w:right w:val="single" w:sz="6" w:space="0" w:color="auto"/>
            </w:tcBorders>
            <w:vAlign w:val="center"/>
          </w:tcPr>
          <w:p>
            <w:pPr>
              <w:pStyle w:val="19"/>
            </w:pPr>
            <w:r>
              <w:t>10.00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35</w:t>
            </w:r>
          </w:p>
        </w:tc>
        <w:tc>
          <w:tcPr>
            <w:tcW w:w="1191" w:type="dxa"/>
            <w:tcBorders>
              <w:top w:val="single" w:sz="6" w:space="0" w:color="auto"/>
              <w:left w:val="single" w:sz="6" w:space="0" w:color="auto"/>
              <w:right w:val="single" w:sz="6" w:space="0" w:color="auto"/>
            </w:tcBorders>
            <w:vAlign w:val="center"/>
          </w:tcPr>
          <w:p>
            <w:pPr>
              <w:pStyle w:val="20"/>
            </w:pPr>
            <w:r>
              <w:t>31002</w:t>
            </w:r>
          </w:p>
        </w:tc>
        <w:tc>
          <w:tcPr>
            <w:tcW w:w="4535" w:type="dxa"/>
            <w:tcBorders>
              <w:top w:val="single" w:sz="6" w:space="0" w:color="auto"/>
              <w:left w:val="single" w:sz="6" w:space="0" w:color="auto"/>
              <w:right w:val="single" w:sz="6" w:space="0" w:color="auto"/>
            </w:tcBorders>
            <w:vAlign w:val="center"/>
          </w:tcPr>
          <w:p>
            <w:pPr>
              <w:pStyle w:val="20"/>
            </w:pPr>
            <w:r>
              <w:t>办公设备购置</w:t>
            </w:r>
          </w:p>
        </w:tc>
        <w:tc>
          <w:tcPr>
            <w:tcW w:w="2551" w:type="dxa"/>
            <w:tcBorders>
              <w:top w:val="single" w:sz="6" w:space="0" w:color="auto"/>
              <w:left w:val="single" w:sz="6" w:space="0" w:color="auto"/>
              <w:right w:val="single" w:sz="6" w:space="0" w:color="auto"/>
            </w:tcBorders>
            <w:vAlign w:val="center"/>
          </w:tcPr>
          <w:p>
            <w:pPr>
              <w:pStyle w:val="19"/>
            </w:pPr>
            <w:r>
              <w:t>3.00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3.00</w:t>
            </w:r>
          </w:p>
        </w:tc>
      </w:tr>
      <w:tr>
        <w:trPr>
          <w:trHeight w:val="369"/>
        </w:trPr>
        <w:tc>
          <w:tcPr>
            <w:tcW w:w="850" w:type="dxa"/>
            <w:vAlign w:val="center"/>
          </w:tcPr>
          <w:p>
            <w:pPr>
              <w:pStyle w:val="21"/>
            </w:pPr>
            <w:r>
              <w:t>36</w:t>
            </w:r>
          </w:p>
        </w:tc>
        <w:tc>
          <w:tcPr>
            <w:tcW w:w="1191" w:type="dxa"/>
            <w:tcBorders>
              <w:top w:val="single" w:sz="6" w:space="0" w:color="auto"/>
              <w:left w:val="single" w:sz="6" w:space="0" w:color="auto"/>
              <w:right w:val="single" w:sz="6" w:space="0" w:color="auto"/>
            </w:tcBorders>
            <w:vAlign w:val="center"/>
          </w:tcPr>
          <w:p>
            <w:pPr>
              <w:pStyle w:val="20"/>
            </w:pPr>
            <w:r>
              <w:t>31007</w:t>
            </w:r>
          </w:p>
        </w:tc>
        <w:tc>
          <w:tcPr>
            <w:tcW w:w="4535" w:type="dxa"/>
            <w:tcBorders>
              <w:top w:val="single" w:sz="6" w:space="0" w:color="auto"/>
              <w:left w:val="single" w:sz="6" w:space="0" w:color="auto"/>
              <w:right w:val="single" w:sz="6" w:space="0" w:color="auto"/>
            </w:tcBorders>
            <w:vAlign w:val="center"/>
          </w:tcPr>
          <w:p>
            <w:pPr>
              <w:pStyle w:val="20"/>
            </w:pPr>
            <w:r>
              <w:t>信息网络及软件购置更新</w:t>
            </w:r>
          </w:p>
        </w:tc>
        <w:tc>
          <w:tcPr>
            <w:tcW w:w="2551" w:type="dxa"/>
            <w:tcBorders>
              <w:top w:val="single" w:sz="6" w:space="0" w:color="auto"/>
              <w:left w:val="single" w:sz="6" w:space="0" w:color="auto"/>
              <w:right w:val="single" w:sz="6" w:space="0" w:color="auto"/>
            </w:tcBorders>
            <w:vAlign w:val="center"/>
          </w:tcPr>
          <w:p>
            <w:pPr>
              <w:pStyle w:val="19"/>
            </w:pPr>
            <w:r>
              <w:t>7.00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7.00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318昌黎县财政局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318昌黎县财政局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12.00</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12.00</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223</w:t>
            </w:r>
          </w:p>
        </w:tc>
        <w:tc>
          <w:tcPr>
            <w:tcW w:w="4535" w:type="dxa"/>
            <w:tcBorders>
              <w:top w:val="single" w:sz="6" w:space="0" w:color="auto"/>
              <w:left w:val="single" w:sz="6" w:space="0" w:color="auto"/>
              <w:right w:val="single" w:sz="6" w:space="0" w:color="auto"/>
            </w:tcBorders>
            <w:vAlign w:val="center"/>
          </w:tcPr>
          <w:p>
            <w:pPr>
              <w:pStyle w:val="20"/>
            </w:pPr>
            <w:r>
              <w:t>国有资本经营预算支出</w:t>
            </w:r>
          </w:p>
        </w:tc>
        <w:tc>
          <w:tcPr>
            <w:tcW w:w="2551" w:type="dxa"/>
            <w:tcBorders>
              <w:top w:val="single" w:sz="6" w:space="0" w:color="auto"/>
              <w:left w:val="single" w:sz="6" w:space="0" w:color="auto"/>
              <w:right w:val="single" w:sz="6" w:space="0" w:color="auto"/>
            </w:tcBorders>
            <w:vAlign w:val="center"/>
          </w:tcPr>
          <w:p>
            <w:pPr>
              <w:pStyle w:val="19"/>
            </w:pPr>
            <w:r>
              <w:t>12.00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12.00</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22301</w:t>
            </w:r>
          </w:p>
        </w:tc>
        <w:tc>
          <w:tcPr>
            <w:tcW w:w="4535" w:type="dxa"/>
            <w:tcBorders>
              <w:top w:val="single" w:sz="6" w:space="0" w:color="auto"/>
              <w:left w:val="single" w:sz="6" w:space="0" w:color="auto"/>
              <w:right w:val="single" w:sz="6" w:space="0" w:color="auto"/>
            </w:tcBorders>
            <w:vAlign w:val="center"/>
          </w:tcPr>
          <w:p>
            <w:pPr>
              <w:pStyle w:val="20"/>
            </w:pPr>
            <w:r>
              <w:t>解决历史遗留问题及改革成本支出</w:t>
            </w:r>
          </w:p>
        </w:tc>
        <w:tc>
          <w:tcPr>
            <w:tcW w:w="2551" w:type="dxa"/>
            <w:tcBorders>
              <w:top w:val="single" w:sz="6" w:space="0" w:color="auto"/>
              <w:left w:val="single" w:sz="6" w:space="0" w:color="auto"/>
              <w:right w:val="single" w:sz="6" w:space="0" w:color="auto"/>
            </w:tcBorders>
            <w:vAlign w:val="center"/>
          </w:tcPr>
          <w:p>
            <w:pPr>
              <w:pStyle w:val="19"/>
            </w:pPr>
            <w:r>
              <w:t>12.00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12.00</w:t>
            </w: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2230105</w:t>
            </w:r>
          </w:p>
        </w:tc>
        <w:tc>
          <w:tcPr>
            <w:tcW w:w="4535" w:type="dxa"/>
            <w:tcBorders>
              <w:top w:val="single" w:sz="6" w:space="0" w:color="auto"/>
              <w:left w:val="single" w:sz="6" w:space="0" w:color="auto"/>
              <w:right w:val="single" w:sz="6" w:space="0" w:color="auto"/>
            </w:tcBorders>
            <w:vAlign w:val="center"/>
          </w:tcPr>
          <w:p>
            <w:pPr>
              <w:pStyle w:val="20"/>
            </w:pPr>
            <w:r>
              <w:t>国有企业退休人员社会化管理补助支出</w:t>
            </w:r>
          </w:p>
        </w:tc>
        <w:tc>
          <w:tcPr>
            <w:tcW w:w="2551" w:type="dxa"/>
            <w:tcBorders>
              <w:top w:val="single" w:sz="6" w:space="0" w:color="auto"/>
              <w:left w:val="single" w:sz="6" w:space="0" w:color="auto"/>
              <w:right w:val="single" w:sz="6" w:space="0" w:color="auto"/>
            </w:tcBorders>
            <w:vAlign w:val="center"/>
          </w:tcPr>
          <w:p>
            <w:pPr>
              <w:pStyle w:val="19"/>
            </w:pPr>
            <w:r>
              <w:t>12.00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12.00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318昌黎县财政局</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3"/>
            </w:pPr>
            <w:r>
              <w:t>9.40</w:t>
            </w:r>
          </w:p>
        </w:tc>
        <w:tc>
          <w:tcPr>
            <w:tcW w:w="2381" w:type="dxa"/>
            <w:tcBorders>
              <w:top w:val="single" w:sz="6" w:space="0" w:color="auto"/>
              <w:left w:val="single" w:sz="6" w:space="0" w:color="auto"/>
              <w:right w:val="single" w:sz="6" w:space="0" w:color="auto"/>
            </w:tcBorders>
            <w:vAlign w:val="center"/>
          </w:tcPr>
          <w:p>
            <w:pPr>
              <w:pStyle w:val="23"/>
            </w:pPr>
            <w:r>
              <w:t>9.40</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t>“三公”经费小计</w:t>
            </w:r>
          </w:p>
        </w:tc>
        <w:tc>
          <w:tcPr>
            <w:tcW w:w="2381" w:type="dxa"/>
            <w:tcBorders>
              <w:top w:val="single" w:sz="6" w:space="0" w:color="auto"/>
              <w:left w:val="single" w:sz="6" w:space="0" w:color="auto"/>
              <w:right w:val="single" w:sz="6" w:space="0" w:color="auto"/>
            </w:tcBorders>
            <w:vAlign w:val="center"/>
          </w:tcPr>
          <w:p>
            <w:pPr>
              <w:pStyle w:val="19"/>
            </w:pPr>
            <w:r>
              <w:t>9.40</w:t>
            </w:r>
          </w:p>
        </w:tc>
        <w:tc>
          <w:tcPr>
            <w:tcW w:w="2381" w:type="dxa"/>
            <w:tcBorders>
              <w:top w:val="single" w:sz="6" w:space="0" w:color="auto"/>
              <w:left w:val="single" w:sz="6" w:space="0" w:color="auto"/>
              <w:right w:val="single" w:sz="6" w:space="0" w:color="auto"/>
            </w:tcBorders>
            <w:vAlign w:val="center"/>
          </w:tcPr>
          <w:p>
            <w:pPr>
              <w:pStyle w:val="19"/>
            </w:pPr>
            <w:r>
              <w:t>9.40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r>
              <w:t>5.40</w:t>
            </w:r>
          </w:p>
        </w:tc>
        <w:tc>
          <w:tcPr>
            <w:tcW w:w="2381" w:type="dxa"/>
            <w:tcBorders>
              <w:top w:val="single" w:sz="6" w:space="0" w:color="auto"/>
              <w:left w:val="single" w:sz="6" w:space="0" w:color="auto"/>
              <w:right w:val="single" w:sz="6" w:space="0" w:color="auto"/>
            </w:tcBorders>
            <w:vAlign w:val="center"/>
          </w:tcPr>
          <w:p>
            <w:pPr>
              <w:pStyle w:val="19"/>
            </w:pPr>
            <w:r>
              <w:t>5.40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19"/>
            </w:pPr>
            <w:r>
              <w:t>5.40</w:t>
            </w:r>
          </w:p>
        </w:tc>
        <w:tc>
          <w:tcPr>
            <w:tcW w:w="2381" w:type="dxa"/>
            <w:tcBorders>
              <w:top w:val="single" w:sz="6" w:space="0" w:color="auto"/>
              <w:left w:val="single" w:sz="6" w:space="0" w:color="auto"/>
              <w:right w:val="single" w:sz="6" w:space="0" w:color="auto"/>
            </w:tcBorders>
            <w:vAlign w:val="center"/>
          </w:tcPr>
          <w:p>
            <w:pPr>
              <w:pStyle w:val="19"/>
            </w:pPr>
            <w:r>
              <w:t>5.40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t>三、公务接待费</w:t>
            </w:r>
          </w:p>
        </w:tc>
        <w:tc>
          <w:tcPr>
            <w:tcW w:w="2381" w:type="dxa"/>
            <w:tcBorders>
              <w:top w:val="single" w:sz="6" w:space="0" w:color="auto"/>
              <w:left w:val="single" w:sz="6" w:space="0" w:color="auto"/>
              <w:right w:val="single" w:sz="6" w:space="0" w:color="auto"/>
            </w:tcBorders>
            <w:vAlign w:val="center"/>
          </w:tcPr>
          <w:p>
            <w:pPr>
              <w:pStyle w:val="19"/>
            </w:pPr>
            <w:r>
              <w:t>4.00</w:t>
            </w:r>
          </w:p>
        </w:tc>
        <w:tc>
          <w:tcPr>
            <w:tcW w:w="2381" w:type="dxa"/>
            <w:tcBorders>
              <w:top w:val="single" w:sz="6" w:space="0" w:color="auto"/>
              <w:left w:val="single" w:sz="6" w:space="0" w:color="auto"/>
              <w:right w:val="single" w:sz="6" w:space="0" w:color="auto"/>
            </w:tcBorders>
            <w:vAlign w:val="center"/>
          </w:tcPr>
          <w:p>
            <w:pPr>
              <w:pStyle w:val="19"/>
            </w:pPr>
            <w:r>
              <w:t>4.00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昌黎县财政局2025年部门预算信息公开情况说明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昌黎县财政局2025年部门预算信息公开情况说明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按照《中华人民共和国预算法》、《地方预决算公开操作规程》和《关于进一步推进预算公开工作的实施意见》规定，现将昌黎县财政局2025年部门预算公开如下：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根据《昌黎县财政局职能配置、内设机构和人员编制规定》，昌黎县财政局的主要职责是：</w:t>
      </w:r>
    </w:p>
    <w:p>
      <w:pPr>
        <w:pStyle w:val="25"/>
      </w:pPr>
      <w:r>
        <w:t>(一)拟订财税发展规划、政策和改革方案并组织实施;分</w:t>
      </w:r>
    </w:p>
    <w:p>
      <w:pPr>
        <w:pStyle w:val="25"/>
      </w:pPr>
      <w:r>
        <w:t>析预测宏观经济形势，参与制定宏观经济政策，提出运用财税政策实施宏观调控和综合平衡社会财力的建议。拟订县与乡镇、政府与企业的分配政策，完善鼓励公益事业发展的财政政策。</w:t>
      </w:r>
    </w:p>
    <w:p>
      <w:pPr>
        <w:pStyle w:val="25"/>
      </w:pPr>
      <w:r>
        <w:t>(二)贯彻执行财政、财务、会计管理的法律、行政法规</w:t>
      </w:r>
    </w:p>
    <w:p>
      <w:pPr>
        <w:pStyle w:val="25"/>
      </w:pPr>
      <w:r>
        <w:t>规章，参与起草相关的地方性法规、政府规章草案，并监督执行。</w:t>
      </w:r>
    </w:p>
    <w:p>
      <w:pPr>
        <w:pStyle w:val="25"/>
      </w:pPr>
      <w:r>
        <w:t>(三)负责管理县级各项财政收支，编制年度县级预决算草案并组织执行，汇编全县预决算草案;组织制定经费开支标准、定额，审核批复部门(单位)年度预决算;受县政府委托，向县人民代表大会及其常委会报告财政预算、执行和决算等情况;负责政府投资基金县级财政出资的资产管理;负责县級财政预决算公开。</w:t>
      </w:r>
    </w:p>
    <w:p>
      <w:pPr>
        <w:pStyle w:val="25"/>
      </w:pPr>
      <w:r>
        <w:t>(四)提出中央和省授权税目税率调整、减免和地方税收政策等重大事项的建议。</w:t>
      </w:r>
    </w:p>
    <w:p>
      <w:pPr>
        <w:pStyle w:val="25"/>
      </w:pPr>
      <w:r>
        <w:t>(五)按分工负责政府非税收入管理。负责政府性基金管理，按规定管理行政事业性收费;管理财政票据;执行彩票管理政策和有关办法，按规定管理彩票资金。</w:t>
      </w:r>
    </w:p>
    <w:p>
      <w:pPr>
        <w:pStyle w:val="25"/>
      </w:pPr>
      <w:r>
        <w:t>(六)组织拟订全县财政国库管理制度和国库集中收付制度组织实施财政总预算会计制度。制定政府财务报告编制办法并组织实施。管理财政和预算部门(单位)银行账户。拟订政府采购制度并监督管理。</w:t>
      </w:r>
    </w:p>
    <w:p>
      <w:pPr>
        <w:pStyle w:val="25"/>
      </w:pPr>
      <w:r>
        <w:t>(七)执行政府债务管理制度和政策，拟订具体办法。负责政府债务限额管理、债券还本付息等工作。开展对外财经交流。</w:t>
      </w:r>
    </w:p>
    <w:p>
      <w:pPr>
        <w:pStyle w:val="25"/>
      </w:pPr>
      <w:r>
        <w:t>(八)牵头编制国有资产管理情况报告。根据县政府授权，集中统一履行县级国有金融资本出资人职责。执行国有金融资本管理规章制度，制定具体办法。拟订行政事业单位国有资产管理制度并组织实施，制定需要全县统一规定的开支标准和支出政策。</w:t>
      </w:r>
    </w:p>
    <w:p>
      <w:pPr>
        <w:pStyle w:val="25"/>
      </w:pPr>
      <w:r>
        <w:t>(九)负责审核并汇总编制全县国有资本经营预决算草案，组织实施国有资本经营预算制度，制定具体办法，收取县属企业国有资本收益。组织实施企业财务制度。</w:t>
      </w:r>
    </w:p>
    <w:p>
      <w:pPr>
        <w:pStyle w:val="25"/>
      </w:pPr>
      <w:r>
        <w:t>(十)负责审核并汇总编制全县社会保险基金预决算草案，会同有关部门拟订有关资金(基金)财务管理制度并组织实施承担社会保险基金财政监管工作。</w:t>
      </w:r>
    </w:p>
    <w:p>
      <w:pPr>
        <w:pStyle w:val="25"/>
      </w:pPr>
      <w:r>
        <w:t>(十一)负责办理和监督县级财政的经济社会发展支出、县级政府性投资项目的财政拨款，参与拟订县级建设投资的有关政策，指导实施基建财务管理制度。负责财政预算评审管理。负责财政投资评审管理。</w:t>
      </w:r>
    </w:p>
    <w:p>
      <w:pPr>
        <w:pStyle w:val="25"/>
      </w:pPr>
      <w:r>
        <w:t>(十二)负责管理全县会计工作，监督和规范会计行为，组织实施会计制度，组织和指导会计人员的业务培训。</w:t>
      </w:r>
    </w:p>
    <w:p>
      <w:pPr>
        <w:pStyle w:val="25"/>
      </w:pPr>
      <w:r>
        <w:t>(十三)完成县委、县政府交办的其他任务。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昌黎县财政局本级</w:t>
            </w:r>
          </w:p>
        </w:tc>
        <w:tc>
          <w:tcPr>
            <w:tcW w:w="1843" w:type="dxa"/>
            <w:tcBorders>
              <w:top w:val="single" w:sz="6" w:space="0" w:color="auto"/>
              <w:left w:val="single" w:sz="6" w:space="0" w:color="auto"/>
              <w:right w:val="single" w:sz="6" w:space="0" w:color="auto"/>
            </w:tcBorders>
            <w:vAlign w:val="center"/>
          </w:tcPr>
          <w:p>
            <w:pPr>
              <w:pStyle w:val="21"/>
            </w:pPr>
            <w:r>
              <w:t>行政</w:t>
            </w:r>
          </w:p>
        </w:tc>
        <w:tc>
          <w:tcPr>
            <w:tcW w:w="2126" w:type="dxa"/>
            <w:tcBorders>
              <w:top w:val="single" w:sz="6" w:space="0" w:color="auto"/>
              <w:left w:val="single" w:sz="6" w:space="0" w:color="auto"/>
              <w:right w:val="single" w:sz="6" w:space="0" w:color="auto"/>
            </w:tcBorders>
            <w:vAlign w:val="center"/>
          </w:tcPr>
          <w:p>
            <w:pPr>
              <w:pStyle w:val="21"/>
            </w:pPr>
            <w:r>
              <w:t>正科级</w:t>
            </w:r>
          </w:p>
        </w:tc>
        <w:tc>
          <w:tcPr>
            <w:tcW w:w="3827" w:type="dxa"/>
            <w:vAlign w:val="center"/>
          </w:tcPr>
          <w:p>
            <w:pPr>
              <w:pStyle w:val="21"/>
            </w:pPr>
            <w:r>
              <w:t>财政拨款</w:t>
            </w:r>
          </w:p>
        </w:tc>
      </w:tr>
      <w:tr>
        <w:trPr>
          <w:trHeight w:val="369"/>
        </w:trPr>
        <w:tc>
          <w:tcPr>
            <w:tcW w:w="5669" w:type="dxa"/>
            <w:vAlign w:val="center"/>
          </w:tcPr>
          <w:p>
            <w:pPr>
              <w:pStyle w:val="20"/>
            </w:pPr>
            <w:r>
              <w:t>昌黎县国有资产运营中心</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r>
              <w:t>股级</w:t>
            </w:r>
          </w:p>
        </w:tc>
        <w:tc>
          <w:tcPr>
            <w:tcW w:w="3827" w:type="dxa"/>
            <w:vAlign w:val="center"/>
          </w:tcPr>
          <w:p>
            <w:pPr>
              <w:pStyle w:val="21"/>
            </w:pPr>
            <w:r>
              <w:t>财政性资金零补助</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pStyle w:val="26"/>
      </w:pPr>
      <w:r>
        <w:t>按照预算管理有关规定，目前部门预算的编制实行综合预算管理，即全部收入和支出都反映在预算中。昌黎县财政局机关及所属事业单位的收支包含在部门预算中。</w:t>
      </w:r>
    </w:p>
    <w:p>
      <w:pPr>
        <w:pStyle w:val="26"/>
      </w:pPr>
      <w:r>
        <w:t>1、收入说明</w:t>
      </w:r>
    </w:p>
    <w:p>
      <w:pPr>
        <w:pStyle w:val="26"/>
      </w:pPr>
      <w:r>
        <w:t>反映本部门当年全部收入。2025年预算收入2138.90万元，其中：一般公共预算收入2126.90万元，基金预算收入0.00万元，国有资本经营预算收入12.00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昌黎县财政局年度部门预算中支出预算的总体情况。2025年支出预算2138.90万元，其中基本支出2102.90万元，包括人员经费1802.96万元和日常公用经费299.94万元；项目支出36.00万元，主要为提前下达2025年省级农村财会人员培训资金24万元，提前下达2025年国有企业退休人员社会化管理中央财政补助资金预算10万元，提前下达2025年国有企业退休人员社会化管理省级财政补助资金预算2万元。</w:t>
      </w:r>
    </w:p>
    <w:p>
      <w:pPr>
        <w:pStyle w:val="26"/>
      </w:pPr>
      <w:r>
        <w:t>3、比上年增减情况</w:t>
      </w:r>
    </w:p>
    <w:p>
      <w:pPr>
        <w:pStyle w:val="26"/>
      </w:pPr>
      <w:r>
        <w:t>2025年预算收支安排2138.90万元，较2024年预算增加47.11万元，其中：基本支出增加75.81万元，主要为调入人员15人，导致工资福利支出增加。项目支出减少28.70万元，主要为2025年无上年结转项目。</w:t>
      </w:r>
    </w:p>
    <w:p>
      <w:pPr>
        <w:spacing w:before="10" w:after="10" w:line="360" w:lineRule="auto"/>
        <w:ind w:firstLine="640"/>
        <w:jc w:val="left"/>
        <w:outlineLvl w:val="2"/>
      </w:pPr>
      <w:bookmarkStart w:id="11" w:name="_Toc_3_3_0000000012"/>
      <w:r>
        <w:rPr>
          <w:rFonts w:ascii="黑体" w:eastAsia="黑体" w:cs="黑体" w:hAnsi="黑体"/>
          <w:color w:val="000000"/>
          <w:sz w:val="32"/>
        </w:rPr>
        <w:t>三、机关运行经费安排情况</w:t>
      </w:r>
      <w:bookmarkEnd w:id="11"/>
    </w:p>
    <w:p>
      <w:pPr>
        <w:pStyle w:val="27"/>
      </w:pPr>
      <w:r>
        <w:t>2025年，我部门机关运行经费共计安排299.94万元，主要用于日常维修、办公用房水电费、办公用房取暖费、办公用房物业管理费等日常运行支出。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28"/>
      </w:pPr>
      <w:r>
        <w:t>2025年，我部门财政拨款“三公”经费预算安排9.40万元，其中因公出国（境）费0.00万元；公务用车购置及运维费5.40万元（其中：公务用车购置费为0.00万元，公务用车运维费5.40万元)；公务接待费4.00万元。与2024年相比减少1.50万元，增减变化的主要原因是本部门严格落实“三公”经费的政策要求，本着厉行节约的原则，合理安排各项预算收入支出，公务接待费减少1.5万元。</w:t>
      </w:r>
    </w:p>
    <w:p>
      <w:pPr>
        <w:spacing w:before="10" w:after="10" w:line="360" w:lineRule="auto"/>
        <w:ind w:firstLine="640"/>
        <w:jc w:val="left"/>
        <w:outlineLvl w:val="2"/>
      </w:pPr>
      <w:bookmarkStart w:id="13" w:name="_Toc_3_3_0000000014"/>
      <w:r>
        <w:rPr>
          <w:rFonts w:ascii="黑体" w:eastAsia="黑体" w:cs="黑体" w:hAnsi="黑体"/>
          <w:color w:val="000000"/>
          <w:sz w:val="32"/>
        </w:rPr>
        <w:t>五、部门整体绩效目标</w:t>
      </w:r>
      <w:bookmarkEnd w:id="13"/>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2025年，昌黎县财政局将继续以习近平新时代中国特色社会主义思想为指引，深入贯彻党的二十大精神，坚持新发展理念，坚持稳中求进的工作基调，继续落实积极的财政政策，进一步深化财税体制改革，具体做到以下几点：</w:t>
      </w:r>
    </w:p>
    <w:p>
      <w:pPr>
        <w:pStyle w:val="29"/>
      </w:pPr>
      <w:r>
        <w:t>1、加强财政收入征管,千方百计组织财税收入,确保完成全年收入任务目标.</w:t>
      </w:r>
    </w:p>
    <w:p>
      <w:pPr>
        <w:pStyle w:val="29"/>
      </w:pPr>
      <w:r>
        <w:t>2、着力调整和优化财政支出洁构,优先保障民生支出、重点支出、支持经济发展等资金需要,民生支出投入达到80%以上。</w:t>
      </w:r>
    </w:p>
    <w:p>
      <w:pPr>
        <w:pStyle w:val="29"/>
      </w:pPr>
      <w:r>
        <w:t>3.加大争取资全力度,盘活存量财政资金,更好地支持全县经济和事业发展。2025年争取上级财政专项资金收入，多方位、多渠道争取上级各项转移支付收入，缓解财政压力。</w:t>
      </w:r>
    </w:p>
    <w:p>
      <w:pPr>
        <w:pStyle w:val="29"/>
      </w:pPr>
      <w:r>
        <w:t>4、秉持“统等秉顾调整结构、保重保急”的原则,做好2025年度全县财政和区级各部门预算编制工作,全面推进绩效预算管理改革。</w:t>
      </w:r>
    </w:p>
    <w:p>
      <w:pPr>
        <w:pStyle w:val="29"/>
      </w:pPr>
      <w:r>
        <w:t>5、加大对部门财政业务和财务管理的培训,实现全县财会人员全覆盖,切实夯实基层部门和单位的财务管理基础,提升业务水平。</w:t>
      </w:r>
    </w:p>
    <w:p>
      <w:pPr>
        <w:pStyle w:val="29"/>
      </w:pPr>
      <w:r>
        <w:t>6、强化对财政投资项目的预算评审,抓好建设项目的日常评审监督,促进全区建设项目顺利实施不断拓宽评审领域,节约政府投资、提高建设资金使用效率。</w:t>
      </w:r>
      <w:bookmarkStart w:id="14" w:name="_GoBack"/>
      <w:bookmarkEnd w:id="14"/>
    </w:p>
    <w:p>
      <w:pPr>
        <w:pStyle w:val="29"/>
      </w:pPr>
      <w:r>
        <w:t>7、妥善处置,化解政府存量债务。对地债系统现有存量债务,按照相关策规法规,分类处置,积板化解。防范政府债务风险,增加限额使用空间。实现盘活存量资金全覆盖和实时化，及时进行收回和调整，统筹用于经济社会发展急需资金支持的领域。</w:t>
      </w:r>
    </w:p>
    <w:p>
      <w:pPr>
        <w:pStyle w:val="29"/>
      </w:pPr>
      <w:r>
        <w:t>8、压缩一般性支出。进一步优化财政支出结构，优先安排好民生保障性支出需要。坚决压缩一般性支出，从严控制“三公”经费，集中财力办大事。</w:t>
      </w:r>
    </w:p>
    <w:p>
      <w:pPr>
        <w:pStyle w:val="29"/>
      </w:pPr>
      <w:r>
        <w:t>9、加强党建引领,全面从严治党,做好意识形态工作,党风廉政建设工作,做好党建业务两手抓两手硬。做好2025年的财政工作。</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p>
    <w:p>
      <w:pPr>
        <w:pStyle w:val="30"/>
      </w:pPr>
      <w:r>
        <w:t>（一）规范非税收入管理</w:t>
      </w:r>
    </w:p>
    <w:p>
      <w:pPr>
        <w:pStyle w:val="30"/>
      </w:pPr>
      <w:r>
        <w:t>绩效目标：1、负责政府非税收入和政府性基金管理，2、按规定管理行政事业性收费；3、管理财政票据。</w:t>
      </w:r>
    </w:p>
    <w:p>
      <w:pPr>
        <w:pStyle w:val="30"/>
      </w:pPr>
      <w:r>
        <w:t>绩效指标：政府非税收入和政府性基金管理完成率100%，管理行政性收费完成率100%；管理财政票据完成率100%</w:t>
      </w:r>
    </w:p>
    <w:p>
      <w:pPr>
        <w:pStyle w:val="30"/>
      </w:pPr>
      <w:r>
        <w:t>（二）规范税收政策管理</w:t>
      </w:r>
    </w:p>
    <w:p>
      <w:pPr>
        <w:pStyle w:val="30"/>
      </w:pPr>
      <w:r>
        <w:t>绩效目标：监督检查税收政策执行情况</w:t>
      </w:r>
    </w:p>
    <w:p>
      <w:pPr>
        <w:pStyle w:val="30"/>
      </w:pPr>
      <w:r>
        <w:t>绩效指标：监督检查税收政策执行率100%</w:t>
      </w:r>
    </w:p>
    <w:p>
      <w:pPr>
        <w:pStyle w:val="30"/>
      </w:pPr>
      <w:r>
        <w:t>（三）规范财政收入征收管理</w:t>
      </w:r>
    </w:p>
    <w:p>
      <w:pPr>
        <w:pStyle w:val="30"/>
      </w:pPr>
      <w:r>
        <w:t>绩效目标：贯彻国家税收政策，负责制定全县财政和预算收入计划，管理和监督各项财政收入，2、负责政府非税收入管理，按规定管理行政事业性收费、政府性基金及其他非税收入；3、管理财政票据。</w:t>
      </w:r>
    </w:p>
    <w:p>
      <w:pPr>
        <w:pStyle w:val="30"/>
      </w:pPr>
      <w:r>
        <w:t>绩效指标：制定全县财政和预算收入计划率100%，政府非税收入管理完成率100%；管理财政票据完成率100%</w:t>
      </w:r>
    </w:p>
    <w:p>
      <w:pPr>
        <w:pStyle w:val="30"/>
      </w:pPr>
      <w:r>
        <w:t>（四）规范财政资金安排与使用管理</w:t>
      </w:r>
    </w:p>
    <w:p>
      <w:pPr>
        <w:pStyle w:val="30"/>
      </w:pPr>
      <w:r>
        <w:t>绩效目标：1按照法定程序审查和批准的财政预算，通过规范的预算执行过程，落实各项财政收入，依法分配各项预算支出。2、随时监控财收支预算执行过程，根据实际情况需要，按照相关法规政策对预算进行适时调整，确保全年预算平衡和社会事业发展需要。3、做好财政资金执行分配的同时，加强财政资金绩效管理，提高其使用效率和效益。</w:t>
      </w:r>
    </w:p>
    <w:p>
      <w:pPr>
        <w:pStyle w:val="30"/>
      </w:pPr>
      <w:r>
        <w:t>绩效指标：按法审查和批准财政预算完成率100%，依法对预算进行适时调整完成率100%；加强财政资金绩效管理率100%。</w:t>
      </w:r>
    </w:p>
    <w:p>
      <w:pPr>
        <w:pStyle w:val="30"/>
      </w:pPr>
      <w:r>
        <w:t>（五）规范财政体制管理</w:t>
      </w:r>
    </w:p>
    <w:p>
      <w:pPr>
        <w:pStyle w:val="30"/>
      </w:pPr>
      <w:r>
        <w:t>绩效目标：负责拟订县财政收入划分和支出责任划分方案，并组织实施。2、负责监控县财政运行，及时发现实现财政运行中存在的问题；3、对财政运行问题提出针对性的意见建议。</w:t>
      </w:r>
    </w:p>
    <w:p>
      <w:pPr>
        <w:pStyle w:val="30"/>
      </w:pPr>
      <w:r>
        <w:t>绩效指标：划分方案组织实施率100%，监控县财政运行率100%；财政运行问题整改率100%。</w:t>
      </w:r>
    </w:p>
    <w:p>
      <w:pPr>
        <w:pStyle w:val="30"/>
      </w:pPr>
      <w:r>
        <w:t>（六）规范预算政策管理</w:t>
      </w:r>
    </w:p>
    <w:p>
      <w:pPr>
        <w:pStyle w:val="30"/>
      </w:pPr>
      <w:r>
        <w:t>绩效目标：1、拟订预算政策和改革方案，并组织实施。2、起草财政预算、资金管理、财务会计管理的地方性法规草案，制定有关规章制度并监督实施；3、分析预测宏观经济形式，参与制定各项宏观经济政策。</w:t>
      </w:r>
    </w:p>
    <w:p>
      <w:pPr>
        <w:pStyle w:val="30"/>
      </w:pPr>
      <w:r>
        <w:t>绩效指标：预算政策和改革方案组织实施率100%；宏观经济政策制定完成率100%；规章制度监督实施率100%。</w:t>
      </w:r>
    </w:p>
    <w:p>
      <w:pPr>
        <w:pStyle w:val="30"/>
      </w:pPr>
      <w:r>
        <w:t>（七）规范预算编制管理</w:t>
      </w:r>
    </w:p>
    <w:p>
      <w:pPr>
        <w:pStyle w:val="30"/>
      </w:pPr>
      <w:r>
        <w:t>绩效目标：1、负责编制年度本级公共财政预算、国有资本经营预算、社会保险基金预算、负责政府性基金预算草案，2、汇报县年度预决算草案；3、向县人民代表大会报告全县及县本级预算情况。</w:t>
      </w:r>
    </w:p>
    <w:p>
      <w:pPr>
        <w:pStyle w:val="30"/>
      </w:pPr>
      <w:r>
        <w:t>绩效指标：预算编制完成率100%，预算编制及时性100%；预算编制规范性100%。</w:t>
      </w:r>
    </w:p>
    <w:p>
      <w:pPr>
        <w:pStyle w:val="30"/>
      </w:pPr>
      <w:r>
        <w:t>（八）规范预算执行管理</w:t>
      </w:r>
    </w:p>
    <w:p>
      <w:pPr>
        <w:pStyle w:val="30"/>
      </w:pPr>
      <w:r>
        <w:t>绩效目标：1、按时汇总统计全县预算执行情况，提交分析报告。</w:t>
      </w:r>
    </w:p>
    <w:p>
      <w:pPr>
        <w:pStyle w:val="30"/>
      </w:pPr>
      <w:r>
        <w:t>绩效指标：分析报告完成率100%</w:t>
      </w:r>
    </w:p>
    <w:p>
      <w:pPr>
        <w:pStyle w:val="30"/>
      </w:pPr>
      <w:r>
        <w:t>（九）规范国库管理</w:t>
      </w:r>
    </w:p>
    <w:p>
      <w:pPr>
        <w:pStyle w:val="30"/>
      </w:pPr>
      <w:r>
        <w:t>绩效目标：1、组织实施国家有关财政国库现金管理制度，承担县级财政国库现金管理。2、上下级财政资金往来与调度管理；3、上下级往来专项资金指标登记与核算，上下级财政库款调度。</w:t>
      </w:r>
    </w:p>
    <w:p>
      <w:pPr>
        <w:pStyle w:val="30"/>
      </w:pPr>
      <w:r>
        <w:t>绩效指标：县级财政国库现金管理执行率100%，上下级财政资金往来与调度管理执行率100%；上下级财政库款调度执行率100%。</w:t>
      </w:r>
    </w:p>
    <w:p>
      <w:pPr>
        <w:pStyle w:val="30"/>
      </w:pPr>
      <w:r>
        <w:t>（十）规范银行账户与专户资金管理</w:t>
      </w:r>
    </w:p>
    <w:p>
      <w:pPr>
        <w:pStyle w:val="30"/>
      </w:pPr>
      <w:r>
        <w:t>绩效目标：1、拟订并组织实施预算单位银行账户管理办法，2、组织实施国家有关财政专户资金管理制度；3、县本级财政专户资金审核拨付及会计核算事宜。</w:t>
      </w:r>
    </w:p>
    <w:p>
      <w:pPr>
        <w:pStyle w:val="30"/>
      </w:pPr>
      <w:r>
        <w:t>绩效指标：预算单位银行账户管理办法执行率100%，国家财政专户资金管理制度执行率100%；县本级财政专户资金审核拨付及时率100%。</w:t>
      </w:r>
    </w:p>
    <w:p>
      <w:pPr>
        <w:pStyle w:val="30"/>
      </w:pPr>
      <w:r>
        <w:t>（十一）规范总预算会计管理</w:t>
      </w:r>
    </w:p>
    <w:p>
      <w:pPr>
        <w:pStyle w:val="30"/>
      </w:pPr>
      <w:r>
        <w:t>绩效目标：1、县本级预算会计核算，2、参与办理县与县管年度财政决算事项；3、编制县本级综合财务报告，汇总编报全县综合财务报告。</w:t>
      </w:r>
    </w:p>
    <w:p>
      <w:pPr>
        <w:pStyle w:val="30"/>
      </w:pPr>
      <w:r>
        <w:t>绩效指标：县本级总预算会计核算准确率100%，年度财政决算事项完成率100%；编制汇总综合财务报告准确率100%。</w:t>
      </w:r>
    </w:p>
    <w:p>
      <w:pPr>
        <w:pStyle w:val="30"/>
      </w:pPr>
      <w:r>
        <w:t>（十二）规范决算管理</w:t>
      </w:r>
    </w:p>
    <w:p>
      <w:pPr>
        <w:pStyle w:val="30"/>
      </w:pPr>
      <w:r>
        <w:t>绩效目标：1、编制县本级财政总决算。汇总编报全县总决算，汇总编报社保基金决算；2、编制县本级部门决算，汇总编报全县部门决算，3、提交并按程序审批报送财政总决算报告和部门决算报告，组织县直部门决算批复。</w:t>
      </w:r>
    </w:p>
    <w:p>
      <w:pPr>
        <w:pStyle w:val="30"/>
      </w:pPr>
      <w:r>
        <w:t>绩效指标：编制、汇总财政总决算及时率100%，编制汇总财政总决算准确率100%；编制汇总总决算完成率100%</w:t>
      </w:r>
    </w:p>
    <w:p>
      <w:pPr>
        <w:pStyle w:val="30"/>
      </w:pPr>
      <w:r>
        <w:t>（十三）规范财政支出绩效评价</w:t>
      </w:r>
    </w:p>
    <w:p>
      <w:pPr>
        <w:pStyle w:val="30"/>
      </w:pPr>
      <w:r>
        <w:t>绩效目标：指导县级部门开展预算项目自评工作，牵头组织对部分重点项目、工作活动，进行具体考评，2、提出绩效整改意见3、负责委托第三方机构开展绩效评价工作，并对评价过程和结果进行监督。</w:t>
      </w:r>
    </w:p>
    <w:p>
      <w:pPr>
        <w:pStyle w:val="30"/>
      </w:pPr>
      <w:r>
        <w:t>绩效指标：预算项目工作完成率100%，绩效整改意见执行率100%；绩效评价过程、结果监督率100%。</w:t>
      </w:r>
    </w:p>
    <w:p>
      <w:pPr>
        <w:pStyle w:val="30"/>
      </w:pPr>
      <w:r>
        <w:t>（十四）规范财务会计制度检查</w:t>
      </w:r>
    </w:p>
    <w:p>
      <w:pPr>
        <w:pStyle w:val="30"/>
      </w:pPr>
      <w:r>
        <w:t>绩效目标：1、贯彻实施国家会计法律、规章、制度和会计准则，并对执行情况进行监督检查，2、会计人员的日常管理3、组织全县会计人员业务培训。</w:t>
      </w:r>
    </w:p>
    <w:p>
      <w:pPr>
        <w:pStyle w:val="30"/>
      </w:pPr>
      <w:r>
        <w:t>绩效指标：监督检查完成率100%，日常管理工作完成率100%培训工作完成率100%</w:t>
      </w:r>
    </w:p>
    <w:p>
      <w:pPr>
        <w:pStyle w:val="30"/>
      </w:pPr>
      <w:r>
        <w:t>（十五）规范政府采购管理</w:t>
      </w:r>
    </w:p>
    <w:p>
      <w:pPr>
        <w:pStyle w:val="30"/>
      </w:pPr>
      <w:r>
        <w:t>绩效目标：执行政府采购政策，审核政府采购预算，政府采购事项备案、审批、审核，2、管理政府采购公告信息，管理政府采购专家评审专家库，组织政府采购人员培训，负责全县行政事业单位公务用车购置审批；3、对政府采购活动及集中采购机构监督检查，受理供应商投诉。</w:t>
      </w:r>
    </w:p>
    <w:p>
      <w:pPr>
        <w:pStyle w:val="30"/>
      </w:pPr>
      <w:r>
        <w:t>绩效指标：政府采购政策执行有效性100%，政府采购预算审核及时性100%，政府采购监督及投诉处理及时性100%。</w:t>
      </w:r>
    </w:p>
    <w:p>
      <w:pPr>
        <w:pStyle w:val="30"/>
      </w:pPr>
      <w:r>
        <w:t>（十六）规范行政事业单位国有资产管理</w:t>
      </w:r>
    </w:p>
    <w:p>
      <w:pPr>
        <w:pStyle w:val="30"/>
      </w:pPr>
      <w:r>
        <w:t>绩效目标：1、拟订机关事业单位国有资产管理制度和办法，2、对县直行政事业单位资产配置管理3、对县直行政事业单位资产使用管理</w:t>
      </w:r>
    </w:p>
    <w:p>
      <w:pPr>
        <w:pStyle w:val="30"/>
      </w:pPr>
      <w:r>
        <w:t>绩效指标：国有资产管理规范率100%，国有资产管理制度体系完备率100%；资产管理业务事项办理及时率100%。</w:t>
      </w:r>
    </w:p>
    <w:p>
      <w:pPr>
        <w:pStyle w:val="30"/>
      </w:pPr>
      <w:r>
        <w:t>（十七）规范地方金融国有资产管理</w:t>
      </w:r>
    </w:p>
    <w:p>
      <w:pPr>
        <w:pStyle w:val="30"/>
      </w:pPr>
      <w:r>
        <w:t>绩效目标：负责县属金融企业国有资本保值增值，2、负责国有资产转让管理、产权登记；3、负责国有资产评估监督等工作</w:t>
      </w:r>
    </w:p>
    <w:p>
      <w:pPr>
        <w:pStyle w:val="30"/>
      </w:pPr>
      <w:r>
        <w:t>绩效指标：金融国有企业资产管理规范率100%，业务办理审核程序完整性100%；金融企业国有资产管理制度体系完备度100%。</w:t>
      </w:r>
    </w:p>
    <w:p>
      <w:pPr>
        <w:pStyle w:val="30"/>
      </w:pPr>
      <w:r>
        <w:t>（十八）规范综合治税管理</w:t>
      </w:r>
    </w:p>
    <w:p>
      <w:pPr>
        <w:pStyle w:val="30"/>
      </w:pPr>
      <w:r>
        <w:t>绩效目标：协调有关部门，建立涉税信息共享机制，加强涉税信息的采集、分析和利用，开展税收专项清查，2、强化税源管控，3、促进财政稳定增收和税收环境的优化。</w:t>
      </w:r>
    </w:p>
    <w:p>
      <w:pPr>
        <w:pStyle w:val="30"/>
      </w:pPr>
      <w:r>
        <w:t>绩效指标：税收政策落实率100%,税收收入应收尽收率100%；重点税源监控率100%。</w:t>
      </w:r>
    </w:p>
    <w:p>
      <w:pPr>
        <w:pStyle w:val="30"/>
      </w:pPr>
      <w:r>
        <w:t>（十九）规范政府债务管理</w:t>
      </w:r>
    </w:p>
    <w:p>
      <w:pPr>
        <w:pStyle w:val="30"/>
      </w:pPr>
      <w:r>
        <w:t>绩效目标：1、拟订政府性债务、负责地方政府债券管理工作，2、审核债务举借与偿还计划并实施项目管理；加强政府债券管理；3、实施风险预警及专项检查与监督，配合财政部门完成年度国债发行任务。</w:t>
      </w:r>
    </w:p>
    <w:p>
      <w:pPr>
        <w:pStyle w:val="30"/>
      </w:pPr>
      <w:r>
        <w:t>绩效指标：政府债务管理工作落实率100%，政府债务管理规章制度完备率100%；政府债务风险防范工作有效性100%。</w:t>
      </w:r>
    </w:p>
    <w:p>
      <w:pPr>
        <w:pStyle w:val="30"/>
      </w:pPr>
      <w:r>
        <w:t>（二十）规范综合事务管理</w:t>
      </w:r>
    </w:p>
    <w:p>
      <w:pPr>
        <w:pStyle w:val="30"/>
      </w:pPr>
      <w:r>
        <w:t>绩效目标：会议组织管理、信息化建设与维护、机关财务和资产管理、标准化建设、大型设备购置。2、人事管理及干部教育培训、机关党委工作、老干部工作等；</w:t>
      </w:r>
    </w:p>
    <w:p>
      <w:pPr>
        <w:pStyle w:val="30"/>
      </w:pPr>
      <w:r>
        <w:t>绩效指标：完成工作及时率100%，综合事务管理规范性100%；各项工作任务完成率100%</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一）完善制度建设。研究制定完善的预算政策体系，提高预算管理的科学化水平。统筹县级财力，强化绩效管理，科学编制政府绩效预算。规范预算执行，合理组织财政各项支出，促进社会事业发展。推进预算公开，实施全面规范、公开透明的预算制度。优化财政事务制度，完善考评制度，制定并完善项目资金的管理办法，使用项目资金管理制度化、规范化，提高项目资金的使用效率。</w:t>
      </w:r>
    </w:p>
    <w:p>
      <w:pPr>
        <w:pStyle w:val="31"/>
      </w:pPr>
      <w:r>
        <w:t>（二）加强支出管理。全面加强支出管理，按照法定程序审查和批准财政预算，通过规范的预算执行程序，落实财政收入，依法分配预算支出。随时监控财政收支预算的执行过程，按照相关法规政策对预算进行适时调整，确保全年预算平衡和社会事业发展需要。对项目经费支出加强监督管理，对每个项目及时跟进，确保项目经费按照预算进度使用，及时获取项目资金，确保支出进度达标。</w:t>
      </w:r>
    </w:p>
    <w:p>
      <w:pPr>
        <w:pStyle w:val="31"/>
      </w:pPr>
      <w:r>
        <w:t>（三）加强绩效运行监控。按照部门预算的要求，认真编制预</w:t>
      </w:r>
    </w:p>
    <w:p>
      <w:pPr>
        <w:pStyle w:val="31"/>
      </w:pPr>
      <w:r>
        <w:t>算，对支出实行分类管理，要有支出标准、有制度依据，严格按照绩效目标的要求，监控项目经费的使用，确保项目经费使用达到指标要求。</w:t>
      </w:r>
    </w:p>
    <w:p>
      <w:pPr>
        <w:pStyle w:val="31"/>
      </w:pPr>
      <w:r>
        <w:t>（四）做好绩效自评。及时做好绩效自评工作，对评价中发现问题及时整改，调整优化支出结构，提高项目资金的使用效率。</w:t>
      </w:r>
    </w:p>
    <w:p>
      <w:pPr>
        <w:pStyle w:val="31"/>
      </w:pPr>
      <w:r>
        <w:t>（五）规范财务资产管理。完善财务管理制度，严格审批程序，加强固定资产登记、使用和报废处置管理，做到支出合理，物尽其用。</w:t>
      </w:r>
    </w:p>
    <w:p>
      <w:pPr>
        <w:pStyle w:val="31"/>
      </w:pPr>
      <w:r>
        <w:t>（六）加强内部监督。加强内部监管制度建设，严格控制项目支出，认真开展资产清查和核实工作，同时积极配合有关单位的审计工作，确保绩效目标如期保质完成。</w:t>
      </w:r>
    </w:p>
    <w:p>
      <w:pPr>
        <w:pStyle w:val="31"/>
        <w:sectPr>
          <w:pgSz w:w="16840" w:h="11900" w:orient="landscape"/>
          <w:pgMar w:top="1361" w:right="1020" w:bottom="1361" w:left="1020" w:header="720" w:footer="720" w:gutter="0"/>
          <w:docGrid w:linePitch="326" w:charSpace="0"/>
        </w:sectPr>
      </w:pPr>
      <w:r>
        <w:t>（七）加强宣传培训调研等。加强人员培训，提高本部门职工业务素质；加强调研，提出优化财政资金配置、提高资金使用效益的意见；加大宣传力度，强化预算绩效管理意识，促进预算绩效管理</w:t>
      </w: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5" w:name="_Toc_3_3_0000000015"/>
      <w:r>
        <w:rPr>
          <w:rFonts w:ascii="黑体" w:eastAsia="黑体" w:cs="黑体" w:hAnsi="黑体"/>
          <w:color w:val="000000"/>
          <w:sz w:val="32"/>
        </w:rPr>
        <w:t>六、部门主管专项资金预算安排情况及绩效目标</w:t>
      </w:r>
      <w:bookmarkEnd w:id="15"/>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spacing w:before="0" w:after="0"/>
        <w:ind w:firstLine="560"/>
        <w:jc w:val="left"/>
        <w:outlineLvl w:val="9"/>
      </w:pPr>
      <w:r>
        <w:rPr>
          <w:rFonts w:ascii="方正仿宋_GBK" w:eastAsia="方正仿宋_GBK" w:cs="方正仿宋_GBK" w:hAnsi="方正仿宋_GBK"/>
          <w:color w:val="000000"/>
          <w:sz w:val="28"/>
        </w:rPr>
        <w:t>1、提前下达2025年省级农村财会人员培训资金预算绩效目标表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13032225P002312100014</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提前下达2025年省级农村财会人员培训资金预算</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24.00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24.00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用于财政支农政策培训</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 xml:space="preserve"> </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1.提高农村财会人员整体综合水平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培训人员人次</w:t>
            </w:r>
          </w:p>
        </w:tc>
        <w:tc>
          <w:tcPr>
            <w:tcW w:w="5386" w:type="dxa"/>
            <w:tcBorders>
              <w:top w:val="single" w:sz="6" w:space="0" w:color="auto"/>
              <w:left w:val="single" w:sz="6" w:space="0" w:color="auto"/>
              <w:right w:val="single" w:sz="6" w:space="0" w:color="auto"/>
            </w:tcBorders>
            <w:vAlign w:val="center"/>
          </w:tcPr>
          <w:p>
            <w:pPr>
              <w:pStyle w:val="20"/>
            </w:pPr>
            <w:r>
              <w:t>项目培训农村财会人员人次</w:t>
            </w:r>
          </w:p>
        </w:tc>
        <w:tc>
          <w:tcPr>
            <w:tcW w:w="2268" w:type="dxa"/>
            <w:tcBorders>
              <w:top w:val="single" w:sz="6" w:space="0" w:color="auto"/>
              <w:left w:val="single" w:sz="6" w:space="0" w:color="auto"/>
              <w:right w:val="single" w:sz="6" w:space="0" w:color="auto"/>
            </w:tcBorders>
            <w:vAlign w:val="center"/>
          </w:tcPr>
          <w:p>
            <w:pPr>
              <w:pStyle w:val="20"/>
            </w:pPr>
            <w:r>
              <w:t>≥500人</w:t>
            </w:r>
          </w:p>
        </w:tc>
        <w:tc>
          <w:tcPr>
            <w:tcW w:w="1276" w:type="dxa"/>
            <w:vAlign w:val="center"/>
          </w:tcPr>
          <w:p>
            <w:pPr>
              <w:pStyle w:val="20"/>
            </w:pPr>
            <w:r>
              <w:t>经验标准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培训计划执行覆盖率</w:t>
            </w:r>
          </w:p>
        </w:tc>
        <w:tc>
          <w:tcPr>
            <w:tcW w:w="5386" w:type="dxa"/>
            <w:tcBorders>
              <w:top w:val="single" w:sz="6" w:space="0" w:color="auto"/>
              <w:left w:val="single" w:sz="6" w:space="0" w:color="auto"/>
              <w:right w:val="single" w:sz="6" w:space="0" w:color="auto"/>
            </w:tcBorders>
            <w:vAlign w:val="center"/>
          </w:tcPr>
          <w:p>
            <w:pPr>
              <w:pStyle w:val="20"/>
            </w:pPr>
            <w:r>
              <w:t>完成村数占总数比率。完成计划执行覆盖率=完成计划执行村数/总村数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经验标准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资金进度完成率</w:t>
            </w:r>
          </w:p>
        </w:tc>
        <w:tc>
          <w:tcPr>
            <w:tcW w:w="5386" w:type="dxa"/>
            <w:tcBorders>
              <w:top w:val="single" w:sz="6" w:space="0" w:color="auto"/>
              <w:left w:val="single" w:sz="6" w:space="0" w:color="auto"/>
              <w:right w:val="single" w:sz="6" w:space="0" w:color="auto"/>
            </w:tcBorders>
            <w:vAlign w:val="center"/>
          </w:tcPr>
          <w:p>
            <w:pPr>
              <w:pStyle w:val="20"/>
            </w:pPr>
            <w:r>
              <w:t>按时完成资金进度。资金进度完成率=资金使用数/资金预算数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经验标准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开展培训成本数</w:t>
            </w:r>
          </w:p>
        </w:tc>
        <w:tc>
          <w:tcPr>
            <w:tcW w:w="5386" w:type="dxa"/>
            <w:tcBorders>
              <w:top w:val="single" w:sz="6" w:space="0" w:color="auto"/>
              <w:left w:val="single" w:sz="6" w:space="0" w:color="auto"/>
              <w:right w:val="single" w:sz="6" w:space="0" w:color="auto"/>
            </w:tcBorders>
            <w:vAlign w:val="center"/>
          </w:tcPr>
          <w:p>
            <w:pPr>
              <w:pStyle w:val="20"/>
            </w:pPr>
            <w:r>
              <w:t>培训成本数不高于24万元</w:t>
            </w:r>
          </w:p>
        </w:tc>
        <w:tc>
          <w:tcPr>
            <w:tcW w:w="2268" w:type="dxa"/>
            <w:tcBorders>
              <w:top w:val="single" w:sz="6" w:space="0" w:color="auto"/>
              <w:left w:val="single" w:sz="6" w:space="0" w:color="auto"/>
              <w:right w:val="single" w:sz="6" w:space="0" w:color="auto"/>
            </w:tcBorders>
            <w:vAlign w:val="center"/>
          </w:tcPr>
          <w:p>
            <w:pPr>
              <w:pStyle w:val="20"/>
            </w:pPr>
            <w:r>
              <w:t>≤24万元</w:t>
            </w:r>
          </w:p>
        </w:tc>
        <w:tc>
          <w:tcPr>
            <w:tcW w:w="1276" w:type="dxa"/>
            <w:vAlign w:val="center"/>
          </w:tcPr>
          <w:p>
            <w:pPr>
              <w:pStyle w:val="20"/>
            </w:pPr>
            <w:r>
              <w:t>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提高涉农资金合理运用</w:t>
            </w:r>
          </w:p>
        </w:tc>
        <w:tc>
          <w:tcPr>
            <w:tcW w:w="5386" w:type="dxa"/>
            <w:tcBorders>
              <w:top w:val="single" w:sz="6" w:space="0" w:color="auto"/>
              <w:left w:val="single" w:sz="6" w:space="0" w:color="auto"/>
              <w:right w:val="single" w:sz="6" w:space="0" w:color="auto"/>
            </w:tcBorders>
            <w:vAlign w:val="center"/>
          </w:tcPr>
          <w:p>
            <w:pPr>
              <w:pStyle w:val="20"/>
            </w:pPr>
            <w:r>
              <w:t>涉农资金运用完成情况</w:t>
            </w:r>
          </w:p>
        </w:tc>
        <w:tc>
          <w:tcPr>
            <w:tcW w:w="2268" w:type="dxa"/>
            <w:tcBorders>
              <w:top w:val="single" w:sz="6" w:space="0" w:color="auto"/>
              <w:left w:val="single" w:sz="6" w:space="0" w:color="auto"/>
              <w:right w:val="single" w:sz="6" w:space="0" w:color="auto"/>
            </w:tcBorders>
            <w:vAlign w:val="center"/>
          </w:tcPr>
          <w:p>
            <w:pPr>
              <w:pStyle w:val="20"/>
            </w:pPr>
            <w:r>
              <w:t>100%</w:t>
            </w:r>
          </w:p>
        </w:tc>
        <w:tc>
          <w:tcPr>
            <w:tcW w:w="1276" w:type="dxa"/>
            <w:vAlign w:val="center"/>
          </w:tcPr>
          <w:p>
            <w:pPr>
              <w:pStyle w:val="20"/>
            </w:pPr>
            <w:r>
              <w:t>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培训合规率</w:t>
            </w:r>
          </w:p>
        </w:tc>
        <w:tc>
          <w:tcPr>
            <w:tcW w:w="5386" w:type="dxa"/>
            <w:tcBorders>
              <w:top w:val="single" w:sz="6" w:space="0" w:color="auto"/>
              <w:left w:val="single" w:sz="6" w:space="0" w:color="auto"/>
              <w:right w:val="single" w:sz="6" w:space="0" w:color="auto"/>
            </w:tcBorders>
            <w:vAlign w:val="center"/>
          </w:tcPr>
          <w:p>
            <w:pPr>
              <w:pStyle w:val="20"/>
            </w:pPr>
            <w:r>
              <w:t>培训合规率</w:t>
            </w:r>
          </w:p>
        </w:tc>
        <w:tc>
          <w:tcPr>
            <w:tcW w:w="2268" w:type="dxa"/>
            <w:tcBorders>
              <w:top w:val="single" w:sz="6" w:space="0" w:color="auto"/>
              <w:left w:val="single" w:sz="6" w:space="0" w:color="auto"/>
              <w:right w:val="single" w:sz="6" w:space="0" w:color="auto"/>
            </w:tcBorders>
            <w:vAlign w:val="center"/>
          </w:tcPr>
          <w:p>
            <w:pPr>
              <w:pStyle w:val="20"/>
            </w:pPr>
            <w:r>
              <w:t>100%</w:t>
            </w:r>
          </w:p>
        </w:tc>
        <w:tc>
          <w:tcPr>
            <w:tcW w:w="1276" w:type="dxa"/>
            <w:vAlign w:val="center"/>
          </w:tcPr>
          <w:p>
            <w:pPr>
              <w:pStyle w:val="20"/>
            </w:pPr>
            <w:r>
              <w:t>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进一步规范村级财务管理</w:t>
            </w:r>
          </w:p>
        </w:tc>
        <w:tc>
          <w:tcPr>
            <w:tcW w:w="5386" w:type="dxa"/>
            <w:tcBorders>
              <w:top w:val="single" w:sz="6" w:space="0" w:color="auto"/>
              <w:left w:val="single" w:sz="6" w:space="0" w:color="auto"/>
              <w:right w:val="single" w:sz="6" w:space="0" w:color="auto"/>
            </w:tcBorders>
            <w:vAlign w:val="center"/>
          </w:tcPr>
          <w:p>
            <w:pPr>
              <w:pStyle w:val="20"/>
            </w:pPr>
            <w:r>
              <w:t>规范418个村级财务管理</w:t>
            </w:r>
          </w:p>
        </w:tc>
        <w:tc>
          <w:tcPr>
            <w:tcW w:w="2268" w:type="dxa"/>
            <w:tcBorders>
              <w:top w:val="single" w:sz="6" w:space="0" w:color="auto"/>
              <w:left w:val="single" w:sz="6" w:space="0" w:color="auto"/>
              <w:right w:val="single" w:sz="6" w:space="0" w:color="auto"/>
            </w:tcBorders>
            <w:vAlign w:val="center"/>
          </w:tcPr>
          <w:p>
            <w:pPr>
              <w:pStyle w:val="20"/>
            </w:pPr>
            <w:r>
              <w:t>418个</w:t>
            </w:r>
          </w:p>
        </w:tc>
        <w:tc>
          <w:tcPr>
            <w:tcW w:w="1276" w:type="dxa"/>
            <w:vAlign w:val="center"/>
          </w:tcPr>
          <w:p>
            <w:pPr>
              <w:pStyle w:val="20"/>
            </w:pPr>
            <w:r>
              <w:t>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项目可持续发展期限</w:t>
            </w:r>
          </w:p>
        </w:tc>
        <w:tc>
          <w:tcPr>
            <w:tcW w:w="5386" w:type="dxa"/>
            <w:tcBorders>
              <w:top w:val="single" w:sz="6" w:space="0" w:color="auto"/>
              <w:left w:val="single" w:sz="6" w:space="0" w:color="auto"/>
              <w:right w:val="single" w:sz="6" w:space="0" w:color="auto"/>
            </w:tcBorders>
            <w:vAlign w:val="center"/>
          </w:tcPr>
          <w:p>
            <w:pPr>
              <w:pStyle w:val="20"/>
            </w:pPr>
            <w:r>
              <w:t>项目可持续发展期限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历史经验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w:t>
            </w:r>
          </w:p>
        </w:tc>
        <w:tc>
          <w:tcPr>
            <w:tcW w:w="5386" w:type="dxa"/>
            <w:tcBorders>
              <w:top w:val="single" w:sz="6" w:space="0" w:color="auto"/>
              <w:left w:val="single" w:sz="6" w:space="0" w:color="auto"/>
              <w:right w:val="single" w:sz="6" w:space="0" w:color="auto"/>
            </w:tcBorders>
            <w:vAlign w:val="center"/>
          </w:tcPr>
          <w:p>
            <w:pPr>
              <w:pStyle w:val="20"/>
            </w:pPr>
            <w:r>
              <w:t>服务对象的满意人数占总人数的比率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计划</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2、提前下达2025年国有企业退休人员社会化管理省级财政补助资金预算绩效目标表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13032225P00231910002F</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提前下达2025年国有企业退休人员社会化管理省级财政补助资金预算</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提前下达2025年国有企业退休人员社会化管理省级财政补助资金</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1.国有企业新办理退休人员管理服务工作与原企业分离</w:t>
            </w:r>
          </w:p>
          <w:p>
            <w:pPr>
              <w:pStyle w:val="20"/>
            </w:pPr>
            <w:r>
              <w:t>2.国有企业已退休人员管理服务工作与原企业分离</w:t>
            </w:r>
          </w:p>
          <w:p>
            <w:pPr>
              <w:pStyle w:val="20"/>
            </w:pPr>
            <w:r>
              <w:t>3.国有企业不承担移交后的退休人员社会化管理服务费用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国有企业与退休人员管理服务工作与原企业分离的比例</w:t>
            </w:r>
          </w:p>
        </w:tc>
        <w:tc>
          <w:tcPr>
            <w:tcW w:w="5386" w:type="dxa"/>
            <w:tcBorders>
              <w:top w:val="single" w:sz="6" w:space="0" w:color="auto"/>
              <w:left w:val="single" w:sz="6" w:space="0" w:color="auto"/>
              <w:right w:val="single" w:sz="6" w:space="0" w:color="auto"/>
            </w:tcBorders>
            <w:vAlign w:val="center"/>
          </w:tcPr>
          <w:p>
            <w:pPr>
              <w:pStyle w:val="20"/>
            </w:pPr>
            <w:r>
              <w:t>国有企业已退休人员管理服务工作与原企业分离</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国有企业新办理退休人员管理服务工作与原企业分离的比例</w:t>
            </w:r>
          </w:p>
        </w:tc>
        <w:tc>
          <w:tcPr>
            <w:tcW w:w="5386" w:type="dxa"/>
            <w:tcBorders>
              <w:top w:val="single" w:sz="6" w:space="0" w:color="auto"/>
              <w:left w:val="single" w:sz="6" w:space="0" w:color="auto"/>
              <w:right w:val="single" w:sz="6" w:space="0" w:color="auto"/>
            </w:tcBorders>
            <w:vAlign w:val="center"/>
          </w:tcPr>
          <w:p>
            <w:pPr>
              <w:pStyle w:val="20"/>
            </w:pPr>
            <w:r>
              <w:t>国有企业新办理退休人员管理服务工作与原企业分离</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支付及时率</w:t>
            </w:r>
          </w:p>
        </w:tc>
        <w:tc>
          <w:tcPr>
            <w:tcW w:w="5386" w:type="dxa"/>
            <w:tcBorders>
              <w:top w:val="single" w:sz="6" w:space="0" w:color="auto"/>
              <w:left w:val="single" w:sz="6" w:space="0" w:color="auto"/>
              <w:right w:val="single" w:sz="6" w:space="0" w:color="auto"/>
            </w:tcBorders>
            <w:vAlign w:val="center"/>
          </w:tcPr>
          <w:p>
            <w:pPr>
              <w:pStyle w:val="20"/>
            </w:pPr>
            <w:r>
              <w:t>资金拨付及时率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补助资金到位率</w:t>
            </w:r>
          </w:p>
        </w:tc>
        <w:tc>
          <w:tcPr>
            <w:tcW w:w="5386" w:type="dxa"/>
            <w:tcBorders>
              <w:top w:val="single" w:sz="6" w:space="0" w:color="auto"/>
              <w:left w:val="single" w:sz="6" w:space="0" w:color="auto"/>
              <w:right w:val="single" w:sz="6" w:space="0" w:color="auto"/>
            </w:tcBorders>
            <w:vAlign w:val="center"/>
          </w:tcPr>
          <w:p>
            <w:pPr>
              <w:pStyle w:val="20"/>
            </w:pPr>
            <w:r>
              <w:t>补助资金到位率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国有企业不承担移交后的退休人员社会化管理服务费用的比例</w:t>
            </w:r>
          </w:p>
        </w:tc>
        <w:tc>
          <w:tcPr>
            <w:tcW w:w="5386" w:type="dxa"/>
            <w:tcBorders>
              <w:top w:val="single" w:sz="6" w:space="0" w:color="auto"/>
              <w:left w:val="single" w:sz="6" w:space="0" w:color="auto"/>
              <w:right w:val="single" w:sz="6" w:space="0" w:color="auto"/>
            </w:tcBorders>
            <w:vAlign w:val="center"/>
          </w:tcPr>
          <w:p>
            <w:pPr>
              <w:pStyle w:val="20"/>
            </w:pPr>
            <w:r>
              <w:t>国有企业不承担移交后的退休人员社会化管理服务费用</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w:t>
              <w:tab/>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提高社会稳定性</w:t>
            </w:r>
          </w:p>
        </w:tc>
        <w:tc>
          <w:tcPr>
            <w:tcW w:w="5386" w:type="dxa"/>
            <w:tcBorders>
              <w:top w:val="single" w:sz="6" w:space="0" w:color="auto"/>
              <w:left w:val="single" w:sz="6" w:space="0" w:color="auto"/>
              <w:right w:val="single" w:sz="6" w:space="0" w:color="auto"/>
            </w:tcBorders>
            <w:vAlign w:val="center"/>
          </w:tcPr>
          <w:p>
            <w:pPr>
              <w:pStyle w:val="20"/>
            </w:pPr>
            <w:r>
              <w:t>提高社会稳定性</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移交企业的综合满意程度</w:t>
            </w:r>
          </w:p>
        </w:tc>
        <w:tc>
          <w:tcPr>
            <w:tcW w:w="5386" w:type="dxa"/>
            <w:tcBorders>
              <w:top w:val="single" w:sz="6" w:space="0" w:color="auto"/>
              <w:left w:val="single" w:sz="6" w:space="0" w:color="auto"/>
              <w:right w:val="single" w:sz="6" w:space="0" w:color="auto"/>
            </w:tcBorders>
            <w:vAlign w:val="center"/>
          </w:tcPr>
          <w:p>
            <w:pPr>
              <w:pStyle w:val="20"/>
            </w:pPr>
            <w:r>
              <w:t>移交企业的综合满意度</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满意度调查问卷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3、提前下达2025年国有企业退休人员社会化管理中央财政补助资金预算绩效目标表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13032225P00231910001U</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提前下达2025年国有企业退休人员社会化管理中央财政补助资金预算</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2025年国有企业退休人员社会化管理中央财政补助资金</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1.国有企业不承担移交后的退休人员社会化管理服务费用</w:t>
            </w:r>
          </w:p>
          <w:p>
            <w:pPr>
              <w:pStyle w:val="20"/>
            </w:pPr>
            <w:r>
              <w:t>2.国有企业新办理退休人员管理服务工作与原企业分离</w:t>
            </w:r>
          </w:p>
          <w:p>
            <w:pPr>
              <w:pStyle w:val="20"/>
            </w:pPr>
            <w:r>
              <w:t>3.国有企业已退休人员管理服务工作与原企业分离</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国有企业与退休人员管理服务工作与原企业分离的比例</w:t>
            </w:r>
          </w:p>
        </w:tc>
        <w:tc>
          <w:tcPr>
            <w:tcW w:w="5386" w:type="dxa"/>
            <w:tcBorders>
              <w:top w:val="single" w:sz="6" w:space="0" w:color="auto"/>
              <w:left w:val="single" w:sz="6" w:space="0" w:color="auto"/>
              <w:right w:val="single" w:sz="6" w:space="0" w:color="auto"/>
            </w:tcBorders>
            <w:vAlign w:val="center"/>
          </w:tcPr>
          <w:p>
            <w:pPr>
              <w:pStyle w:val="20"/>
            </w:pPr>
            <w:r>
              <w:t>国有企业已退休人员管理服务工作与原企业分离</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国有企业新办理退休人员管理服务工作与原企业分离的比例</w:t>
            </w:r>
          </w:p>
        </w:tc>
        <w:tc>
          <w:tcPr>
            <w:tcW w:w="5386" w:type="dxa"/>
            <w:tcBorders>
              <w:top w:val="single" w:sz="6" w:space="0" w:color="auto"/>
              <w:left w:val="single" w:sz="6" w:space="0" w:color="auto"/>
              <w:right w:val="single" w:sz="6" w:space="0" w:color="auto"/>
            </w:tcBorders>
            <w:vAlign w:val="center"/>
          </w:tcPr>
          <w:p>
            <w:pPr>
              <w:pStyle w:val="20"/>
            </w:pPr>
            <w:r>
              <w:t>国有企业新办理退休人员管理服务工作与原企业分离</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支付及时率</w:t>
            </w:r>
          </w:p>
        </w:tc>
        <w:tc>
          <w:tcPr>
            <w:tcW w:w="5386" w:type="dxa"/>
            <w:tcBorders>
              <w:top w:val="single" w:sz="6" w:space="0" w:color="auto"/>
              <w:left w:val="single" w:sz="6" w:space="0" w:color="auto"/>
              <w:right w:val="single" w:sz="6" w:space="0" w:color="auto"/>
            </w:tcBorders>
            <w:vAlign w:val="center"/>
          </w:tcPr>
          <w:p>
            <w:pPr>
              <w:pStyle w:val="20"/>
            </w:pPr>
            <w:r>
              <w:t>资金拨付及时率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补助资金到位率</w:t>
            </w:r>
          </w:p>
        </w:tc>
        <w:tc>
          <w:tcPr>
            <w:tcW w:w="5386" w:type="dxa"/>
            <w:tcBorders>
              <w:top w:val="single" w:sz="6" w:space="0" w:color="auto"/>
              <w:left w:val="single" w:sz="6" w:space="0" w:color="auto"/>
              <w:right w:val="single" w:sz="6" w:space="0" w:color="auto"/>
            </w:tcBorders>
            <w:vAlign w:val="center"/>
          </w:tcPr>
          <w:p>
            <w:pPr>
              <w:pStyle w:val="20"/>
            </w:pPr>
            <w:r>
              <w:t>补助资金到位率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国有企业不承担移交后的退休人员社会化管理服务费用的比例</w:t>
            </w:r>
          </w:p>
        </w:tc>
        <w:tc>
          <w:tcPr>
            <w:tcW w:w="5386" w:type="dxa"/>
            <w:tcBorders>
              <w:top w:val="single" w:sz="6" w:space="0" w:color="auto"/>
              <w:left w:val="single" w:sz="6" w:space="0" w:color="auto"/>
              <w:right w:val="single" w:sz="6" w:space="0" w:color="auto"/>
            </w:tcBorders>
            <w:vAlign w:val="center"/>
          </w:tcPr>
          <w:p>
            <w:pPr>
              <w:pStyle w:val="20"/>
            </w:pPr>
            <w:r>
              <w:t>国有企业不承担移交后的退休人员社会化管理服务费用</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提高社会稳定性</w:t>
            </w:r>
          </w:p>
        </w:tc>
        <w:tc>
          <w:tcPr>
            <w:tcW w:w="5386" w:type="dxa"/>
            <w:tcBorders>
              <w:top w:val="single" w:sz="6" w:space="0" w:color="auto"/>
              <w:left w:val="single" w:sz="6" w:space="0" w:color="auto"/>
              <w:right w:val="single" w:sz="6" w:space="0" w:color="auto"/>
            </w:tcBorders>
            <w:vAlign w:val="center"/>
          </w:tcPr>
          <w:p>
            <w:pPr>
              <w:pStyle w:val="20"/>
            </w:pPr>
            <w:r>
              <w:t>提高社会稳定性</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移交企业的综合满意程度</w:t>
            </w:r>
          </w:p>
        </w:tc>
        <w:tc>
          <w:tcPr>
            <w:tcW w:w="5386" w:type="dxa"/>
            <w:tcBorders>
              <w:top w:val="single" w:sz="6" w:space="0" w:color="auto"/>
              <w:left w:val="single" w:sz="6" w:space="0" w:color="auto"/>
              <w:right w:val="single" w:sz="6" w:space="0" w:color="auto"/>
            </w:tcBorders>
            <w:vAlign w:val="center"/>
          </w:tcPr>
          <w:p>
            <w:pPr>
              <w:pStyle w:val="20"/>
            </w:pPr>
            <w:r>
              <w:t>移交企业的综合满意度</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满意度调查问卷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318昌黎县财政局</w:t>
            </w:r>
          </w:p>
        </w:tc>
        <w:tc>
          <w:tcPr>
            <w:tcW w:w="7712"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昌黎县财政局（含所属单位）上年末固定资产金额为2033.45万元（详见下表）。本年度拟购置固定资产总额为10.00万元，已按要求列入政府采购预算，详见政府采购预算表。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318昌黎县财政局</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2033.45</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r>
              <w:t>10194.82</w:t>
            </w:r>
          </w:p>
        </w:tc>
        <w:tc>
          <w:tcPr>
            <w:tcW w:w="2835" w:type="dxa"/>
            <w:vAlign w:val="center"/>
          </w:tcPr>
          <w:p>
            <w:pPr>
              <w:pStyle w:val="19"/>
            </w:pPr>
            <w:r>
              <w:t>1392.47</w:t>
            </w: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r>
              <w:t>3858.02</w:t>
            </w:r>
          </w:p>
        </w:tc>
        <w:tc>
          <w:tcPr>
            <w:tcW w:w="2835" w:type="dxa"/>
            <w:vAlign w:val="center"/>
          </w:tcPr>
          <w:p>
            <w:pPr>
              <w:pStyle w:val="19"/>
            </w:pPr>
            <w:r>
              <w:t>435.47</w:t>
            </w: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r>
              <w:t>4</w:t>
            </w:r>
          </w:p>
        </w:tc>
        <w:tc>
          <w:tcPr>
            <w:tcW w:w="2835" w:type="dxa"/>
            <w:vAlign w:val="center"/>
          </w:tcPr>
          <w:p>
            <w:pPr>
              <w:pStyle w:val="19"/>
            </w:pPr>
            <w:r>
              <w:t>56.21</w:t>
            </w: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r>
              <w:t>2</w:t>
            </w:r>
          </w:p>
        </w:tc>
        <w:tc>
          <w:tcPr>
            <w:tcW w:w="2835" w:type="dxa"/>
            <w:vAlign w:val="center"/>
          </w:tcPr>
          <w:p>
            <w:pPr>
              <w:pStyle w:val="19"/>
            </w:pPr>
            <w:r>
              <w:t>259.15</w:t>
            </w: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1074</w:t>
            </w:r>
          </w:p>
        </w:tc>
        <w:tc>
          <w:tcPr>
            <w:tcW w:w="2835" w:type="dxa"/>
            <w:vAlign w:val="center"/>
          </w:tcPr>
          <w:p>
            <w:pPr>
              <w:pStyle w:val="19"/>
            </w:pPr>
            <w:r>
              <w:t>325.62</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panose1 w:val="02000000000000000000"/>
    <w:charset w:val="86"/>
    <w:family w:val="script"/>
    <w:pitch w:val="variable"/>
    <w:sig w:usb0="A00002BF" w:usb1="38CF7CFA" w:usb2="00082016"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书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仿宋_GBK">
    <w:panose1 w:val="02000000000000000000"/>
    <w:charset w:val="86"/>
    <w:family w:val="script"/>
    <w:pitch w:val="variable"/>
    <w:sig w:usb0="A00002BF" w:usb1="38CF7CFA" w:usb2="00082016" w:usb3="00000000" w:csb0="00040001"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31</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32</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pPr>
      <w:spacing w:before="0" w:after="0"/>
      <w:ind w:firstLine="0"/>
      <w:jc w:val="right"/>
      <w:outlineLvl w:val="9"/>
    </w:pPr>
    <w:rPr>
      <w:rFonts w:ascii="方正书宋_GBK" w:eastAsia="方正书宋_GBK" w:cs="方正书宋_GBK" w:hAnsi="方正书宋_GBK"/>
      <w:sz w:val="24"/>
      <w:szCs w:val="20"/>
      <w:lang w:val="en-US" w:eastAsia="zh-CN" w:bidi="ar-SA"/>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32403F6C-D0D3-4ABC-9655-631EA6BDCDD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TotalTime>
  <Application>Yozo_Office27021597764231179</Application>
  <Pages>35</Pages>
  <Words>0</Words>
  <Characters>13801</Characters>
  <Lines>0</Lines>
  <Paragraphs>212</Paragraphs>
  <CharactersWithSpaces>18402</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2025-01-19T11:47:46Z</dcterms:created>
  <dcterms:modified xsi:type="dcterms:W3CDTF">2025-01-22T00:55:52Z</dcterms:modified>
</cp:coreProperties>
</file>