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2025年单位预算信息公开目录</w:t>
      </w:r>
    </w:p>
    <w:p>
      <w:pPr>
        <w:jc w:val="center"/>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t>一、昌黎县团林乡人民政府本级收支预算</w:t>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3"/>
      </w:pPr>
      <w:bookmarkStart w:id="0" w:name="_Toc_4_4_0000000001"/>
      <w:r>
        <w:rPr>
          <w:rFonts w:ascii="方正小标宋_GBK" w:eastAsia="方正小标宋_GBK" w:cs="方正小标宋_GBK" w:hAnsi="方正小标宋_GBK"/>
          <w:color w:val="000000"/>
          <w:sz w:val="44"/>
        </w:rPr>
        <w:t>一、昌黎县团林乡人民政府本级收支预算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1779.67</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1235.41</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207.05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103.14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192.14</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76.94</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1779.67</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1814.67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35.00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1814.67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1814.67</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1814.67</w:t>
            </w:r>
          </w:p>
        </w:tc>
        <w:tc>
          <w:tcPr>
            <w:tcW w:w="1134" w:type="dxa"/>
            <w:tcBorders>
              <w:top w:val="single" w:sz="6" w:space="0" w:color="auto"/>
              <w:left w:val="single" w:sz="6" w:space="0" w:color="auto"/>
              <w:right w:val="single" w:sz="6" w:space="0" w:color="auto"/>
            </w:tcBorders>
            <w:vAlign w:val="center"/>
          </w:tcPr>
          <w:p>
            <w:pPr>
              <w:pStyle w:val="23"/>
            </w:pPr>
            <w:r>
              <w:t>1779.67</w:t>
            </w:r>
          </w:p>
        </w:tc>
        <w:tc>
          <w:tcPr>
            <w:tcW w:w="1134" w:type="dxa"/>
            <w:tcBorders>
              <w:top w:val="single" w:sz="6" w:space="0" w:color="auto"/>
              <w:left w:val="single" w:sz="6" w:space="0" w:color="auto"/>
              <w:right w:val="single" w:sz="6" w:space="0" w:color="auto"/>
            </w:tcBorders>
            <w:vAlign w:val="center"/>
          </w:tcPr>
          <w:p>
            <w:pPr>
              <w:pStyle w:val="23"/>
            </w:pPr>
            <w:r>
              <w:t>1779.67</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35.00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1235.41</w:t>
            </w:r>
          </w:p>
        </w:tc>
        <w:tc>
          <w:tcPr>
            <w:tcW w:w="1134" w:type="dxa"/>
            <w:tcBorders>
              <w:top w:val="single" w:sz="6" w:space="0" w:color="auto"/>
              <w:left w:val="single" w:sz="6" w:space="0" w:color="auto"/>
              <w:right w:val="single" w:sz="6" w:space="0" w:color="auto"/>
            </w:tcBorders>
            <w:vAlign w:val="center"/>
          </w:tcPr>
          <w:p>
            <w:pPr>
              <w:pStyle w:val="19"/>
            </w:pPr>
            <w:r>
              <w:t>1235.41</w:t>
            </w:r>
          </w:p>
        </w:tc>
        <w:tc>
          <w:tcPr>
            <w:tcW w:w="1134" w:type="dxa"/>
            <w:tcBorders>
              <w:top w:val="single" w:sz="6" w:space="0" w:color="auto"/>
              <w:left w:val="single" w:sz="6" w:space="0" w:color="auto"/>
              <w:right w:val="single" w:sz="6" w:space="0" w:color="auto"/>
            </w:tcBorders>
            <w:vAlign w:val="center"/>
          </w:tcPr>
          <w:p>
            <w:pPr>
              <w:pStyle w:val="19"/>
            </w:pPr>
            <w:r>
              <w:t>1235.41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1559" w:type="dxa"/>
            <w:tcBorders>
              <w:top w:val="single" w:sz="6" w:space="0" w:color="auto"/>
              <w:left w:val="single" w:sz="6" w:space="0" w:color="auto"/>
              <w:right w:val="single" w:sz="6" w:space="0" w:color="auto"/>
            </w:tcBorders>
            <w:vAlign w:val="center"/>
          </w:tcPr>
          <w:p>
            <w:pPr>
              <w:pStyle w:val="20"/>
            </w:pPr>
            <w:r>
              <w:t>人大事务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1559" w:type="dxa"/>
            <w:tcBorders>
              <w:top w:val="single" w:sz="6" w:space="0" w:color="auto"/>
              <w:left w:val="single" w:sz="6" w:space="0" w:color="auto"/>
              <w:right w:val="single" w:sz="6" w:space="0" w:color="auto"/>
            </w:tcBorders>
            <w:vAlign w:val="center"/>
          </w:tcPr>
          <w:p>
            <w:pPr>
              <w:pStyle w:val="20"/>
            </w:pPr>
            <w:r>
              <w:t>代表工作</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1559"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134" w:type="dxa"/>
            <w:tcBorders>
              <w:top w:val="single" w:sz="6" w:space="0" w:color="auto"/>
              <w:left w:val="single" w:sz="6" w:space="0" w:color="auto"/>
              <w:right w:val="single" w:sz="6" w:space="0" w:color="auto"/>
            </w:tcBorders>
            <w:vAlign w:val="center"/>
          </w:tcPr>
          <w:p>
            <w:pPr>
              <w:pStyle w:val="19"/>
            </w:pPr>
            <w:r>
              <w:t>1223.41</w:t>
            </w:r>
          </w:p>
        </w:tc>
        <w:tc>
          <w:tcPr>
            <w:tcW w:w="1134" w:type="dxa"/>
            <w:tcBorders>
              <w:top w:val="single" w:sz="6" w:space="0" w:color="auto"/>
              <w:left w:val="single" w:sz="6" w:space="0" w:color="auto"/>
              <w:right w:val="single" w:sz="6" w:space="0" w:color="auto"/>
            </w:tcBorders>
            <w:vAlign w:val="center"/>
          </w:tcPr>
          <w:p>
            <w:pPr>
              <w:pStyle w:val="19"/>
            </w:pPr>
            <w:r>
              <w:t>1223.41</w:t>
            </w:r>
          </w:p>
        </w:tc>
        <w:tc>
          <w:tcPr>
            <w:tcW w:w="1134" w:type="dxa"/>
            <w:tcBorders>
              <w:top w:val="single" w:sz="6" w:space="0" w:color="auto"/>
              <w:left w:val="single" w:sz="6" w:space="0" w:color="auto"/>
              <w:right w:val="single" w:sz="6" w:space="0" w:color="auto"/>
            </w:tcBorders>
            <w:vAlign w:val="center"/>
          </w:tcPr>
          <w:p>
            <w:pPr>
              <w:pStyle w:val="19"/>
            </w:pPr>
            <w:r>
              <w:t>1223.41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316.34</w:t>
            </w:r>
          </w:p>
        </w:tc>
        <w:tc>
          <w:tcPr>
            <w:tcW w:w="1134" w:type="dxa"/>
            <w:tcBorders>
              <w:top w:val="single" w:sz="6" w:space="0" w:color="auto"/>
              <w:left w:val="single" w:sz="6" w:space="0" w:color="auto"/>
              <w:right w:val="single" w:sz="6" w:space="0" w:color="auto"/>
            </w:tcBorders>
            <w:vAlign w:val="center"/>
          </w:tcPr>
          <w:p>
            <w:pPr>
              <w:pStyle w:val="19"/>
            </w:pPr>
            <w:r>
              <w:t>316.34</w:t>
            </w:r>
          </w:p>
        </w:tc>
        <w:tc>
          <w:tcPr>
            <w:tcW w:w="1134" w:type="dxa"/>
            <w:tcBorders>
              <w:top w:val="single" w:sz="6" w:space="0" w:color="auto"/>
              <w:left w:val="single" w:sz="6" w:space="0" w:color="auto"/>
              <w:right w:val="single" w:sz="6" w:space="0" w:color="auto"/>
            </w:tcBorders>
            <w:vAlign w:val="center"/>
          </w:tcPr>
          <w:p>
            <w:pPr>
              <w:pStyle w:val="19"/>
            </w:pPr>
            <w:r>
              <w:t>316.34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905.07</w:t>
            </w:r>
          </w:p>
        </w:tc>
        <w:tc>
          <w:tcPr>
            <w:tcW w:w="1134" w:type="dxa"/>
            <w:tcBorders>
              <w:top w:val="single" w:sz="6" w:space="0" w:color="auto"/>
              <w:left w:val="single" w:sz="6" w:space="0" w:color="auto"/>
              <w:right w:val="single" w:sz="6" w:space="0" w:color="auto"/>
            </w:tcBorders>
            <w:vAlign w:val="center"/>
          </w:tcPr>
          <w:p>
            <w:pPr>
              <w:pStyle w:val="19"/>
            </w:pPr>
            <w:r>
              <w:t>905.07</w:t>
            </w:r>
          </w:p>
        </w:tc>
        <w:tc>
          <w:tcPr>
            <w:tcW w:w="1134" w:type="dxa"/>
            <w:tcBorders>
              <w:top w:val="single" w:sz="6" w:space="0" w:color="auto"/>
              <w:left w:val="single" w:sz="6" w:space="0" w:color="auto"/>
              <w:right w:val="single" w:sz="6" w:space="0" w:color="auto"/>
            </w:tcBorders>
            <w:vAlign w:val="center"/>
          </w:tcPr>
          <w:p>
            <w:pPr>
              <w:pStyle w:val="19"/>
            </w:pPr>
            <w:r>
              <w:t>905.07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1559" w:type="dxa"/>
            <w:tcBorders>
              <w:top w:val="single" w:sz="6" w:space="0" w:color="auto"/>
              <w:left w:val="single" w:sz="6" w:space="0" w:color="auto"/>
              <w:right w:val="single" w:sz="6" w:space="0" w:color="auto"/>
            </w:tcBorders>
            <w:vAlign w:val="center"/>
          </w:tcPr>
          <w:p>
            <w:pPr>
              <w:pStyle w:val="20"/>
            </w:pPr>
            <w:r>
              <w:t>信访事务</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1559" w:type="dxa"/>
            <w:tcBorders>
              <w:top w:val="single" w:sz="6" w:space="0" w:color="auto"/>
              <w:left w:val="single" w:sz="6" w:space="0" w:color="auto"/>
              <w:right w:val="single" w:sz="6" w:space="0" w:color="auto"/>
            </w:tcBorders>
            <w:vAlign w:val="center"/>
          </w:tcPr>
          <w:p>
            <w:pPr>
              <w:pStyle w:val="20"/>
            </w:pPr>
            <w:r>
              <w:t>信访业务</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150.08</w:t>
            </w:r>
          </w:p>
        </w:tc>
        <w:tc>
          <w:tcPr>
            <w:tcW w:w="1134" w:type="dxa"/>
            <w:tcBorders>
              <w:top w:val="single" w:sz="6" w:space="0" w:color="auto"/>
              <w:left w:val="single" w:sz="6" w:space="0" w:color="auto"/>
              <w:right w:val="single" w:sz="6" w:space="0" w:color="auto"/>
            </w:tcBorders>
            <w:vAlign w:val="center"/>
          </w:tcPr>
          <w:p>
            <w:pPr>
              <w:pStyle w:val="19"/>
            </w:pPr>
            <w:r>
              <w:t>150.08</w:t>
            </w:r>
          </w:p>
        </w:tc>
        <w:tc>
          <w:tcPr>
            <w:tcW w:w="1134" w:type="dxa"/>
            <w:tcBorders>
              <w:top w:val="single" w:sz="6" w:space="0" w:color="auto"/>
              <w:left w:val="single" w:sz="6" w:space="0" w:color="auto"/>
              <w:right w:val="single" w:sz="6" w:space="0" w:color="auto"/>
            </w:tcBorders>
            <w:vAlign w:val="center"/>
          </w:tcPr>
          <w:p>
            <w:pPr>
              <w:pStyle w:val="19"/>
            </w:pPr>
            <w:r>
              <w:t>150.08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56.96</w:t>
            </w:r>
          </w:p>
        </w:tc>
        <w:tc>
          <w:tcPr>
            <w:tcW w:w="1134" w:type="dxa"/>
            <w:tcBorders>
              <w:top w:val="single" w:sz="6" w:space="0" w:color="auto"/>
              <w:left w:val="single" w:sz="6" w:space="0" w:color="auto"/>
              <w:right w:val="single" w:sz="6" w:space="0" w:color="auto"/>
            </w:tcBorders>
            <w:vAlign w:val="center"/>
          </w:tcPr>
          <w:p>
            <w:pPr>
              <w:pStyle w:val="19"/>
            </w:pPr>
            <w:r>
              <w:t>56.96</w:t>
            </w:r>
          </w:p>
        </w:tc>
        <w:tc>
          <w:tcPr>
            <w:tcW w:w="1134" w:type="dxa"/>
            <w:tcBorders>
              <w:top w:val="single" w:sz="6" w:space="0" w:color="auto"/>
              <w:left w:val="single" w:sz="6" w:space="0" w:color="auto"/>
              <w:right w:val="single" w:sz="6" w:space="0" w:color="auto"/>
            </w:tcBorders>
            <w:vAlign w:val="center"/>
          </w:tcPr>
          <w:p>
            <w:pPr>
              <w:pStyle w:val="19"/>
            </w:pPr>
            <w:r>
              <w:t>56.96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103.14</w:t>
            </w:r>
          </w:p>
        </w:tc>
        <w:tc>
          <w:tcPr>
            <w:tcW w:w="1134" w:type="dxa"/>
            <w:tcBorders>
              <w:top w:val="single" w:sz="6" w:space="0" w:color="auto"/>
              <w:left w:val="single" w:sz="6" w:space="0" w:color="auto"/>
              <w:right w:val="single" w:sz="6" w:space="0" w:color="auto"/>
            </w:tcBorders>
            <w:vAlign w:val="center"/>
          </w:tcPr>
          <w:p>
            <w:pPr>
              <w:pStyle w:val="19"/>
            </w:pPr>
            <w:r>
              <w:t>103.14</w:t>
            </w:r>
          </w:p>
        </w:tc>
        <w:tc>
          <w:tcPr>
            <w:tcW w:w="1134" w:type="dxa"/>
            <w:tcBorders>
              <w:top w:val="single" w:sz="6" w:space="0" w:color="auto"/>
              <w:left w:val="single" w:sz="6" w:space="0" w:color="auto"/>
              <w:right w:val="single" w:sz="6" w:space="0" w:color="auto"/>
            </w:tcBorders>
            <w:vAlign w:val="center"/>
          </w:tcPr>
          <w:p>
            <w:pPr>
              <w:pStyle w:val="19"/>
            </w:pPr>
            <w:r>
              <w:t>103.14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1559" w:type="dxa"/>
            <w:tcBorders>
              <w:top w:val="single" w:sz="6" w:space="0" w:color="auto"/>
              <w:left w:val="single" w:sz="6" w:space="0" w:color="auto"/>
              <w:right w:val="single" w:sz="6" w:space="0" w:color="auto"/>
            </w:tcBorders>
            <w:vAlign w:val="center"/>
          </w:tcPr>
          <w:p>
            <w:pPr>
              <w:pStyle w:val="20"/>
            </w:pPr>
            <w:r>
              <w:t>计划生育事务</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1559" w:type="dxa"/>
            <w:tcBorders>
              <w:top w:val="single" w:sz="6" w:space="0" w:color="auto"/>
              <w:left w:val="single" w:sz="6" w:space="0" w:color="auto"/>
              <w:right w:val="single" w:sz="6" w:space="0" w:color="auto"/>
            </w:tcBorders>
            <w:vAlign w:val="center"/>
          </w:tcPr>
          <w:p>
            <w:pPr>
              <w:pStyle w:val="20"/>
            </w:pPr>
            <w:r>
              <w:t>其他计划生育事务支出</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90.49</w:t>
            </w:r>
          </w:p>
        </w:tc>
        <w:tc>
          <w:tcPr>
            <w:tcW w:w="1134" w:type="dxa"/>
            <w:tcBorders>
              <w:top w:val="single" w:sz="6" w:space="0" w:color="auto"/>
              <w:left w:val="single" w:sz="6" w:space="0" w:color="auto"/>
              <w:right w:val="single" w:sz="6" w:space="0" w:color="auto"/>
            </w:tcBorders>
            <w:vAlign w:val="center"/>
          </w:tcPr>
          <w:p>
            <w:pPr>
              <w:pStyle w:val="19"/>
            </w:pPr>
            <w:r>
              <w:t>90.49</w:t>
            </w:r>
          </w:p>
        </w:tc>
        <w:tc>
          <w:tcPr>
            <w:tcW w:w="1134" w:type="dxa"/>
            <w:tcBorders>
              <w:top w:val="single" w:sz="6" w:space="0" w:color="auto"/>
              <w:left w:val="single" w:sz="6" w:space="0" w:color="auto"/>
              <w:right w:val="single" w:sz="6" w:space="0" w:color="auto"/>
            </w:tcBorders>
            <w:vAlign w:val="center"/>
          </w:tcPr>
          <w:p>
            <w:pPr>
              <w:pStyle w:val="19"/>
            </w:pPr>
            <w:r>
              <w:t>90.49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15.82</w:t>
            </w:r>
          </w:p>
        </w:tc>
        <w:tc>
          <w:tcPr>
            <w:tcW w:w="1134" w:type="dxa"/>
            <w:tcBorders>
              <w:top w:val="single" w:sz="6" w:space="0" w:color="auto"/>
              <w:left w:val="single" w:sz="6" w:space="0" w:color="auto"/>
              <w:right w:val="single" w:sz="6" w:space="0" w:color="auto"/>
            </w:tcBorders>
            <w:vAlign w:val="center"/>
          </w:tcPr>
          <w:p>
            <w:pPr>
              <w:pStyle w:val="19"/>
            </w:pPr>
            <w:r>
              <w:t>15.82</w:t>
            </w:r>
          </w:p>
        </w:tc>
        <w:tc>
          <w:tcPr>
            <w:tcW w:w="1134" w:type="dxa"/>
            <w:tcBorders>
              <w:top w:val="single" w:sz="6" w:space="0" w:color="auto"/>
              <w:left w:val="single" w:sz="6" w:space="0" w:color="auto"/>
              <w:right w:val="single" w:sz="6" w:space="0" w:color="auto"/>
            </w:tcBorders>
            <w:vAlign w:val="center"/>
          </w:tcPr>
          <w:p>
            <w:pPr>
              <w:pStyle w:val="19"/>
            </w:pPr>
            <w:r>
              <w:t>15.82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74.66</w:t>
            </w:r>
          </w:p>
        </w:tc>
        <w:tc>
          <w:tcPr>
            <w:tcW w:w="1134" w:type="dxa"/>
            <w:tcBorders>
              <w:top w:val="single" w:sz="6" w:space="0" w:color="auto"/>
              <w:left w:val="single" w:sz="6" w:space="0" w:color="auto"/>
              <w:right w:val="single" w:sz="6" w:space="0" w:color="auto"/>
            </w:tcBorders>
            <w:vAlign w:val="center"/>
          </w:tcPr>
          <w:p>
            <w:pPr>
              <w:pStyle w:val="19"/>
            </w:pPr>
            <w:r>
              <w:t>74.66</w:t>
            </w:r>
          </w:p>
        </w:tc>
        <w:tc>
          <w:tcPr>
            <w:tcW w:w="1134" w:type="dxa"/>
            <w:tcBorders>
              <w:top w:val="single" w:sz="6" w:space="0" w:color="auto"/>
              <w:left w:val="single" w:sz="6" w:space="0" w:color="auto"/>
              <w:right w:val="single" w:sz="6" w:space="0" w:color="auto"/>
            </w:tcBorders>
            <w:vAlign w:val="center"/>
          </w:tcPr>
          <w:p>
            <w:pPr>
              <w:pStyle w:val="19"/>
            </w:pPr>
            <w:r>
              <w:t>74.66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192.14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35.00</w:t>
            </w: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1559" w:type="dxa"/>
            <w:tcBorders>
              <w:top w:val="single" w:sz="6" w:space="0" w:color="auto"/>
              <w:left w:val="single" w:sz="6" w:space="0" w:color="auto"/>
              <w:right w:val="single" w:sz="6" w:space="0" w:color="auto"/>
            </w:tcBorders>
            <w:vAlign w:val="center"/>
          </w:tcPr>
          <w:p>
            <w:pPr>
              <w:pStyle w:val="20"/>
            </w:pPr>
            <w:r>
              <w:t>农村综合改革</w:t>
            </w:r>
          </w:p>
        </w:tc>
        <w:tc>
          <w:tcPr>
            <w:tcW w:w="1134" w:type="dxa"/>
            <w:tcBorders>
              <w:top w:val="single" w:sz="6" w:space="0" w:color="auto"/>
              <w:left w:val="single" w:sz="6" w:space="0" w:color="auto"/>
              <w:right w:val="single" w:sz="6" w:space="0" w:color="auto"/>
            </w:tcBorders>
            <w:vAlign w:val="center"/>
          </w:tcPr>
          <w:p>
            <w:pPr>
              <w:pStyle w:val="19"/>
            </w:pPr>
            <w:r>
              <w:t>192.14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35.00</w:t>
            </w: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2130701</w:t>
            </w:r>
          </w:p>
        </w:tc>
        <w:tc>
          <w:tcPr>
            <w:tcW w:w="1559" w:type="dxa"/>
            <w:tcBorders>
              <w:top w:val="single" w:sz="6" w:space="0" w:color="auto"/>
              <w:left w:val="single" w:sz="6" w:space="0" w:color="auto"/>
              <w:right w:val="single" w:sz="6" w:space="0" w:color="auto"/>
            </w:tcBorders>
            <w:vAlign w:val="center"/>
          </w:tcPr>
          <w:p>
            <w:pPr>
              <w:pStyle w:val="20"/>
            </w:pPr>
            <w:r>
              <w:t>对村级公益事业建设的补助</w:t>
            </w:r>
          </w:p>
        </w:tc>
        <w:tc>
          <w:tcPr>
            <w:tcW w:w="1134" w:type="dxa"/>
            <w:tcBorders>
              <w:top w:val="single" w:sz="6" w:space="0" w:color="auto"/>
              <w:left w:val="single" w:sz="6" w:space="0" w:color="auto"/>
              <w:right w:val="single" w:sz="6" w:space="0" w:color="auto"/>
            </w:tcBorders>
            <w:vAlign w:val="center"/>
          </w:tcPr>
          <w:p>
            <w:pPr>
              <w:pStyle w:val="19"/>
            </w:pPr>
            <w:r>
              <w:t>35.00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35.00</w:t>
            </w: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1559"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1814.67</w:t>
            </w:r>
          </w:p>
        </w:tc>
        <w:tc>
          <w:tcPr>
            <w:tcW w:w="1361" w:type="dxa"/>
            <w:tcBorders>
              <w:top w:val="single" w:sz="6" w:space="0" w:color="auto"/>
              <w:left w:val="single" w:sz="6" w:space="0" w:color="auto"/>
              <w:right w:val="single" w:sz="6" w:space="0" w:color="auto"/>
            </w:tcBorders>
            <w:vAlign w:val="center"/>
          </w:tcPr>
          <w:p>
            <w:pPr>
              <w:pStyle w:val="23"/>
            </w:pPr>
            <w:r>
              <w:t>1608.54</w:t>
            </w:r>
          </w:p>
        </w:tc>
        <w:tc>
          <w:tcPr>
            <w:tcW w:w="1361" w:type="dxa"/>
            <w:tcBorders>
              <w:top w:val="single" w:sz="6" w:space="0" w:color="auto"/>
              <w:left w:val="single" w:sz="6" w:space="0" w:color="auto"/>
              <w:right w:val="single" w:sz="6" w:space="0" w:color="auto"/>
            </w:tcBorders>
            <w:vAlign w:val="center"/>
          </w:tcPr>
          <w:p>
            <w:pPr>
              <w:pStyle w:val="23"/>
            </w:pPr>
            <w:r>
              <w:t>206.14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1235.41</w:t>
            </w:r>
          </w:p>
        </w:tc>
        <w:tc>
          <w:tcPr>
            <w:tcW w:w="1361" w:type="dxa"/>
            <w:tcBorders>
              <w:top w:val="single" w:sz="6" w:space="0" w:color="auto"/>
              <w:left w:val="single" w:sz="6" w:space="0" w:color="auto"/>
              <w:right w:val="single" w:sz="6" w:space="0" w:color="auto"/>
            </w:tcBorders>
            <w:vAlign w:val="center"/>
          </w:tcPr>
          <w:p>
            <w:pPr>
              <w:pStyle w:val="19"/>
            </w:pPr>
            <w:r>
              <w:t>1221.41</w:t>
            </w:r>
          </w:p>
        </w:tc>
        <w:tc>
          <w:tcPr>
            <w:tcW w:w="1361" w:type="dxa"/>
            <w:tcBorders>
              <w:top w:val="single" w:sz="6" w:space="0" w:color="auto"/>
              <w:left w:val="single" w:sz="6" w:space="0" w:color="auto"/>
              <w:right w:val="single" w:sz="6" w:space="0" w:color="auto"/>
            </w:tcBorders>
            <w:vAlign w:val="center"/>
          </w:tcPr>
          <w:p>
            <w:pPr>
              <w:pStyle w:val="19"/>
            </w:pPr>
            <w:r>
              <w:t>14.00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361" w:type="dxa"/>
            <w:tcBorders>
              <w:top w:val="single" w:sz="6" w:space="0" w:color="auto"/>
              <w:left w:val="single" w:sz="6" w:space="0" w:color="auto"/>
              <w:right w:val="single" w:sz="6" w:space="0" w:color="auto"/>
            </w:tcBorders>
            <w:vAlign w:val="center"/>
          </w:tcPr>
          <w:p>
            <w:pPr>
              <w:pStyle w:val="19"/>
            </w:pPr>
            <w:r>
              <w:t>1223.41</w:t>
            </w:r>
          </w:p>
        </w:tc>
        <w:tc>
          <w:tcPr>
            <w:tcW w:w="1361" w:type="dxa"/>
            <w:tcBorders>
              <w:top w:val="single" w:sz="6" w:space="0" w:color="auto"/>
              <w:left w:val="single" w:sz="6" w:space="0" w:color="auto"/>
              <w:right w:val="single" w:sz="6" w:space="0" w:color="auto"/>
            </w:tcBorders>
            <w:vAlign w:val="center"/>
          </w:tcPr>
          <w:p>
            <w:pPr>
              <w:pStyle w:val="19"/>
            </w:pPr>
            <w:r>
              <w:t>1221.41</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316.34</w:t>
            </w:r>
          </w:p>
        </w:tc>
        <w:tc>
          <w:tcPr>
            <w:tcW w:w="1361" w:type="dxa"/>
            <w:tcBorders>
              <w:top w:val="single" w:sz="6" w:space="0" w:color="auto"/>
              <w:left w:val="single" w:sz="6" w:space="0" w:color="auto"/>
              <w:right w:val="single" w:sz="6" w:space="0" w:color="auto"/>
            </w:tcBorders>
            <w:vAlign w:val="center"/>
          </w:tcPr>
          <w:p>
            <w:pPr>
              <w:pStyle w:val="19"/>
            </w:pPr>
            <w:r>
              <w:t>316.34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905.07</w:t>
            </w:r>
          </w:p>
        </w:tc>
        <w:tc>
          <w:tcPr>
            <w:tcW w:w="1361" w:type="dxa"/>
            <w:tcBorders>
              <w:top w:val="single" w:sz="6" w:space="0" w:color="auto"/>
              <w:left w:val="single" w:sz="6" w:space="0" w:color="auto"/>
              <w:right w:val="single" w:sz="6" w:space="0" w:color="auto"/>
            </w:tcBorders>
            <w:vAlign w:val="center"/>
          </w:tcPr>
          <w:p>
            <w:pPr>
              <w:pStyle w:val="19"/>
            </w:pPr>
            <w:r>
              <w:t>905.07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150.08</w:t>
            </w:r>
          </w:p>
        </w:tc>
        <w:tc>
          <w:tcPr>
            <w:tcW w:w="1361" w:type="dxa"/>
            <w:tcBorders>
              <w:top w:val="single" w:sz="6" w:space="0" w:color="auto"/>
              <w:left w:val="single" w:sz="6" w:space="0" w:color="auto"/>
              <w:right w:val="single" w:sz="6" w:space="0" w:color="auto"/>
            </w:tcBorders>
            <w:vAlign w:val="center"/>
          </w:tcPr>
          <w:p>
            <w:pPr>
              <w:pStyle w:val="19"/>
            </w:pPr>
            <w:r>
              <w:t>150.08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56.96</w:t>
            </w:r>
          </w:p>
        </w:tc>
        <w:tc>
          <w:tcPr>
            <w:tcW w:w="1361" w:type="dxa"/>
            <w:tcBorders>
              <w:top w:val="single" w:sz="6" w:space="0" w:color="auto"/>
              <w:left w:val="single" w:sz="6" w:space="0" w:color="auto"/>
              <w:right w:val="single" w:sz="6" w:space="0" w:color="auto"/>
            </w:tcBorders>
            <w:vAlign w:val="center"/>
          </w:tcPr>
          <w:p>
            <w:pPr>
              <w:pStyle w:val="19"/>
            </w:pPr>
            <w:r>
              <w:t>56.96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103.14</w:t>
            </w:r>
          </w:p>
        </w:tc>
        <w:tc>
          <w:tcPr>
            <w:tcW w:w="1361" w:type="dxa"/>
            <w:tcBorders>
              <w:top w:val="single" w:sz="6" w:space="0" w:color="auto"/>
              <w:left w:val="single" w:sz="6" w:space="0" w:color="auto"/>
              <w:right w:val="single" w:sz="6" w:space="0" w:color="auto"/>
            </w:tcBorders>
            <w:vAlign w:val="center"/>
          </w:tcPr>
          <w:p>
            <w:pPr>
              <w:pStyle w:val="19"/>
            </w:pPr>
            <w:r>
              <w:t>103.14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90.49</w:t>
            </w:r>
          </w:p>
        </w:tc>
        <w:tc>
          <w:tcPr>
            <w:tcW w:w="1361" w:type="dxa"/>
            <w:tcBorders>
              <w:top w:val="single" w:sz="6" w:space="0" w:color="auto"/>
              <w:left w:val="single" w:sz="6" w:space="0" w:color="auto"/>
              <w:right w:val="single" w:sz="6" w:space="0" w:color="auto"/>
            </w:tcBorders>
            <w:vAlign w:val="center"/>
          </w:tcPr>
          <w:p>
            <w:pPr>
              <w:pStyle w:val="19"/>
            </w:pPr>
            <w:r>
              <w:t>90.49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15.82</w:t>
            </w:r>
          </w:p>
        </w:tc>
        <w:tc>
          <w:tcPr>
            <w:tcW w:w="1361" w:type="dxa"/>
            <w:tcBorders>
              <w:top w:val="single" w:sz="6" w:space="0" w:color="auto"/>
              <w:left w:val="single" w:sz="6" w:space="0" w:color="auto"/>
              <w:right w:val="single" w:sz="6" w:space="0" w:color="auto"/>
            </w:tcBorders>
            <w:vAlign w:val="center"/>
          </w:tcPr>
          <w:p>
            <w:pPr>
              <w:pStyle w:val="19"/>
            </w:pPr>
            <w:r>
              <w:t>15.82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74.66</w:t>
            </w:r>
          </w:p>
        </w:tc>
        <w:tc>
          <w:tcPr>
            <w:tcW w:w="1361" w:type="dxa"/>
            <w:tcBorders>
              <w:top w:val="single" w:sz="6" w:space="0" w:color="auto"/>
              <w:left w:val="single" w:sz="6" w:space="0" w:color="auto"/>
              <w:right w:val="single" w:sz="6" w:space="0" w:color="auto"/>
            </w:tcBorders>
            <w:vAlign w:val="center"/>
          </w:tcPr>
          <w:p>
            <w:pPr>
              <w:pStyle w:val="19"/>
            </w:pPr>
            <w:r>
              <w:t>74.66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2130701</w:t>
            </w:r>
          </w:p>
        </w:tc>
        <w:tc>
          <w:tcPr>
            <w:tcW w:w="4535" w:type="dxa"/>
            <w:tcBorders>
              <w:top w:val="single" w:sz="6" w:space="0" w:color="auto"/>
              <w:left w:val="single" w:sz="6" w:space="0" w:color="auto"/>
              <w:right w:val="single" w:sz="6" w:space="0" w:color="auto"/>
            </w:tcBorders>
            <w:vAlign w:val="center"/>
          </w:tcPr>
          <w:p>
            <w:pPr>
              <w:pStyle w:val="20"/>
            </w:pPr>
            <w:r>
              <w:t>对村级公益事业建设的补助</w:t>
            </w:r>
          </w:p>
        </w:tc>
        <w:tc>
          <w:tcPr>
            <w:tcW w:w="1361" w:type="dxa"/>
            <w:tcBorders>
              <w:top w:val="single" w:sz="6" w:space="0" w:color="auto"/>
              <w:left w:val="single" w:sz="6" w:space="0" w:color="auto"/>
              <w:right w:val="single" w:sz="6" w:space="0" w:color="auto"/>
            </w:tcBorders>
            <w:vAlign w:val="center"/>
          </w:tcPr>
          <w:p>
            <w:pPr>
              <w:pStyle w:val="19"/>
            </w:pPr>
            <w:r>
              <w:t>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361" w:type="dxa"/>
            <w:tcBorders>
              <w:top w:val="single" w:sz="6" w:space="0" w:color="auto"/>
              <w:left w:val="single" w:sz="6" w:space="0" w:color="auto"/>
              <w:right w:val="single" w:sz="6" w:space="0" w:color="auto"/>
            </w:tcBorders>
            <w:vAlign w:val="center"/>
          </w:tcPr>
          <w:p>
            <w:pPr>
              <w:pStyle w:val="19"/>
            </w:pPr>
            <w:r>
              <w:t>157.14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157.14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1779.67</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1235.41</w:t>
            </w:r>
          </w:p>
        </w:tc>
        <w:tc>
          <w:tcPr>
            <w:tcW w:w="1474" w:type="dxa"/>
            <w:tcBorders>
              <w:top w:val="single" w:sz="6" w:space="0" w:color="auto"/>
              <w:left w:val="single" w:sz="6" w:space="0" w:color="auto"/>
              <w:right w:val="single" w:sz="6" w:space="0" w:color="auto"/>
            </w:tcBorders>
            <w:vAlign w:val="center"/>
          </w:tcPr>
          <w:p>
            <w:pPr>
              <w:pStyle w:val="19"/>
            </w:pPr>
            <w:r>
              <w:t>1235.41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207.05</w:t>
            </w:r>
          </w:p>
        </w:tc>
        <w:tc>
          <w:tcPr>
            <w:tcW w:w="1474" w:type="dxa"/>
            <w:tcBorders>
              <w:top w:val="single" w:sz="6" w:space="0" w:color="auto"/>
              <w:left w:val="single" w:sz="6" w:space="0" w:color="auto"/>
              <w:right w:val="single" w:sz="6" w:space="0" w:color="auto"/>
            </w:tcBorders>
            <w:vAlign w:val="center"/>
          </w:tcPr>
          <w:p>
            <w:pPr>
              <w:pStyle w:val="19"/>
            </w:pPr>
            <w:r>
              <w:t>207.05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103.14</w:t>
            </w:r>
          </w:p>
        </w:tc>
        <w:tc>
          <w:tcPr>
            <w:tcW w:w="1474" w:type="dxa"/>
            <w:tcBorders>
              <w:top w:val="single" w:sz="6" w:space="0" w:color="auto"/>
              <w:left w:val="single" w:sz="6" w:space="0" w:color="auto"/>
              <w:right w:val="single" w:sz="6" w:space="0" w:color="auto"/>
            </w:tcBorders>
            <w:vAlign w:val="center"/>
          </w:tcPr>
          <w:p>
            <w:pPr>
              <w:pStyle w:val="19"/>
            </w:pPr>
            <w:r>
              <w:t>103.14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192.14</w:t>
            </w:r>
          </w:p>
        </w:tc>
        <w:tc>
          <w:tcPr>
            <w:tcW w:w="1474" w:type="dxa"/>
            <w:tcBorders>
              <w:top w:val="single" w:sz="6" w:space="0" w:color="auto"/>
              <w:left w:val="single" w:sz="6" w:space="0" w:color="auto"/>
              <w:right w:val="single" w:sz="6" w:space="0" w:color="auto"/>
            </w:tcBorders>
            <w:vAlign w:val="center"/>
          </w:tcPr>
          <w:p>
            <w:pPr>
              <w:pStyle w:val="19"/>
            </w:pPr>
            <w:r>
              <w:t>192.14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76.94</w:t>
            </w:r>
          </w:p>
        </w:tc>
        <w:tc>
          <w:tcPr>
            <w:tcW w:w="1474" w:type="dxa"/>
            <w:tcBorders>
              <w:top w:val="single" w:sz="6" w:space="0" w:color="auto"/>
              <w:left w:val="single" w:sz="6" w:space="0" w:color="auto"/>
              <w:right w:val="single" w:sz="6" w:space="0" w:color="auto"/>
            </w:tcBorders>
            <w:vAlign w:val="center"/>
          </w:tcPr>
          <w:p>
            <w:pPr>
              <w:pStyle w:val="19"/>
            </w:pPr>
            <w:r>
              <w:t>76.94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1779.67</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35.00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35.00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1814.67</w:t>
            </w:r>
          </w:p>
        </w:tc>
        <w:tc>
          <w:tcPr>
            <w:tcW w:w="2551" w:type="dxa"/>
            <w:tcBorders>
              <w:top w:val="single" w:sz="6" w:space="0" w:color="auto"/>
              <w:left w:val="single" w:sz="6" w:space="0" w:color="auto"/>
              <w:right w:val="single" w:sz="6" w:space="0" w:color="auto"/>
            </w:tcBorders>
            <w:vAlign w:val="center"/>
          </w:tcPr>
          <w:p>
            <w:pPr>
              <w:pStyle w:val="23"/>
            </w:pPr>
            <w:r>
              <w:t>1608.54</w:t>
            </w:r>
          </w:p>
        </w:tc>
        <w:tc>
          <w:tcPr>
            <w:tcW w:w="2551" w:type="dxa"/>
            <w:vAlign w:val="center"/>
          </w:tcPr>
          <w:p>
            <w:pPr>
              <w:pStyle w:val="23"/>
            </w:pPr>
            <w:r>
              <w:t>206.14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1235.41</w:t>
            </w:r>
          </w:p>
        </w:tc>
        <w:tc>
          <w:tcPr>
            <w:tcW w:w="2551" w:type="dxa"/>
            <w:tcBorders>
              <w:top w:val="single" w:sz="6" w:space="0" w:color="auto"/>
              <w:left w:val="single" w:sz="6" w:space="0" w:color="auto"/>
              <w:right w:val="single" w:sz="6" w:space="0" w:color="auto"/>
            </w:tcBorders>
            <w:vAlign w:val="center"/>
          </w:tcPr>
          <w:p>
            <w:pPr>
              <w:pStyle w:val="19"/>
            </w:pPr>
            <w:r>
              <w:t>1221.41</w:t>
            </w:r>
          </w:p>
        </w:tc>
        <w:tc>
          <w:tcPr>
            <w:tcW w:w="2551" w:type="dxa"/>
            <w:vAlign w:val="center"/>
          </w:tcPr>
          <w:p>
            <w:pPr>
              <w:pStyle w:val="19"/>
            </w:pPr>
            <w:r>
              <w:t>14.00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2551" w:type="dxa"/>
            <w:tcBorders>
              <w:top w:val="single" w:sz="6" w:space="0" w:color="auto"/>
              <w:left w:val="single" w:sz="6" w:space="0" w:color="auto"/>
              <w:right w:val="single" w:sz="6" w:space="0" w:color="auto"/>
            </w:tcBorders>
            <w:vAlign w:val="center"/>
          </w:tcPr>
          <w:p>
            <w:pPr>
              <w:pStyle w:val="19"/>
            </w:pPr>
            <w:r>
              <w:t>1223.41</w:t>
            </w:r>
          </w:p>
        </w:tc>
        <w:tc>
          <w:tcPr>
            <w:tcW w:w="2551" w:type="dxa"/>
            <w:tcBorders>
              <w:top w:val="single" w:sz="6" w:space="0" w:color="auto"/>
              <w:left w:val="single" w:sz="6" w:space="0" w:color="auto"/>
              <w:right w:val="single" w:sz="6" w:space="0" w:color="auto"/>
            </w:tcBorders>
            <w:vAlign w:val="center"/>
          </w:tcPr>
          <w:p>
            <w:pPr>
              <w:pStyle w:val="19"/>
            </w:pPr>
            <w:r>
              <w:t>1221.41</w:t>
            </w:r>
          </w:p>
        </w:tc>
        <w:tc>
          <w:tcPr>
            <w:tcW w:w="2551" w:type="dxa"/>
            <w:vAlign w:val="center"/>
          </w:tcPr>
          <w:p>
            <w:pPr>
              <w:pStyle w:val="19"/>
            </w:pPr>
            <w:r>
              <w:t>2.00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316.34</w:t>
            </w:r>
          </w:p>
        </w:tc>
        <w:tc>
          <w:tcPr>
            <w:tcW w:w="2551" w:type="dxa"/>
            <w:tcBorders>
              <w:top w:val="single" w:sz="6" w:space="0" w:color="auto"/>
              <w:left w:val="single" w:sz="6" w:space="0" w:color="auto"/>
              <w:right w:val="single" w:sz="6" w:space="0" w:color="auto"/>
            </w:tcBorders>
            <w:vAlign w:val="center"/>
          </w:tcPr>
          <w:p>
            <w:pPr>
              <w:pStyle w:val="19"/>
            </w:pPr>
            <w:r>
              <w:t>316.34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905.07</w:t>
            </w:r>
          </w:p>
        </w:tc>
        <w:tc>
          <w:tcPr>
            <w:tcW w:w="2551" w:type="dxa"/>
            <w:tcBorders>
              <w:top w:val="single" w:sz="6" w:space="0" w:color="auto"/>
              <w:left w:val="single" w:sz="6" w:space="0" w:color="auto"/>
              <w:right w:val="single" w:sz="6" w:space="0" w:color="auto"/>
            </w:tcBorders>
            <w:vAlign w:val="center"/>
          </w:tcPr>
          <w:p>
            <w:pPr>
              <w:pStyle w:val="19"/>
            </w:pPr>
            <w:r>
              <w:t>905.07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103.14</w:t>
            </w:r>
          </w:p>
        </w:tc>
        <w:tc>
          <w:tcPr>
            <w:tcW w:w="2551" w:type="dxa"/>
            <w:tcBorders>
              <w:top w:val="single" w:sz="6" w:space="0" w:color="auto"/>
              <w:left w:val="single" w:sz="6" w:space="0" w:color="auto"/>
              <w:right w:val="single" w:sz="6" w:space="0" w:color="auto"/>
            </w:tcBorders>
            <w:vAlign w:val="center"/>
          </w:tcPr>
          <w:p>
            <w:pPr>
              <w:pStyle w:val="19"/>
            </w:pPr>
            <w:r>
              <w:t>103.14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15.82</w:t>
            </w:r>
          </w:p>
        </w:tc>
        <w:tc>
          <w:tcPr>
            <w:tcW w:w="2551" w:type="dxa"/>
            <w:tcBorders>
              <w:top w:val="single" w:sz="6" w:space="0" w:color="auto"/>
              <w:left w:val="single" w:sz="6" w:space="0" w:color="auto"/>
              <w:right w:val="single" w:sz="6" w:space="0" w:color="auto"/>
            </w:tcBorders>
            <w:vAlign w:val="center"/>
          </w:tcPr>
          <w:p>
            <w:pPr>
              <w:pStyle w:val="19"/>
            </w:pPr>
            <w:r>
              <w:t>15.82</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74.66</w:t>
            </w:r>
          </w:p>
        </w:tc>
        <w:tc>
          <w:tcPr>
            <w:tcW w:w="2551" w:type="dxa"/>
            <w:tcBorders>
              <w:top w:val="single" w:sz="6" w:space="0" w:color="auto"/>
              <w:left w:val="single" w:sz="6" w:space="0" w:color="auto"/>
              <w:right w:val="single" w:sz="6" w:space="0" w:color="auto"/>
            </w:tcBorders>
            <w:vAlign w:val="center"/>
          </w:tcPr>
          <w:p>
            <w:pPr>
              <w:pStyle w:val="19"/>
            </w:pPr>
            <w:r>
              <w:t>74.66</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192.14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192.14</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2551" w:type="dxa"/>
            <w:tcBorders>
              <w:top w:val="single" w:sz="6" w:space="0" w:color="auto"/>
              <w:left w:val="single" w:sz="6" w:space="0" w:color="auto"/>
              <w:right w:val="single" w:sz="6" w:space="0" w:color="auto"/>
            </w:tcBorders>
            <w:vAlign w:val="center"/>
          </w:tcPr>
          <w:p>
            <w:pPr>
              <w:pStyle w:val="19"/>
            </w:pPr>
            <w:r>
              <w:t>192.14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192.14</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2130701</w:t>
            </w:r>
          </w:p>
        </w:tc>
        <w:tc>
          <w:tcPr>
            <w:tcW w:w="4535" w:type="dxa"/>
            <w:tcBorders>
              <w:top w:val="single" w:sz="6" w:space="0" w:color="auto"/>
              <w:left w:val="single" w:sz="6" w:space="0" w:color="auto"/>
              <w:right w:val="single" w:sz="6" w:space="0" w:color="auto"/>
            </w:tcBorders>
            <w:vAlign w:val="center"/>
          </w:tcPr>
          <w:p>
            <w:pPr>
              <w:pStyle w:val="20"/>
            </w:pPr>
            <w:r>
              <w:t>对村级公益事业建设的补助</w:t>
            </w:r>
          </w:p>
        </w:tc>
        <w:tc>
          <w:tcPr>
            <w:tcW w:w="2551" w:type="dxa"/>
            <w:tcBorders>
              <w:top w:val="single" w:sz="6" w:space="0" w:color="auto"/>
              <w:left w:val="single" w:sz="6" w:space="0" w:color="auto"/>
              <w:right w:val="single" w:sz="6" w:space="0" w:color="auto"/>
            </w:tcBorders>
            <w:vAlign w:val="center"/>
          </w:tcPr>
          <w:p>
            <w:pPr>
              <w:pStyle w:val="19"/>
            </w:pPr>
            <w:r>
              <w:t>35.00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35.00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2551" w:type="dxa"/>
            <w:tcBorders>
              <w:top w:val="single" w:sz="6" w:space="0" w:color="auto"/>
              <w:left w:val="single" w:sz="6" w:space="0" w:color="auto"/>
              <w:right w:val="single" w:sz="6" w:space="0" w:color="auto"/>
            </w:tcBorders>
            <w:vAlign w:val="center"/>
          </w:tcPr>
          <w:p>
            <w:pPr>
              <w:pStyle w:val="19"/>
            </w:pPr>
            <w:r>
              <w:t>157.14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157.14</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1608.54</w:t>
            </w:r>
          </w:p>
        </w:tc>
        <w:tc>
          <w:tcPr>
            <w:tcW w:w="2551" w:type="dxa"/>
            <w:tcBorders>
              <w:top w:val="single" w:sz="6" w:space="0" w:color="auto"/>
              <w:left w:val="single" w:sz="6" w:space="0" w:color="auto"/>
              <w:right w:val="single" w:sz="6" w:space="0" w:color="auto"/>
            </w:tcBorders>
            <w:vAlign w:val="center"/>
          </w:tcPr>
          <w:p>
            <w:pPr>
              <w:pStyle w:val="23"/>
            </w:pPr>
            <w:r>
              <w:t>1529.97</w:t>
            </w:r>
          </w:p>
        </w:tc>
        <w:tc>
          <w:tcPr>
            <w:tcW w:w="2551" w:type="dxa"/>
            <w:vAlign w:val="center"/>
          </w:tcPr>
          <w:p>
            <w:pPr>
              <w:pStyle w:val="23"/>
            </w:pPr>
            <w:r>
              <w:t>78.57</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1467.62</w:t>
            </w:r>
          </w:p>
        </w:tc>
        <w:tc>
          <w:tcPr>
            <w:tcW w:w="2551" w:type="dxa"/>
            <w:tcBorders>
              <w:top w:val="single" w:sz="6" w:space="0" w:color="auto"/>
              <w:left w:val="single" w:sz="6" w:space="0" w:color="auto"/>
              <w:right w:val="single" w:sz="6" w:space="0" w:color="auto"/>
            </w:tcBorders>
            <w:vAlign w:val="center"/>
          </w:tcPr>
          <w:p>
            <w:pPr>
              <w:pStyle w:val="19"/>
            </w:pPr>
            <w:r>
              <w:t>1467.62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583.87</w:t>
            </w:r>
          </w:p>
        </w:tc>
        <w:tc>
          <w:tcPr>
            <w:tcW w:w="2551" w:type="dxa"/>
            <w:tcBorders>
              <w:top w:val="single" w:sz="6" w:space="0" w:color="auto"/>
              <w:left w:val="single" w:sz="6" w:space="0" w:color="auto"/>
              <w:right w:val="single" w:sz="6" w:space="0" w:color="auto"/>
            </w:tcBorders>
            <w:vAlign w:val="center"/>
          </w:tcPr>
          <w:p>
            <w:pPr>
              <w:pStyle w:val="19"/>
            </w:pPr>
            <w:r>
              <w:t>583.87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202.65</w:t>
            </w:r>
          </w:p>
        </w:tc>
        <w:tc>
          <w:tcPr>
            <w:tcW w:w="2551" w:type="dxa"/>
            <w:tcBorders>
              <w:top w:val="single" w:sz="6" w:space="0" w:color="auto"/>
              <w:left w:val="single" w:sz="6" w:space="0" w:color="auto"/>
              <w:right w:val="single" w:sz="6" w:space="0" w:color="auto"/>
            </w:tcBorders>
            <w:vAlign w:val="center"/>
          </w:tcPr>
          <w:p>
            <w:pPr>
              <w:pStyle w:val="19"/>
            </w:pPr>
            <w:r>
              <w:t>202.65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23.06</w:t>
            </w:r>
          </w:p>
        </w:tc>
        <w:tc>
          <w:tcPr>
            <w:tcW w:w="2551" w:type="dxa"/>
            <w:tcBorders>
              <w:top w:val="single" w:sz="6" w:space="0" w:color="auto"/>
              <w:left w:val="single" w:sz="6" w:space="0" w:color="auto"/>
              <w:right w:val="single" w:sz="6" w:space="0" w:color="auto"/>
            </w:tcBorders>
            <w:vAlign w:val="center"/>
          </w:tcPr>
          <w:p>
            <w:pPr>
              <w:pStyle w:val="19"/>
            </w:pPr>
            <w:r>
              <w:t>23.06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270.48</w:t>
            </w:r>
          </w:p>
        </w:tc>
        <w:tc>
          <w:tcPr>
            <w:tcW w:w="2551" w:type="dxa"/>
            <w:tcBorders>
              <w:top w:val="single" w:sz="6" w:space="0" w:color="auto"/>
              <w:left w:val="single" w:sz="6" w:space="0" w:color="auto"/>
              <w:right w:val="single" w:sz="6" w:space="0" w:color="auto"/>
            </w:tcBorders>
            <w:vAlign w:val="center"/>
          </w:tcPr>
          <w:p>
            <w:pPr>
              <w:pStyle w:val="19"/>
            </w:pPr>
            <w:r>
              <w:t>270.48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9.26</w:t>
            </w:r>
          </w:p>
        </w:tc>
        <w:tc>
          <w:tcPr>
            <w:tcW w:w="2551" w:type="dxa"/>
            <w:tcBorders>
              <w:top w:val="single" w:sz="6" w:space="0" w:color="auto"/>
              <w:left w:val="single" w:sz="6" w:space="0" w:color="auto"/>
              <w:right w:val="single" w:sz="6" w:space="0" w:color="auto"/>
            </w:tcBorders>
            <w:vAlign w:val="center"/>
          </w:tcPr>
          <w:p>
            <w:pPr>
              <w:pStyle w:val="19"/>
            </w:pPr>
            <w:r>
              <w:t>9.26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3.82</w:t>
            </w:r>
          </w:p>
        </w:tc>
        <w:tc>
          <w:tcPr>
            <w:tcW w:w="2551" w:type="dxa"/>
            <w:tcBorders>
              <w:top w:val="single" w:sz="6" w:space="0" w:color="auto"/>
              <w:left w:val="single" w:sz="6" w:space="0" w:color="auto"/>
              <w:right w:val="single" w:sz="6" w:space="0" w:color="auto"/>
            </w:tcBorders>
            <w:vAlign w:val="center"/>
          </w:tcPr>
          <w:p>
            <w:pPr>
              <w:pStyle w:val="19"/>
            </w:pPr>
            <w:r>
              <w:t>3.82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78.57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78.57</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16.70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16.70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7.20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7.20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0.30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12.24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12.24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24.73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24.73</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2.80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62.35</w:t>
            </w:r>
          </w:p>
        </w:tc>
        <w:tc>
          <w:tcPr>
            <w:tcW w:w="2551" w:type="dxa"/>
            <w:tcBorders>
              <w:top w:val="single" w:sz="6" w:space="0" w:color="auto"/>
              <w:left w:val="single" w:sz="6" w:space="0" w:color="auto"/>
              <w:right w:val="single" w:sz="6" w:space="0" w:color="auto"/>
            </w:tcBorders>
            <w:vAlign w:val="center"/>
          </w:tcPr>
          <w:p>
            <w:pPr>
              <w:pStyle w:val="19"/>
            </w:pPr>
            <w:r>
              <w:t>62.35</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38.78</w:t>
            </w:r>
          </w:p>
        </w:tc>
        <w:tc>
          <w:tcPr>
            <w:tcW w:w="2551" w:type="dxa"/>
            <w:tcBorders>
              <w:top w:val="single" w:sz="6" w:space="0" w:color="auto"/>
              <w:left w:val="single" w:sz="6" w:space="0" w:color="auto"/>
              <w:right w:val="single" w:sz="6" w:space="0" w:color="auto"/>
            </w:tcBorders>
            <w:vAlign w:val="center"/>
          </w:tcPr>
          <w:p>
            <w:pPr>
              <w:pStyle w:val="19"/>
            </w:pPr>
            <w:r>
              <w:t>38.78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23.57</w:t>
            </w:r>
          </w:p>
        </w:tc>
        <w:tc>
          <w:tcPr>
            <w:tcW w:w="2551" w:type="dxa"/>
            <w:tcBorders>
              <w:top w:val="single" w:sz="6" w:space="0" w:color="auto"/>
              <w:left w:val="single" w:sz="6" w:space="0" w:color="auto"/>
              <w:right w:val="single" w:sz="6" w:space="0" w:color="auto"/>
            </w:tcBorders>
            <w:vAlign w:val="center"/>
          </w:tcPr>
          <w:p>
            <w:pPr>
              <w:pStyle w:val="19"/>
            </w:pPr>
            <w:r>
              <w:t>23.57</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44"/>
        </w:rPr>
        <w:t>昌黎县团林乡人民政府本级2025年单位预算信息公开情况说明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按照《中华人民共和国预算法》、《地方预决算公开操作规程》和《关于进一步推进预算公开工作的实施意见》规定，现将昌黎县团林乡人民政府本级2025年单位预算公开如下：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rPr>
          <w:rFonts w:ascii="方正楷体_GBK" w:eastAsia="宋体" w:cs="方正楷体_GBK" w:hAnsi="方正楷体_GBK" w:hint="eastAsia"/>
          <w:b/>
          <w:color w:val="000000"/>
          <w:sz w:val="32"/>
          <w:lang w:eastAsia="zh-CN"/>
        </w:rPr>
      </w:pPr>
      <w:r>
        <w:rPr>
          <w:rFonts w:ascii="方正楷体_GBK" w:eastAsia="方正楷体_GBK" w:cs="方正楷体_GBK" w:hAnsi="方正楷体_GBK"/>
          <w:b/>
          <w:color w:val="000000"/>
          <w:sz w:val="32"/>
        </w:rPr>
        <w:t>单位职责：涉密不予公开</w:t>
      </w:r>
    </w:p>
    <w:p>
      <w:pPr>
        <w:ind w:firstLine="640"/>
        <w:rPr>
          <w:rFonts w:eastAsia="宋体" w:hint="eastAsia"/>
          <w:lang w:eastAsia="zh-CN"/>
        </w:rPr>
      </w:pPr>
    </w:p>
    <w:p>
      <w:pPr>
        <w:ind w:firstLineChars="199" w:firstLine="637"/>
      </w:pPr>
      <w:r>
        <w:rPr>
          <w:rFonts w:ascii="方正楷体_GBK" w:eastAsia="方正楷体_GBK" w:cs="方正楷体_GBK" w:hAnsi="方正楷体_GBK"/>
          <w:b/>
          <w:color w:val="000000"/>
          <w:sz w:val="32"/>
        </w:rPr>
        <w:t>机构设置：涉密不予公开</w:t>
      </w:r>
      <w:bookmarkStart w:id="1" w:name="_GoBack"/>
      <w:bookmarkEnd w:id="1"/>
    </w:p>
    <w:p>
      <w:pPr>
        <w:spacing w:before="10" w:after="10"/>
        <w:ind w:firstLine="640"/>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1814.67万元，其中：一般公共预算收入1779.67万元，基金预算收入0.00万元，国有资本经营预算收入0.00万元，财政专户核拨收入0.00万元，单位资金收入0.00万元，上年结转结余35.00万元。</w:t>
      </w:r>
    </w:p>
    <w:p>
      <w:pPr>
        <w:pStyle w:val="26"/>
      </w:pPr>
      <w:r>
        <w:t>2、支出说明</w:t>
      </w:r>
    </w:p>
    <w:p>
      <w:pPr>
        <w:pStyle w:val="26"/>
      </w:pPr>
      <w:r>
        <w:t>收支预算总表支出栏、基本支出表、项目支出表按经济分类和支出功能分类科目编制，反映昌黎县团林乡人民政府本级年度单位预算中支出预算的总体情况。2025年支出预算1814.67万元，其中基本支出1608.54万元，包括人员经费1529.97万元和日常公用经费78.57万元；项目支出206.14万元，主要为村干部工资、村级办公经费、村级党组织活动经费、服务群众专项经费、离退休村干部生活补贴、计生临聘人员经费、人大之家工作经费、武装工作经费、非公幼儿教师补贴、信访维稳工作经费等。</w:t>
      </w:r>
    </w:p>
    <w:p>
      <w:pPr>
        <w:pStyle w:val="26"/>
      </w:pPr>
      <w:r>
        <w:t>3、比上年增减情况</w:t>
      </w:r>
    </w:p>
    <w:p>
      <w:pPr>
        <w:pStyle w:val="26"/>
      </w:pPr>
      <w:r>
        <w:t>2025年预算收支安排1814.67万元，较2024年预算减少74.17万元，其中：基本支出增加6.62万元，主要为正常人员变动及工资调整。项目支出减少80.78万元，主要为信访经费减少、非公幼儿教师项目减少和对村级公益事业建设的补助减少。</w:t>
      </w:r>
    </w:p>
    <w:p>
      <w:pPr>
        <w:spacing w:before="10" w:after="10"/>
        <w:ind w:firstLine="640"/>
        <w:outlineLvl w:val="5"/>
      </w:pPr>
      <w:r>
        <w:rPr>
          <w:rFonts w:ascii="黑体" w:eastAsia="黑体" w:cs="黑体" w:hAnsi="黑体"/>
          <w:color w:val="000000"/>
          <w:sz w:val="32"/>
        </w:rPr>
        <w:t>三、机关运行经费安排情况</w:t>
      </w:r>
    </w:p>
    <w:p>
      <w:pPr>
        <w:pStyle w:val="27"/>
      </w:pPr>
      <w:r>
        <w:t>2025年，我单位机关运行经费共计安排78.57万元，主要用于日常维修、办公用房水电费、办公用房取暖费、办公用房物业管理费等日常运行支出。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1、村干部基础职务补贴绩效目标表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13032225P00225210044K</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村干部基础职务补贴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99.60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99.60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用于发放我乡8个行政村村干部基础职务补贴，达到保障村干部基础职务补贴发放的效果。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1.落实全乡8个行政村村干部的基础职务补贴，达到保障一人兼正职补贴每年不低于53232元，副职补贴不低于每人每年17744元，保障村级行政能力的效果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享受补贴的人数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人员补贴发放率</w:t>
            </w:r>
          </w:p>
        </w:tc>
        <w:tc>
          <w:tcPr>
            <w:tcW w:w="5386" w:type="dxa"/>
            <w:tcBorders>
              <w:top w:val="single" w:sz="6" w:space="0" w:color="auto"/>
              <w:left w:val="single" w:sz="6" w:space="0" w:color="auto"/>
              <w:right w:val="single" w:sz="6" w:space="0" w:color="auto"/>
            </w:tcBorders>
            <w:vAlign w:val="center"/>
          </w:tcPr>
          <w:p>
            <w:pPr>
              <w:pStyle w:val="20"/>
            </w:pPr>
            <w:r>
              <w:t>发放补贴数占补贴总数数的比率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村干部补贴发放及时率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补助标准</w:t>
            </w:r>
          </w:p>
        </w:tc>
        <w:tc>
          <w:tcPr>
            <w:tcW w:w="5386" w:type="dxa"/>
            <w:tcBorders>
              <w:top w:val="single" w:sz="6" w:space="0" w:color="auto"/>
              <w:left w:val="single" w:sz="6" w:space="0" w:color="auto"/>
              <w:right w:val="single" w:sz="6" w:space="0" w:color="auto"/>
            </w:tcBorders>
            <w:vAlign w:val="center"/>
          </w:tcPr>
          <w:p>
            <w:pPr>
              <w:pStyle w:val="20"/>
            </w:pPr>
            <w:r>
              <w:t>村干部副职年补贴标准</w:t>
            </w:r>
          </w:p>
        </w:tc>
        <w:tc>
          <w:tcPr>
            <w:tcW w:w="2268" w:type="dxa"/>
            <w:tcBorders>
              <w:top w:val="single" w:sz="6" w:space="0" w:color="auto"/>
              <w:left w:val="single" w:sz="6" w:space="0" w:color="auto"/>
              <w:right w:val="single" w:sz="6" w:space="0" w:color="auto"/>
            </w:tcBorders>
            <w:vAlign w:val="center"/>
          </w:tcPr>
          <w:p>
            <w:pPr>
              <w:pStyle w:val="20"/>
            </w:pPr>
            <w:r>
              <w:t>≤17744元/人</w:t>
            </w:r>
          </w:p>
        </w:tc>
        <w:tc>
          <w:tcPr>
            <w:tcW w:w="1276" w:type="dxa"/>
            <w:vAlign w:val="center"/>
          </w:tcPr>
          <w:p>
            <w:pPr>
              <w:pStyle w:val="20"/>
            </w:pPr>
            <w:r>
              <w:t>村干部考核管理办法</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提高村干部工作积极性</w:t>
            </w:r>
          </w:p>
        </w:tc>
        <w:tc>
          <w:tcPr>
            <w:tcW w:w="5386" w:type="dxa"/>
            <w:tcBorders>
              <w:top w:val="single" w:sz="6" w:space="0" w:color="auto"/>
              <w:left w:val="single" w:sz="6" w:space="0" w:color="auto"/>
              <w:right w:val="single" w:sz="6" w:space="0" w:color="auto"/>
            </w:tcBorders>
            <w:vAlign w:val="center"/>
          </w:tcPr>
          <w:p>
            <w:pPr>
              <w:pStyle w:val="20"/>
            </w:pPr>
            <w:r>
              <w:t>发放村干部工资补贴，提高村干部工作积极性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村干部补贴的可持续影响</w:t>
            </w:r>
          </w:p>
        </w:tc>
        <w:tc>
          <w:tcPr>
            <w:tcW w:w="5386" w:type="dxa"/>
            <w:tcBorders>
              <w:top w:val="single" w:sz="6" w:space="0" w:color="auto"/>
              <w:left w:val="single" w:sz="6" w:space="0" w:color="auto"/>
              <w:right w:val="single" w:sz="6" w:space="0" w:color="auto"/>
            </w:tcBorders>
            <w:vAlign w:val="center"/>
          </w:tcPr>
          <w:p>
            <w:pPr>
              <w:pStyle w:val="20"/>
            </w:pPr>
            <w:r>
              <w:t>村干部补贴发放，保障村委会稳定发展的时限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村干部考核管理办法</w:t>
            </w:r>
          </w:p>
          <w:p>
            <w:pPr>
              <w:pStyle w:val="20"/>
            </w:pP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调查中满意或较满意的村干部占被调查村干部的比率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2、村级办公经费绩效目标表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13032225P002252100430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村级办公经费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9.08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9.08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用于村缴纳网络维护、水电等费用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1.保证村级组织的正常运转的效果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保障行政村办公数量</w:t>
            </w:r>
          </w:p>
        </w:tc>
        <w:tc>
          <w:tcPr>
            <w:tcW w:w="5386" w:type="dxa"/>
            <w:tcBorders>
              <w:top w:val="single" w:sz="6" w:space="0" w:color="auto"/>
              <w:left w:val="single" w:sz="6" w:space="0" w:color="auto"/>
              <w:right w:val="single" w:sz="6" w:space="0" w:color="auto"/>
            </w:tcBorders>
            <w:vAlign w:val="center"/>
          </w:tcPr>
          <w:p>
            <w:pPr>
              <w:pStyle w:val="20"/>
            </w:pPr>
            <w:r>
              <w:t xml:space="preserve">  享受村级办公经费保障办公的村委会个数</w:t>
            </w:r>
          </w:p>
        </w:tc>
        <w:tc>
          <w:tcPr>
            <w:tcW w:w="2268" w:type="dxa"/>
            <w:tcBorders>
              <w:top w:val="single" w:sz="6" w:space="0" w:color="auto"/>
              <w:left w:val="single" w:sz="6" w:space="0" w:color="auto"/>
              <w:right w:val="single" w:sz="6" w:space="0" w:color="auto"/>
            </w:tcBorders>
            <w:vAlign w:val="center"/>
          </w:tcPr>
          <w:p>
            <w:pPr>
              <w:pStyle w:val="20"/>
            </w:pPr>
            <w:r>
              <w:t>≤8个</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办公经费发放率</w:t>
            </w:r>
          </w:p>
        </w:tc>
        <w:tc>
          <w:tcPr>
            <w:tcW w:w="5386" w:type="dxa"/>
            <w:tcBorders>
              <w:top w:val="single" w:sz="6" w:space="0" w:color="auto"/>
              <w:left w:val="single" w:sz="6" w:space="0" w:color="auto"/>
              <w:right w:val="single" w:sz="6" w:space="0" w:color="auto"/>
            </w:tcBorders>
            <w:vAlign w:val="center"/>
          </w:tcPr>
          <w:p>
            <w:pPr>
              <w:pStyle w:val="20"/>
            </w:pPr>
            <w:r>
              <w:t>发放办公经费数占办公经费总数的比率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各事项费用支付及时率</w:t>
            </w:r>
          </w:p>
        </w:tc>
        <w:tc>
          <w:tcPr>
            <w:tcW w:w="5386" w:type="dxa"/>
            <w:tcBorders>
              <w:top w:val="single" w:sz="6" w:space="0" w:color="auto"/>
              <w:left w:val="single" w:sz="6" w:space="0" w:color="auto"/>
              <w:right w:val="single" w:sz="6" w:space="0" w:color="auto"/>
            </w:tcBorders>
            <w:vAlign w:val="center"/>
          </w:tcPr>
          <w:p>
            <w:pPr>
              <w:pStyle w:val="20"/>
            </w:pPr>
            <w:r>
              <w:t>及时支付村级办公经费金额占实际到位办公经费金额的比例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发放办公经费成本</w:t>
            </w:r>
          </w:p>
        </w:tc>
        <w:tc>
          <w:tcPr>
            <w:tcW w:w="5386" w:type="dxa"/>
            <w:tcBorders>
              <w:top w:val="single" w:sz="6" w:space="0" w:color="auto"/>
              <w:left w:val="single" w:sz="6" w:space="0" w:color="auto"/>
              <w:right w:val="single" w:sz="6" w:space="0" w:color="auto"/>
            </w:tcBorders>
            <w:vAlign w:val="center"/>
          </w:tcPr>
          <w:p>
            <w:pPr>
              <w:pStyle w:val="20"/>
            </w:pPr>
            <w:r>
              <w:t>村级办公经费保障村标准</w:t>
            </w:r>
          </w:p>
        </w:tc>
        <w:tc>
          <w:tcPr>
            <w:tcW w:w="2268" w:type="dxa"/>
            <w:tcBorders>
              <w:top w:val="single" w:sz="6" w:space="0" w:color="auto"/>
              <w:left w:val="single" w:sz="6" w:space="0" w:color="auto"/>
              <w:right w:val="single" w:sz="6" w:space="0" w:color="auto"/>
            </w:tcBorders>
            <w:vAlign w:val="center"/>
          </w:tcPr>
          <w:p>
            <w:pPr>
              <w:pStyle w:val="20"/>
            </w:pPr>
            <w:r>
              <w:t>≤11350元/村</w:t>
            </w:r>
          </w:p>
        </w:tc>
        <w:tc>
          <w:tcPr>
            <w:tcW w:w="1276" w:type="dxa"/>
            <w:vAlign w:val="center"/>
          </w:tcPr>
          <w:p>
            <w:pPr>
              <w:pStyle w:val="20"/>
            </w:pPr>
            <w:r>
              <w:t>工作计划</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提高村委会行政办公效率</w:t>
            </w:r>
          </w:p>
        </w:tc>
        <w:tc>
          <w:tcPr>
            <w:tcW w:w="5386" w:type="dxa"/>
            <w:tcBorders>
              <w:top w:val="single" w:sz="6" w:space="0" w:color="auto"/>
              <w:left w:val="single" w:sz="6" w:space="0" w:color="auto"/>
              <w:right w:val="single" w:sz="6" w:space="0" w:color="auto"/>
            </w:tcBorders>
            <w:vAlign w:val="center"/>
          </w:tcPr>
          <w:p>
            <w:pPr>
              <w:pStyle w:val="20"/>
            </w:pPr>
            <w:r>
              <w:t>及时足额拨付村级办公经费，提高村级行政单位办公能力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村级办公经费的可持续影响</w:t>
            </w:r>
          </w:p>
        </w:tc>
        <w:tc>
          <w:tcPr>
            <w:tcW w:w="5386" w:type="dxa"/>
            <w:tcBorders>
              <w:top w:val="single" w:sz="6" w:space="0" w:color="auto"/>
              <w:left w:val="single" w:sz="6" w:space="0" w:color="auto"/>
              <w:right w:val="single" w:sz="6" w:space="0" w:color="auto"/>
            </w:tcBorders>
            <w:vAlign w:val="center"/>
          </w:tcPr>
          <w:p>
            <w:pPr>
              <w:pStyle w:val="20"/>
            </w:pPr>
            <w:r>
              <w:t>村级办公经费发放，保障村委会正常运转办公的时限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p>
            <w:pPr>
              <w:pStyle w:val="20"/>
            </w:pP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p>
            <w:pPr>
              <w:pStyle w:val="20"/>
            </w:pP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3、村级党组织活动经费绩效目标表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13032225P00225210041Q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村级党组织活动经费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7.72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7.72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用于保证村党组织活动正常进行。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1.达到提高村党组织活动运行的效率的效果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开展学习培训次数</w:t>
            </w:r>
          </w:p>
        </w:tc>
        <w:tc>
          <w:tcPr>
            <w:tcW w:w="5386" w:type="dxa"/>
            <w:tcBorders>
              <w:top w:val="single" w:sz="6" w:space="0" w:color="auto"/>
              <w:left w:val="single" w:sz="6" w:space="0" w:color="auto"/>
              <w:right w:val="single" w:sz="6" w:space="0" w:color="auto"/>
            </w:tcBorders>
            <w:vAlign w:val="center"/>
          </w:tcPr>
          <w:p>
            <w:pPr>
              <w:pStyle w:val="20"/>
            </w:pPr>
            <w:r>
              <w:t>组织开展学习培训的次数</w:t>
            </w:r>
          </w:p>
        </w:tc>
        <w:tc>
          <w:tcPr>
            <w:tcW w:w="2268" w:type="dxa"/>
            <w:tcBorders>
              <w:top w:val="single" w:sz="6" w:space="0" w:color="auto"/>
              <w:left w:val="single" w:sz="6" w:space="0" w:color="auto"/>
              <w:right w:val="single" w:sz="6" w:space="0" w:color="auto"/>
            </w:tcBorders>
            <w:vAlign w:val="center"/>
          </w:tcPr>
          <w:p>
            <w:pPr>
              <w:pStyle w:val="20"/>
            </w:pPr>
            <w:r>
              <w:t>≥1次</w:t>
            </w:r>
          </w:p>
          <w:p>
            <w:pPr>
              <w:pStyle w:val="20"/>
            </w:pPr>
          </w:p>
          <w:p>
            <w:pPr>
              <w:pStyle w:val="20"/>
            </w:pPr>
          </w:p>
        </w:tc>
        <w:tc>
          <w:tcPr>
            <w:tcW w:w="1276" w:type="dxa"/>
            <w:vAlign w:val="center"/>
          </w:tcPr>
          <w:p>
            <w:pPr>
              <w:pStyle w:val="20"/>
            </w:pPr>
          </w:p>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学习培训参与率</w:t>
            </w:r>
          </w:p>
        </w:tc>
        <w:tc>
          <w:tcPr>
            <w:tcW w:w="5386" w:type="dxa"/>
            <w:tcBorders>
              <w:top w:val="single" w:sz="6" w:space="0" w:color="auto"/>
              <w:left w:val="single" w:sz="6" w:space="0" w:color="auto"/>
              <w:right w:val="single" w:sz="6" w:space="0" w:color="auto"/>
            </w:tcBorders>
            <w:vAlign w:val="center"/>
          </w:tcPr>
          <w:p>
            <w:pPr>
              <w:pStyle w:val="20"/>
            </w:pPr>
            <w:r>
              <w:t>参加学习培训人员占全部党员人数的比率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资金拨付及时率</w:t>
            </w:r>
          </w:p>
        </w:tc>
        <w:tc>
          <w:tcPr>
            <w:tcW w:w="5386" w:type="dxa"/>
            <w:tcBorders>
              <w:top w:val="single" w:sz="6" w:space="0" w:color="auto"/>
              <w:left w:val="single" w:sz="6" w:space="0" w:color="auto"/>
              <w:right w:val="single" w:sz="6" w:space="0" w:color="auto"/>
            </w:tcBorders>
            <w:vAlign w:val="center"/>
          </w:tcPr>
          <w:p>
            <w:pPr>
              <w:pStyle w:val="20"/>
            </w:pPr>
            <w:r>
              <w:t>按时发放资金占实际到位资金的比例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保障标准</w:t>
            </w:r>
          </w:p>
        </w:tc>
        <w:tc>
          <w:tcPr>
            <w:tcW w:w="5386" w:type="dxa"/>
            <w:tcBorders>
              <w:top w:val="single" w:sz="6" w:space="0" w:color="auto"/>
              <w:left w:val="single" w:sz="6" w:space="0" w:color="auto"/>
              <w:right w:val="single" w:sz="6" w:space="0" w:color="auto"/>
            </w:tcBorders>
            <w:vAlign w:val="center"/>
          </w:tcPr>
          <w:p>
            <w:pPr>
              <w:pStyle w:val="20"/>
            </w:pPr>
            <w:r>
              <w:t>每个党员每年应享受的保障标准</w:t>
            </w:r>
          </w:p>
        </w:tc>
        <w:tc>
          <w:tcPr>
            <w:tcW w:w="2268" w:type="dxa"/>
            <w:tcBorders>
              <w:top w:val="single" w:sz="6" w:space="0" w:color="auto"/>
              <w:left w:val="single" w:sz="6" w:space="0" w:color="auto"/>
              <w:right w:val="single" w:sz="6" w:space="0" w:color="auto"/>
            </w:tcBorders>
            <w:vAlign w:val="center"/>
          </w:tcPr>
          <w:p>
            <w:pPr>
              <w:pStyle w:val="20"/>
            </w:pPr>
            <w:r>
              <w:t>≤200元/人</w:t>
            </w:r>
          </w:p>
        </w:tc>
        <w:tc>
          <w:tcPr>
            <w:tcW w:w="1276" w:type="dxa"/>
            <w:vAlign w:val="center"/>
          </w:tcPr>
          <w:p>
            <w:pPr>
              <w:pStyle w:val="20"/>
            </w:pPr>
            <w:r>
              <w:t>工作计划</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保障村党支部组织党员活动率</w:t>
            </w:r>
          </w:p>
        </w:tc>
        <w:tc>
          <w:tcPr>
            <w:tcW w:w="5386" w:type="dxa"/>
            <w:tcBorders>
              <w:top w:val="single" w:sz="6" w:space="0" w:color="auto"/>
              <w:left w:val="single" w:sz="6" w:space="0" w:color="auto"/>
              <w:right w:val="single" w:sz="6" w:space="0" w:color="auto"/>
            </w:tcBorders>
            <w:vAlign w:val="center"/>
          </w:tcPr>
          <w:p>
            <w:pPr>
              <w:pStyle w:val="20"/>
            </w:pPr>
            <w:r>
              <w:t>村党支部组织党员活动占全年的比率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办公期间能源节约，节约水电等能源情况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村级党组织活动经费的可持续影响</w:t>
            </w:r>
          </w:p>
        </w:tc>
        <w:tc>
          <w:tcPr>
            <w:tcW w:w="5386" w:type="dxa"/>
            <w:tcBorders>
              <w:top w:val="single" w:sz="6" w:space="0" w:color="auto"/>
              <w:left w:val="single" w:sz="6" w:space="0" w:color="auto"/>
              <w:right w:val="single" w:sz="6" w:space="0" w:color="auto"/>
            </w:tcBorders>
            <w:vAlign w:val="center"/>
          </w:tcPr>
          <w:p>
            <w:pPr>
              <w:pStyle w:val="20"/>
            </w:pPr>
            <w:r>
              <w:t>村级党组组活动经费发放，保障村党支部正常开展活动的时限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p>
            <w:pPr>
              <w:pStyle w:val="20"/>
            </w:pP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村级党组织成员满意度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调查中满意或较满意的村级党组织成员占被调查村级党组织成员的比率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4、服务群众专项经费绩效目标表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13032225P00225210042C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32.29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32.29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用于改善群众生活环境，基础设施修缮等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1.达到提升基层服务体系的效果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网格员补助数</w:t>
            </w:r>
          </w:p>
        </w:tc>
        <w:tc>
          <w:tcPr>
            <w:tcW w:w="5386" w:type="dxa"/>
            <w:tcBorders>
              <w:top w:val="single" w:sz="6" w:space="0" w:color="auto"/>
              <w:left w:val="single" w:sz="6" w:space="0" w:color="auto"/>
              <w:right w:val="single" w:sz="6" w:space="0" w:color="auto"/>
            </w:tcBorders>
            <w:vAlign w:val="center"/>
          </w:tcPr>
          <w:p>
            <w:pPr>
              <w:pStyle w:val="20"/>
            </w:pPr>
            <w:r>
              <w:t>享受网格员补助的人数</w:t>
            </w:r>
          </w:p>
        </w:tc>
        <w:tc>
          <w:tcPr>
            <w:tcW w:w="2268" w:type="dxa"/>
            <w:tcBorders>
              <w:top w:val="single" w:sz="6" w:space="0" w:color="auto"/>
              <w:left w:val="single" w:sz="6" w:space="0" w:color="auto"/>
              <w:right w:val="single" w:sz="6" w:space="0" w:color="auto"/>
            </w:tcBorders>
            <w:vAlign w:val="center"/>
          </w:tcPr>
          <w:p>
            <w:pPr>
              <w:pStyle w:val="20"/>
            </w:pPr>
            <w:r>
              <w:t>104人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村级综合服务站补助村数</w:t>
            </w:r>
          </w:p>
        </w:tc>
        <w:tc>
          <w:tcPr>
            <w:tcW w:w="5386" w:type="dxa"/>
            <w:tcBorders>
              <w:top w:val="single" w:sz="6" w:space="0" w:color="auto"/>
              <w:left w:val="single" w:sz="6" w:space="0" w:color="auto"/>
              <w:right w:val="single" w:sz="6" w:space="0" w:color="auto"/>
            </w:tcBorders>
            <w:vAlign w:val="center"/>
          </w:tcPr>
          <w:p>
            <w:pPr>
              <w:pStyle w:val="20"/>
            </w:pPr>
            <w:r>
              <w:t>享受村级综合服务站补助的村数</w:t>
            </w:r>
          </w:p>
        </w:tc>
        <w:tc>
          <w:tcPr>
            <w:tcW w:w="2268" w:type="dxa"/>
            <w:tcBorders>
              <w:top w:val="single" w:sz="6" w:space="0" w:color="auto"/>
              <w:left w:val="single" w:sz="6" w:space="0" w:color="auto"/>
              <w:right w:val="single" w:sz="6" w:space="0" w:color="auto"/>
            </w:tcBorders>
            <w:vAlign w:val="center"/>
          </w:tcPr>
          <w:p>
            <w:pPr>
              <w:pStyle w:val="20"/>
            </w:pPr>
            <w:r>
              <w:t>8个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为民服务事项完成率</w:t>
            </w:r>
          </w:p>
        </w:tc>
        <w:tc>
          <w:tcPr>
            <w:tcW w:w="5386" w:type="dxa"/>
            <w:tcBorders>
              <w:top w:val="single" w:sz="6" w:space="0" w:color="auto"/>
              <w:left w:val="single" w:sz="6" w:space="0" w:color="auto"/>
              <w:right w:val="single" w:sz="6" w:space="0" w:color="auto"/>
            </w:tcBorders>
            <w:vAlign w:val="center"/>
          </w:tcPr>
          <w:p>
            <w:pPr>
              <w:pStyle w:val="20"/>
            </w:pPr>
            <w:r>
              <w:t>实际为民服务的事项个数占计划个数的比率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按时发放的资金占实际到位资金的比例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服务群众专项经费成本</w:t>
            </w:r>
          </w:p>
        </w:tc>
        <w:tc>
          <w:tcPr>
            <w:tcW w:w="5386" w:type="dxa"/>
            <w:tcBorders>
              <w:top w:val="single" w:sz="6" w:space="0" w:color="auto"/>
              <w:left w:val="single" w:sz="6" w:space="0" w:color="auto"/>
              <w:right w:val="single" w:sz="6" w:space="0" w:color="auto"/>
            </w:tcBorders>
            <w:vAlign w:val="center"/>
          </w:tcPr>
          <w:p>
            <w:pPr>
              <w:pStyle w:val="20"/>
            </w:pPr>
            <w:r>
              <w:t>村级服务群众专项经费保障标准</w:t>
            </w:r>
          </w:p>
        </w:tc>
        <w:tc>
          <w:tcPr>
            <w:tcW w:w="2268" w:type="dxa"/>
            <w:tcBorders>
              <w:top w:val="single" w:sz="6" w:space="0" w:color="auto"/>
              <w:left w:val="single" w:sz="6" w:space="0" w:color="auto"/>
              <w:right w:val="single" w:sz="6" w:space="0" w:color="auto"/>
            </w:tcBorders>
            <w:vAlign w:val="center"/>
          </w:tcPr>
          <w:p>
            <w:pPr>
              <w:pStyle w:val="20"/>
            </w:pPr>
            <w:r>
              <w:t>≤6万元/村</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村集体年收入增长率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保障村委会行政办公率</w:t>
            </w:r>
          </w:p>
        </w:tc>
        <w:tc>
          <w:tcPr>
            <w:tcW w:w="5386" w:type="dxa"/>
            <w:tcBorders>
              <w:top w:val="single" w:sz="6" w:space="0" w:color="auto"/>
              <w:left w:val="single" w:sz="6" w:space="0" w:color="auto"/>
              <w:right w:val="single" w:sz="6" w:space="0" w:color="auto"/>
            </w:tcBorders>
            <w:vAlign w:val="center"/>
          </w:tcPr>
          <w:p>
            <w:pPr>
              <w:pStyle w:val="20"/>
            </w:pPr>
            <w:r>
              <w:t>村组织正常办公运转时间占全年的比率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村级服务群众专项经费的可持续影响</w:t>
            </w:r>
          </w:p>
        </w:tc>
        <w:tc>
          <w:tcPr>
            <w:tcW w:w="5386" w:type="dxa"/>
            <w:tcBorders>
              <w:top w:val="single" w:sz="6" w:space="0" w:color="auto"/>
              <w:left w:val="single" w:sz="6" w:space="0" w:color="auto"/>
              <w:right w:val="single" w:sz="6" w:space="0" w:color="auto"/>
            </w:tcBorders>
            <w:vAlign w:val="center"/>
          </w:tcPr>
          <w:p>
            <w:pPr>
              <w:pStyle w:val="20"/>
            </w:pPr>
            <w:r>
              <w:t>村级服务群众专项经费发放，保障村委会正常运转办公的时限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5、冀财农【2023】149号农村公益事业建设财政奖补项目部（中央）绩效目标表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13032224P00BL6A10019T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冀财农【2023】149号农村公益事业建设财政奖补项目部（中央）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用于修缮排水沟，道路等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1.通过修建农村排水沟、道路、广场等，改善村民出行提高农民生活幸福感。</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项目数量</w:t>
            </w:r>
          </w:p>
        </w:tc>
        <w:tc>
          <w:tcPr>
            <w:tcW w:w="5386" w:type="dxa"/>
            <w:tcBorders>
              <w:top w:val="single" w:sz="6" w:space="0" w:color="auto"/>
              <w:left w:val="single" w:sz="6" w:space="0" w:color="auto"/>
              <w:right w:val="single" w:sz="6" w:space="0" w:color="auto"/>
            </w:tcBorders>
            <w:vAlign w:val="center"/>
          </w:tcPr>
          <w:p>
            <w:pPr>
              <w:pStyle w:val="20"/>
            </w:pPr>
            <w:r>
              <w:t>项目数量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5386"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资金支出进度</w:t>
            </w:r>
          </w:p>
        </w:tc>
        <w:tc>
          <w:tcPr>
            <w:tcW w:w="5386" w:type="dxa"/>
            <w:tcBorders>
              <w:top w:val="single" w:sz="6" w:space="0" w:color="auto"/>
              <w:left w:val="single" w:sz="6" w:space="0" w:color="auto"/>
              <w:right w:val="single" w:sz="6" w:space="0" w:color="auto"/>
            </w:tcBorders>
            <w:vAlign w:val="center"/>
          </w:tcPr>
          <w:p>
            <w:pPr>
              <w:pStyle w:val="20"/>
            </w:pPr>
            <w:r>
              <w:t>资金支出进度</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建设项目奖补标准</w:t>
            </w:r>
          </w:p>
        </w:tc>
        <w:tc>
          <w:tcPr>
            <w:tcW w:w="5386" w:type="dxa"/>
            <w:tcBorders>
              <w:top w:val="single" w:sz="6" w:space="0" w:color="auto"/>
              <w:left w:val="single" w:sz="6" w:space="0" w:color="auto"/>
              <w:right w:val="single" w:sz="6" w:space="0" w:color="auto"/>
            </w:tcBorders>
            <w:vAlign w:val="center"/>
          </w:tcPr>
          <w:p>
            <w:pPr>
              <w:pStyle w:val="20"/>
            </w:pPr>
            <w:r>
              <w:t>建设项目奖补标准</w:t>
            </w:r>
          </w:p>
        </w:tc>
        <w:tc>
          <w:tcPr>
            <w:tcW w:w="2268" w:type="dxa"/>
            <w:tcBorders>
              <w:top w:val="single" w:sz="6" w:space="0" w:color="auto"/>
              <w:left w:val="single" w:sz="6" w:space="0" w:color="auto"/>
              <w:right w:val="single" w:sz="6" w:space="0" w:color="auto"/>
            </w:tcBorders>
            <w:vAlign w:val="center"/>
          </w:tcPr>
          <w:p>
            <w:pPr>
              <w:pStyle w:val="20"/>
            </w:pPr>
            <w:r>
              <w:t>18万元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5386"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2268" w:type="dxa"/>
            <w:tcBorders>
              <w:top w:val="single" w:sz="6" w:space="0" w:color="auto"/>
              <w:left w:val="single" w:sz="6" w:space="0" w:color="auto"/>
              <w:right w:val="single" w:sz="6" w:space="0" w:color="auto"/>
            </w:tcBorders>
            <w:vAlign w:val="center"/>
          </w:tcPr>
          <w:p>
            <w:pPr>
              <w:pStyle w:val="20"/>
            </w:pPr>
            <w:r>
              <w:t>有所提升</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农村人居环境</w:t>
            </w:r>
          </w:p>
        </w:tc>
        <w:tc>
          <w:tcPr>
            <w:tcW w:w="5386" w:type="dxa"/>
            <w:tcBorders>
              <w:top w:val="single" w:sz="6" w:space="0" w:color="auto"/>
              <w:left w:val="single" w:sz="6" w:space="0" w:color="auto"/>
              <w:right w:val="single" w:sz="6" w:space="0" w:color="auto"/>
            </w:tcBorders>
            <w:vAlign w:val="center"/>
          </w:tcPr>
          <w:p>
            <w:pPr>
              <w:pStyle w:val="20"/>
            </w:pPr>
            <w:r>
              <w:t>农村人居环境</w:t>
            </w:r>
          </w:p>
        </w:tc>
        <w:tc>
          <w:tcPr>
            <w:tcW w:w="2268" w:type="dxa"/>
            <w:tcBorders>
              <w:top w:val="single" w:sz="6" w:space="0" w:color="auto"/>
              <w:left w:val="single" w:sz="6" w:space="0" w:color="auto"/>
              <w:right w:val="single" w:sz="6" w:space="0" w:color="auto"/>
            </w:tcBorders>
            <w:vAlign w:val="center"/>
          </w:tcPr>
          <w:p>
            <w:pPr>
              <w:pStyle w:val="20"/>
            </w:pPr>
            <w:r>
              <w:t>有效改善</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农村公益事业滚动项目库</w:t>
            </w:r>
          </w:p>
        </w:tc>
        <w:tc>
          <w:tcPr>
            <w:tcW w:w="5386" w:type="dxa"/>
            <w:tcBorders>
              <w:top w:val="single" w:sz="6" w:space="0" w:color="auto"/>
              <w:left w:val="single" w:sz="6" w:space="0" w:color="auto"/>
              <w:right w:val="single" w:sz="6" w:space="0" w:color="auto"/>
            </w:tcBorders>
            <w:vAlign w:val="center"/>
          </w:tcPr>
          <w:p>
            <w:pPr>
              <w:pStyle w:val="20"/>
            </w:pPr>
            <w:r>
              <w:t>农村公益事业滚动项目库</w:t>
            </w:r>
          </w:p>
        </w:tc>
        <w:tc>
          <w:tcPr>
            <w:tcW w:w="2268" w:type="dxa"/>
            <w:tcBorders>
              <w:top w:val="single" w:sz="6" w:space="0" w:color="auto"/>
              <w:left w:val="single" w:sz="6" w:space="0" w:color="auto"/>
              <w:right w:val="single" w:sz="6" w:space="0" w:color="auto"/>
            </w:tcBorders>
            <w:vAlign w:val="center"/>
          </w:tcPr>
          <w:p>
            <w:pPr>
              <w:pStyle w:val="20"/>
            </w:pPr>
            <w:r>
              <w:t>基本建立</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经济增长率</w:t>
            </w:r>
          </w:p>
        </w:tc>
        <w:tc>
          <w:tcPr>
            <w:tcW w:w="5386" w:type="dxa"/>
            <w:tcBorders>
              <w:top w:val="single" w:sz="6" w:space="0" w:color="auto"/>
              <w:left w:val="single" w:sz="6" w:space="0" w:color="auto"/>
              <w:right w:val="single" w:sz="6" w:space="0" w:color="auto"/>
            </w:tcBorders>
            <w:vAlign w:val="center"/>
          </w:tcPr>
          <w:p>
            <w:pPr>
              <w:pStyle w:val="20"/>
            </w:pPr>
            <w:r>
              <w:t>经济增长率</w:t>
            </w:r>
          </w:p>
        </w:tc>
        <w:tc>
          <w:tcPr>
            <w:tcW w:w="2268" w:type="dxa"/>
            <w:tcBorders>
              <w:top w:val="single" w:sz="6" w:space="0" w:color="auto"/>
              <w:left w:val="single" w:sz="6" w:space="0" w:color="auto"/>
              <w:right w:val="single" w:sz="6" w:space="0" w:color="auto"/>
            </w:tcBorders>
            <w:vAlign w:val="center"/>
          </w:tcPr>
          <w:p>
            <w:pPr>
              <w:pStyle w:val="20"/>
            </w:pPr>
            <w:r>
              <w:t>≥2百分比</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人民群众满意度</w:t>
            </w:r>
          </w:p>
        </w:tc>
        <w:tc>
          <w:tcPr>
            <w:tcW w:w="5386" w:type="dxa"/>
            <w:tcBorders>
              <w:top w:val="single" w:sz="6" w:space="0" w:color="auto"/>
              <w:left w:val="single" w:sz="6" w:space="0" w:color="auto"/>
              <w:right w:val="single" w:sz="6" w:space="0" w:color="auto"/>
            </w:tcBorders>
            <w:vAlign w:val="center"/>
          </w:tcPr>
          <w:p>
            <w:pPr>
              <w:pStyle w:val="20"/>
            </w:pPr>
            <w:r>
              <w:t>人民群众满意度</w:t>
            </w:r>
          </w:p>
        </w:tc>
        <w:tc>
          <w:tcPr>
            <w:tcW w:w="2268" w:type="dxa"/>
            <w:tcBorders>
              <w:top w:val="single" w:sz="6" w:space="0" w:color="auto"/>
              <w:left w:val="single" w:sz="6" w:space="0" w:color="auto"/>
              <w:right w:val="single" w:sz="6" w:space="0" w:color="auto"/>
            </w:tcBorders>
            <w:vAlign w:val="center"/>
          </w:tcPr>
          <w:p>
            <w:pPr>
              <w:pStyle w:val="20"/>
            </w:pPr>
            <w:r>
              <w:t>≥90百分比</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6、冀财农【2023】172号农村公益事业建设财政奖补项目部（省级）绩效目标表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13032224P00BL6A100206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冀财农【2023】172号农村公益事业建设财政奖补项目部（省级）</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用于修缮农村排水沟，道路，广场等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1.通过修建农村排水沟、道路、广场等，改善村民出行提高农民生活幸福感。</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项目数量</w:t>
            </w:r>
          </w:p>
        </w:tc>
        <w:tc>
          <w:tcPr>
            <w:tcW w:w="5386" w:type="dxa"/>
            <w:tcBorders>
              <w:top w:val="single" w:sz="6" w:space="0" w:color="auto"/>
              <w:left w:val="single" w:sz="6" w:space="0" w:color="auto"/>
              <w:right w:val="single" w:sz="6" w:space="0" w:color="auto"/>
            </w:tcBorders>
            <w:vAlign w:val="center"/>
          </w:tcPr>
          <w:p>
            <w:pPr>
              <w:pStyle w:val="20"/>
            </w:pPr>
            <w:r>
              <w:t>项目数量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5386"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资金支出进度</w:t>
            </w:r>
          </w:p>
        </w:tc>
        <w:tc>
          <w:tcPr>
            <w:tcW w:w="5386" w:type="dxa"/>
            <w:tcBorders>
              <w:top w:val="single" w:sz="6" w:space="0" w:color="auto"/>
              <w:left w:val="single" w:sz="6" w:space="0" w:color="auto"/>
              <w:right w:val="single" w:sz="6" w:space="0" w:color="auto"/>
            </w:tcBorders>
            <w:vAlign w:val="center"/>
          </w:tcPr>
          <w:p>
            <w:pPr>
              <w:pStyle w:val="20"/>
            </w:pPr>
            <w:r>
              <w:t>资金支出进度</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建设项目奖补标准</w:t>
            </w:r>
          </w:p>
        </w:tc>
        <w:tc>
          <w:tcPr>
            <w:tcW w:w="5386" w:type="dxa"/>
            <w:tcBorders>
              <w:top w:val="single" w:sz="6" w:space="0" w:color="auto"/>
              <w:left w:val="single" w:sz="6" w:space="0" w:color="auto"/>
              <w:right w:val="single" w:sz="6" w:space="0" w:color="auto"/>
            </w:tcBorders>
            <w:vAlign w:val="center"/>
          </w:tcPr>
          <w:p>
            <w:pPr>
              <w:pStyle w:val="20"/>
            </w:pPr>
            <w:r>
              <w:t>建设项目奖补标准</w:t>
            </w:r>
          </w:p>
        </w:tc>
        <w:tc>
          <w:tcPr>
            <w:tcW w:w="2268" w:type="dxa"/>
            <w:tcBorders>
              <w:top w:val="single" w:sz="6" w:space="0" w:color="auto"/>
              <w:left w:val="single" w:sz="6" w:space="0" w:color="auto"/>
              <w:right w:val="single" w:sz="6" w:space="0" w:color="auto"/>
            </w:tcBorders>
            <w:vAlign w:val="center"/>
          </w:tcPr>
          <w:p>
            <w:pPr>
              <w:pStyle w:val="20"/>
            </w:pPr>
            <w:r>
              <w:t>17万元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5386"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2268" w:type="dxa"/>
            <w:tcBorders>
              <w:top w:val="single" w:sz="6" w:space="0" w:color="auto"/>
              <w:left w:val="single" w:sz="6" w:space="0" w:color="auto"/>
              <w:right w:val="single" w:sz="6" w:space="0" w:color="auto"/>
            </w:tcBorders>
            <w:vAlign w:val="center"/>
          </w:tcPr>
          <w:p>
            <w:pPr>
              <w:pStyle w:val="20"/>
            </w:pPr>
            <w:r>
              <w:t>有所提升</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农村人居环境</w:t>
            </w:r>
          </w:p>
        </w:tc>
        <w:tc>
          <w:tcPr>
            <w:tcW w:w="5386" w:type="dxa"/>
            <w:tcBorders>
              <w:top w:val="single" w:sz="6" w:space="0" w:color="auto"/>
              <w:left w:val="single" w:sz="6" w:space="0" w:color="auto"/>
              <w:right w:val="single" w:sz="6" w:space="0" w:color="auto"/>
            </w:tcBorders>
            <w:vAlign w:val="center"/>
          </w:tcPr>
          <w:p>
            <w:pPr>
              <w:pStyle w:val="20"/>
            </w:pPr>
            <w:r>
              <w:t>农村人居环境</w:t>
            </w:r>
          </w:p>
        </w:tc>
        <w:tc>
          <w:tcPr>
            <w:tcW w:w="2268" w:type="dxa"/>
            <w:tcBorders>
              <w:top w:val="single" w:sz="6" w:space="0" w:color="auto"/>
              <w:left w:val="single" w:sz="6" w:space="0" w:color="auto"/>
              <w:right w:val="single" w:sz="6" w:space="0" w:color="auto"/>
            </w:tcBorders>
            <w:vAlign w:val="center"/>
          </w:tcPr>
          <w:p>
            <w:pPr>
              <w:pStyle w:val="20"/>
            </w:pPr>
            <w:r>
              <w:t>有效改善</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农村公益事业滚动项目库</w:t>
            </w:r>
          </w:p>
        </w:tc>
        <w:tc>
          <w:tcPr>
            <w:tcW w:w="5386" w:type="dxa"/>
            <w:tcBorders>
              <w:top w:val="single" w:sz="6" w:space="0" w:color="auto"/>
              <w:left w:val="single" w:sz="6" w:space="0" w:color="auto"/>
              <w:right w:val="single" w:sz="6" w:space="0" w:color="auto"/>
            </w:tcBorders>
            <w:vAlign w:val="center"/>
          </w:tcPr>
          <w:p>
            <w:pPr>
              <w:pStyle w:val="20"/>
            </w:pPr>
            <w:r>
              <w:t>农村公益事业滚动项目库</w:t>
            </w:r>
          </w:p>
        </w:tc>
        <w:tc>
          <w:tcPr>
            <w:tcW w:w="2268" w:type="dxa"/>
            <w:tcBorders>
              <w:top w:val="single" w:sz="6" w:space="0" w:color="auto"/>
              <w:left w:val="single" w:sz="6" w:space="0" w:color="auto"/>
              <w:right w:val="single" w:sz="6" w:space="0" w:color="auto"/>
            </w:tcBorders>
            <w:vAlign w:val="center"/>
          </w:tcPr>
          <w:p>
            <w:pPr>
              <w:pStyle w:val="20"/>
            </w:pPr>
            <w:r>
              <w:t>基本建立</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经济增长率</w:t>
            </w:r>
          </w:p>
        </w:tc>
        <w:tc>
          <w:tcPr>
            <w:tcW w:w="5386" w:type="dxa"/>
            <w:tcBorders>
              <w:top w:val="single" w:sz="6" w:space="0" w:color="auto"/>
              <w:left w:val="single" w:sz="6" w:space="0" w:color="auto"/>
              <w:right w:val="single" w:sz="6" w:space="0" w:color="auto"/>
            </w:tcBorders>
            <w:vAlign w:val="center"/>
          </w:tcPr>
          <w:p>
            <w:pPr>
              <w:pStyle w:val="20"/>
            </w:pPr>
            <w:r>
              <w:t>经济增长率</w:t>
            </w:r>
          </w:p>
        </w:tc>
        <w:tc>
          <w:tcPr>
            <w:tcW w:w="2268" w:type="dxa"/>
            <w:tcBorders>
              <w:top w:val="single" w:sz="6" w:space="0" w:color="auto"/>
              <w:left w:val="single" w:sz="6" w:space="0" w:color="auto"/>
              <w:right w:val="single" w:sz="6" w:space="0" w:color="auto"/>
            </w:tcBorders>
            <w:vAlign w:val="center"/>
          </w:tcPr>
          <w:p>
            <w:pPr>
              <w:pStyle w:val="20"/>
            </w:pPr>
            <w:r>
              <w:t>≥2百分比</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人民群众满意度</w:t>
            </w:r>
          </w:p>
        </w:tc>
        <w:tc>
          <w:tcPr>
            <w:tcW w:w="5386" w:type="dxa"/>
            <w:tcBorders>
              <w:top w:val="single" w:sz="6" w:space="0" w:color="auto"/>
              <w:left w:val="single" w:sz="6" w:space="0" w:color="auto"/>
              <w:right w:val="single" w:sz="6" w:space="0" w:color="auto"/>
            </w:tcBorders>
            <w:vAlign w:val="center"/>
          </w:tcPr>
          <w:p>
            <w:pPr>
              <w:pStyle w:val="20"/>
            </w:pPr>
            <w:r>
              <w:t>人民群众满意度</w:t>
            </w:r>
          </w:p>
        </w:tc>
        <w:tc>
          <w:tcPr>
            <w:tcW w:w="2268" w:type="dxa"/>
            <w:tcBorders>
              <w:top w:val="single" w:sz="6" w:space="0" w:color="auto"/>
              <w:left w:val="single" w:sz="6" w:space="0" w:color="auto"/>
              <w:right w:val="single" w:sz="6" w:space="0" w:color="auto"/>
            </w:tcBorders>
            <w:vAlign w:val="center"/>
          </w:tcPr>
          <w:p>
            <w:pPr>
              <w:pStyle w:val="20"/>
            </w:pPr>
            <w:r>
              <w:t>≥90百分比</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7、人大代表之家经费绩效目标表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13032225P00230310016G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人大代表之家经费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用于人大代表之家建设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1.通过加强人大代表之家建设，达到不断提高人大代表履职能力的效果。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补助人大代表之家数量</w:t>
            </w:r>
          </w:p>
        </w:tc>
        <w:tc>
          <w:tcPr>
            <w:tcW w:w="5386" w:type="dxa"/>
            <w:tcBorders>
              <w:top w:val="single" w:sz="6" w:space="0" w:color="auto"/>
              <w:left w:val="single" w:sz="6" w:space="0" w:color="auto"/>
              <w:right w:val="single" w:sz="6" w:space="0" w:color="auto"/>
            </w:tcBorders>
            <w:vAlign w:val="center"/>
          </w:tcPr>
          <w:p>
            <w:pPr>
              <w:pStyle w:val="20"/>
            </w:pPr>
            <w:r>
              <w:t>享受补助的人大代表之家个数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人大代表履职率</w:t>
            </w:r>
          </w:p>
        </w:tc>
        <w:tc>
          <w:tcPr>
            <w:tcW w:w="5386" w:type="dxa"/>
            <w:tcBorders>
              <w:top w:val="single" w:sz="6" w:space="0" w:color="auto"/>
              <w:left w:val="single" w:sz="6" w:space="0" w:color="auto"/>
              <w:right w:val="single" w:sz="6" w:space="0" w:color="auto"/>
            </w:tcBorders>
            <w:vAlign w:val="center"/>
          </w:tcPr>
          <w:p>
            <w:pPr>
              <w:pStyle w:val="20"/>
            </w:pPr>
            <w:r>
              <w:t>正常履职人大代表职能人数占区域内人大代表总数的比率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人大经费支付及时率</w:t>
            </w:r>
          </w:p>
        </w:tc>
        <w:tc>
          <w:tcPr>
            <w:tcW w:w="5386" w:type="dxa"/>
            <w:tcBorders>
              <w:top w:val="single" w:sz="6" w:space="0" w:color="auto"/>
              <w:left w:val="single" w:sz="6" w:space="0" w:color="auto"/>
              <w:right w:val="single" w:sz="6" w:space="0" w:color="auto"/>
            </w:tcBorders>
            <w:vAlign w:val="center"/>
          </w:tcPr>
          <w:p>
            <w:pPr>
              <w:pStyle w:val="20"/>
            </w:pPr>
            <w:r>
              <w:t>及时支付人大经费金额占实际到位金额的比率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项目资金成本</w:t>
            </w:r>
          </w:p>
        </w:tc>
        <w:tc>
          <w:tcPr>
            <w:tcW w:w="5386" w:type="dxa"/>
            <w:tcBorders>
              <w:top w:val="single" w:sz="6" w:space="0" w:color="auto"/>
              <w:left w:val="single" w:sz="6" w:space="0" w:color="auto"/>
              <w:right w:val="single" w:sz="6" w:space="0" w:color="auto"/>
            </w:tcBorders>
            <w:vAlign w:val="center"/>
          </w:tcPr>
          <w:p>
            <w:pPr>
              <w:pStyle w:val="20"/>
            </w:pPr>
            <w:r>
              <w:t>项目资金全年补助标准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提高经济发展</w:t>
            </w:r>
          </w:p>
        </w:tc>
        <w:tc>
          <w:tcPr>
            <w:tcW w:w="5386" w:type="dxa"/>
            <w:tcBorders>
              <w:top w:val="single" w:sz="6" w:space="0" w:color="auto"/>
              <w:left w:val="single" w:sz="6" w:space="0" w:color="auto"/>
              <w:right w:val="single" w:sz="6" w:space="0" w:color="auto"/>
            </w:tcBorders>
            <w:vAlign w:val="center"/>
          </w:tcPr>
          <w:p>
            <w:pPr>
              <w:pStyle w:val="20"/>
            </w:pPr>
            <w:r>
              <w:t>通过人大经费的支出提高区域内财政资金使用效力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保障人大代表履职能力</w:t>
            </w:r>
          </w:p>
        </w:tc>
        <w:tc>
          <w:tcPr>
            <w:tcW w:w="5386" w:type="dxa"/>
            <w:tcBorders>
              <w:top w:val="single" w:sz="6" w:space="0" w:color="auto"/>
              <w:left w:val="single" w:sz="6" w:space="0" w:color="auto"/>
              <w:right w:val="single" w:sz="6" w:space="0" w:color="auto"/>
            </w:tcBorders>
            <w:vAlign w:val="center"/>
          </w:tcPr>
          <w:p>
            <w:pPr>
              <w:pStyle w:val="20"/>
            </w:pPr>
            <w:r>
              <w:t>保障区域内人大代表履职能力人数</w:t>
            </w:r>
          </w:p>
        </w:tc>
        <w:tc>
          <w:tcPr>
            <w:tcW w:w="2268" w:type="dxa"/>
            <w:tcBorders>
              <w:top w:val="single" w:sz="6" w:space="0" w:color="auto"/>
              <w:left w:val="single" w:sz="6" w:space="0" w:color="auto"/>
              <w:right w:val="single" w:sz="6" w:space="0" w:color="auto"/>
            </w:tcBorders>
            <w:vAlign w:val="center"/>
          </w:tcPr>
          <w:p>
            <w:pPr>
              <w:pStyle w:val="20"/>
            </w:pPr>
            <w:r>
              <w:t>≥25人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办公期间节约能源，水电等能源能源节约情况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人大工作的可持续影响</w:t>
            </w:r>
          </w:p>
        </w:tc>
        <w:tc>
          <w:tcPr>
            <w:tcW w:w="5386" w:type="dxa"/>
            <w:tcBorders>
              <w:top w:val="single" w:sz="6" w:space="0" w:color="auto"/>
              <w:left w:val="single" w:sz="6" w:space="0" w:color="auto"/>
              <w:right w:val="single" w:sz="6" w:space="0" w:color="auto"/>
            </w:tcBorders>
            <w:vAlign w:val="center"/>
          </w:tcPr>
          <w:p>
            <w:pPr>
              <w:pStyle w:val="20"/>
            </w:pPr>
            <w:r>
              <w:t>人大工作经费的支出，保障区域内人大工作正常运转的时限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人大代表满意度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调查中满意或较满意的人大代表占被调查人大代表的比率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8、武装工作经费绩效目标表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13032225P002123100121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武装工作经费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用于乡武装工作、民兵训练工作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1.通过项目资金及时支付，达到保证乡武装工作、民兵训练工作顺利进行的效果。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组织开展武装宣传次数</w:t>
            </w:r>
          </w:p>
        </w:tc>
        <w:tc>
          <w:tcPr>
            <w:tcW w:w="5386" w:type="dxa"/>
            <w:tcBorders>
              <w:top w:val="single" w:sz="6" w:space="0" w:color="auto"/>
              <w:left w:val="single" w:sz="6" w:space="0" w:color="auto"/>
              <w:right w:val="single" w:sz="6" w:space="0" w:color="auto"/>
            </w:tcBorders>
            <w:vAlign w:val="center"/>
          </w:tcPr>
          <w:p>
            <w:pPr>
              <w:pStyle w:val="20"/>
            </w:pPr>
            <w:r>
              <w:t>组织开展辖区内武装宣传工作的次数</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宣传覆盖率</w:t>
            </w:r>
          </w:p>
        </w:tc>
        <w:tc>
          <w:tcPr>
            <w:tcW w:w="5386" w:type="dxa"/>
            <w:tcBorders>
              <w:top w:val="single" w:sz="6" w:space="0" w:color="auto"/>
              <w:left w:val="single" w:sz="6" w:space="0" w:color="auto"/>
              <w:right w:val="single" w:sz="6" w:space="0" w:color="auto"/>
            </w:tcBorders>
            <w:vAlign w:val="center"/>
          </w:tcPr>
          <w:p>
            <w:pPr>
              <w:pStyle w:val="20"/>
            </w:pPr>
            <w:r>
              <w:t>已开展武装宣传工作村数占应开展武装宣传工作村数的比率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武装工作经费支付及时率</w:t>
            </w:r>
          </w:p>
        </w:tc>
        <w:tc>
          <w:tcPr>
            <w:tcW w:w="5386" w:type="dxa"/>
            <w:tcBorders>
              <w:top w:val="single" w:sz="6" w:space="0" w:color="auto"/>
              <w:left w:val="single" w:sz="6" w:space="0" w:color="auto"/>
              <w:right w:val="single" w:sz="6" w:space="0" w:color="auto"/>
            </w:tcBorders>
            <w:vAlign w:val="center"/>
          </w:tcPr>
          <w:p>
            <w:pPr>
              <w:pStyle w:val="20"/>
            </w:pPr>
            <w:r>
              <w:t>按时支付武装经费的金额占实际到位武装经费的比例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开展武装宣传费用成本</w:t>
            </w:r>
          </w:p>
        </w:tc>
        <w:tc>
          <w:tcPr>
            <w:tcW w:w="5386" w:type="dxa"/>
            <w:tcBorders>
              <w:top w:val="single" w:sz="6" w:space="0" w:color="auto"/>
              <w:left w:val="single" w:sz="6" w:space="0" w:color="auto"/>
              <w:right w:val="single" w:sz="6" w:space="0" w:color="auto"/>
            </w:tcBorders>
            <w:vAlign w:val="center"/>
          </w:tcPr>
          <w:p>
            <w:pPr>
              <w:pStyle w:val="20"/>
            </w:pPr>
            <w:r>
              <w:t>武装宣传的费用标准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提高区域内武装工作收入</w:t>
            </w:r>
          </w:p>
        </w:tc>
        <w:tc>
          <w:tcPr>
            <w:tcW w:w="5386" w:type="dxa"/>
            <w:tcBorders>
              <w:top w:val="single" w:sz="6" w:space="0" w:color="auto"/>
              <w:left w:val="single" w:sz="6" w:space="0" w:color="auto"/>
              <w:right w:val="single" w:sz="6" w:space="0" w:color="auto"/>
            </w:tcBorders>
            <w:vAlign w:val="center"/>
          </w:tcPr>
          <w:p>
            <w:pPr>
              <w:pStyle w:val="20"/>
            </w:pPr>
            <w:r>
              <w:t>提高武装工作收入</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提升民兵人员提升社会责任感</w:t>
            </w:r>
          </w:p>
        </w:tc>
        <w:tc>
          <w:tcPr>
            <w:tcW w:w="5386" w:type="dxa"/>
            <w:tcBorders>
              <w:top w:val="single" w:sz="6" w:space="0" w:color="auto"/>
              <w:left w:val="single" w:sz="6" w:space="0" w:color="auto"/>
              <w:right w:val="single" w:sz="6" w:space="0" w:color="auto"/>
            </w:tcBorders>
            <w:vAlign w:val="center"/>
          </w:tcPr>
          <w:p>
            <w:pPr>
              <w:pStyle w:val="20"/>
            </w:pPr>
            <w:r>
              <w:t>提升民兵人员提升社会责任感人数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办公期间水电等能源节约情况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武装工作经费的可持续影响</w:t>
            </w:r>
          </w:p>
        </w:tc>
        <w:tc>
          <w:tcPr>
            <w:tcW w:w="5386" w:type="dxa"/>
            <w:tcBorders>
              <w:top w:val="single" w:sz="6" w:space="0" w:color="auto"/>
              <w:left w:val="single" w:sz="6" w:space="0" w:color="auto"/>
              <w:right w:val="single" w:sz="6" w:space="0" w:color="auto"/>
            </w:tcBorders>
            <w:vAlign w:val="center"/>
          </w:tcPr>
          <w:p>
            <w:pPr>
              <w:pStyle w:val="20"/>
            </w:pPr>
            <w:r>
              <w:t>武装工作经费的支出，保障区域内武装工作正常运转的时限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民兵满意度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调查中满意或较满意的民兵占被调查总人数的比率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9、信访维稳经费绩效目标表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13032225P00212610006L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信访维稳经费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用于解决信访问题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1.确保信访稳定，解决信访问题。</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完成信访维稳人次数</w:t>
            </w:r>
          </w:p>
        </w:tc>
        <w:tc>
          <w:tcPr>
            <w:tcW w:w="5386" w:type="dxa"/>
            <w:tcBorders>
              <w:top w:val="single" w:sz="6" w:space="0" w:color="auto"/>
              <w:left w:val="single" w:sz="6" w:space="0" w:color="auto"/>
              <w:right w:val="single" w:sz="6" w:space="0" w:color="auto"/>
            </w:tcBorders>
            <w:vAlign w:val="center"/>
          </w:tcPr>
          <w:p>
            <w:pPr>
              <w:pStyle w:val="20"/>
            </w:pPr>
            <w:r>
              <w:t>完成信访维稳的人次数</w:t>
            </w:r>
          </w:p>
        </w:tc>
        <w:tc>
          <w:tcPr>
            <w:tcW w:w="2268" w:type="dxa"/>
            <w:tcBorders>
              <w:top w:val="single" w:sz="6" w:space="0" w:color="auto"/>
              <w:left w:val="single" w:sz="6" w:space="0" w:color="auto"/>
              <w:right w:val="single" w:sz="6" w:space="0" w:color="auto"/>
            </w:tcBorders>
            <w:vAlign w:val="center"/>
          </w:tcPr>
          <w:p>
            <w:pPr>
              <w:pStyle w:val="20"/>
            </w:pPr>
            <w:r>
              <w:t>≥2人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化解信访矛盾率</w:t>
            </w:r>
          </w:p>
        </w:tc>
        <w:tc>
          <w:tcPr>
            <w:tcW w:w="5386" w:type="dxa"/>
            <w:tcBorders>
              <w:top w:val="single" w:sz="6" w:space="0" w:color="auto"/>
              <w:left w:val="single" w:sz="6" w:space="0" w:color="auto"/>
              <w:right w:val="single" w:sz="6" w:space="0" w:color="auto"/>
            </w:tcBorders>
            <w:vAlign w:val="center"/>
          </w:tcPr>
          <w:p>
            <w:pPr>
              <w:pStyle w:val="20"/>
            </w:pPr>
            <w:r>
              <w:t>解决信访矛盾次数占全部实际发生信访次数的比率</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信访案件接手处理时限</w:t>
            </w:r>
          </w:p>
        </w:tc>
        <w:tc>
          <w:tcPr>
            <w:tcW w:w="5386" w:type="dxa"/>
            <w:tcBorders>
              <w:top w:val="single" w:sz="6" w:space="0" w:color="auto"/>
              <w:left w:val="single" w:sz="6" w:space="0" w:color="auto"/>
              <w:right w:val="single" w:sz="6" w:space="0" w:color="auto"/>
            </w:tcBorders>
            <w:vAlign w:val="center"/>
          </w:tcPr>
          <w:p>
            <w:pPr>
              <w:pStyle w:val="20"/>
            </w:pPr>
            <w:r>
              <w:t>信访案件发生后信访工作人员接手处理的时间</w:t>
            </w:r>
          </w:p>
        </w:tc>
        <w:tc>
          <w:tcPr>
            <w:tcW w:w="2268" w:type="dxa"/>
            <w:tcBorders>
              <w:top w:val="single" w:sz="6" w:space="0" w:color="auto"/>
              <w:left w:val="single" w:sz="6" w:space="0" w:color="auto"/>
              <w:right w:val="single" w:sz="6" w:space="0" w:color="auto"/>
            </w:tcBorders>
            <w:vAlign w:val="center"/>
          </w:tcPr>
          <w:p>
            <w:pPr>
              <w:pStyle w:val="20"/>
            </w:pPr>
            <w:r>
              <w:t>≤2天</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化解信访案件等经费成本</w:t>
            </w:r>
          </w:p>
        </w:tc>
        <w:tc>
          <w:tcPr>
            <w:tcW w:w="5386" w:type="dxa"/>
            <w:tcBorders>
              <w:top w:val="single" w:sz="6" w:space="0" w:color="auto"/>
              <w:left w:val="single" w:sz="6" w:space="0" w:color="auto"/>
              <w:right w:val="single" w:sz="6" w:space="0" w:color="auto"/>
            </w:tcBorders>
            <w:vAlign w:val="center"/>
          </w:tcPr>
          <w:p>
            <w:pPr>
              <w:pStyle w:val="20"/>
            </w:pPr>
            <w:r>
              <w:t>化解信访案件及维稳人员差旅费等经费成本</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促进经济形势稳定发展</w:t>
            </w:r>
          </w:p>
        </w:tc>
        <w:tc>
          <w:tcPr>
            <w:tcW w:w="5386" w:type="dxa"/>
            <w:tcBorders>
              <w:top w:val="single" w:sz="6" w:space="0" w:color="auto"/>
              <w:left w:val="single" w:sz="6" w:space="0" w:color="auto"/>
              <w:right w:val="single" w:sz="6" w:space="0" w:color="auto"/>
            </w:tcBorders>
            <w:vAlign w:val="center"/>
          </w:tcPr>
          <w:p>
            <w:pPr>
              <w:pStyle w:val="20"/>
            </w:pPr>
            <w:r>
              <w:t>维护社会稳定，促进经济形势稳定</w:t>
            </w:r>
          </w:p>
        </w:tc>
        <w:tc>
          <w:tcPr>
            <w:tcW w:w="2268" w:type="dxa"/>
            <w:tcBorders>
              <w:top w:val="single" w:sz="6" w:space="0" w:color="auto"/>
              <w:left w:val="single" w:sz="6" w:space="0" w:color="auto"/>
              <w:right w:val="single" w:sz="6" w:space="0" w:color="auto"/>
            </w:tcBorders>
            <w:vAlign w:val="center"/>
          </w:tcPr>
          <w:p>
            <w:pPr>
              <w:pStyle w:val="20"/>
            </w:pPr>
            <w:r>
              <w:t>较上年促进</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提高社会稳定率</w:t>
            </w:r>
          </w:p>
        </w:tc>
        <w:tc>
          <w:tcPr>
            <w:tcW w:w="5386" w:type="dxa"/>
            <w:tcBorders>
              <w:top w:val="single" w:sz="6" w:space="0" w:color="auto"/>
              <w:left w:val="single" w:sz="6" w:space="0" w:color="auto"/>
              <w:right w:val="single" w:sz="6" w:space="0" w:color="auto"/>
            </w:tcBorders>
            <w:vAlign w:val="center"/>
          </w:tcPr>
          <w:p>
            <w:pPr>
              <w:pStyle w:val="20"/>
            </w:pPr>
            <w:r>
              <w:t>及时处理矛盾纠纷，维护社会稳定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对信访维稳工作产生影响的持续性</w:t>
            </w:r>
          </w:p>
        </w:tc>
        <w:tc>
          <w:tcPr>
            <w:tcW w:w="5386" w:type="dxa"/>
            <w:tcBorders>
              <w:top w:val="single" w:sz="6" w:space="0" w:color="auto"/>
              <w:left w:val="single" w:sz="6" w:space="0" w:color="auto"/>
              <w:right w:val="single" w:sz="6" w:space="0" w:color="auto"/>
            </w:tcBorders>
            <w:vAlign w:val="center"/>
          </w:tcPr>
          <w:p>
            <w:pPr>
              <w:pStyle w:val="20"/>
            </w:pPr>
            <w:r>
              <w:t>对区域内信访维稳工作产生影响的时限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信访群众满意度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调查中满意或较满意的信访群众占被调查群众的比率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10、正常离任村干部生活补贴绩效目标表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13032225P002252100405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正常离任村干部生活补贴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8.45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8.45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用于离任村干部生活补助及时支付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1.通过离任村干部生活补助及时支付，达到保障离任村干部的合法权益的效果。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正常离任村干部人数</w:t>
            </w:r>
          </w:p>
        </w:tc>
        <w:tc>
          <w:tcPr>
            <w:tcW w:w="5386" w:type="dxa"/>
            <w:tcBorders>
              <w:top w:val="single" w:sz="6" w:space="0" w:color="auto"/>
              <w:left w:val="single" w:sz="6" w:space="0" w:color="auto"/>
              <w:right w:val="single" w:sz="6" w:space="0" w:color="auto"/>
            </w:tcBorders>
            <w:vAlign w:val="center"/>
          </w:tcPr>
          <w:p>
            <w:pPr>
              <w:pStyle w:val="20"/>
            </w:pPr>
            <w:r>
              <w:t>享受补助的正常离任村干部的人数</w:t>
            </w:r>
          </w:p>
        </w:tc>
        <w:tc>
          <w:tcPr>
            <w:tcW w:w="2268" w:type="dxa"/>
            <w:tcBorders>
              <w:top w:val="single" w:sz="6" w:space="0" w:color="auto"/>
              <w:left w:val="single" w:sz="6" w:space="0" w:color="auto"/>
              <w:right w:val="single" w:sz="6" w:space="0" w:color="auto"/>
            </w:tcBorders>
            <w:vAlign w:val="center"/>
          </w:tcPr>
          <w:p>
            <w:pPr>
              <w:pStyle w:val="20"/>
            </w:pPr>
            <w:r>
              <w:t>≤28人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经费补助发放率</w:t>
            </w:r>
          </w:p>
        </w:tc>
        <w:tc>
          <w:tcPr>
            <w:tcW w:w="5386" w:type="dxa"/>
            <w:tcBorders>
              <w:top w:val="single" w:sz="6" w:space="0" w:color="auto"/>
              <w:left w:val="single" w:sz="6" w:space="0" w:color="auto"/>
              <w:right w:val="single" w:sz="6" w:space="0" w:color="auto"/>
            </w:tcBorders>
            <w:vAlign w:val="center"/>
          </w:tcPr>
          <w:p>
            <w:pPr>
              <w:pStyle w:val="20"/>
            </w:pPr>
            <w:r>
              <w:t>发放离任村干部补助数占离任村干部生活补助总数的比率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正常离任村干部补贴发放金额占实际到位资金的比例的比例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正常离任村干部生活补助成本</w:t>
            </w:r>
          </w:p>
        </w:tc>
        <w:tc>
          <w:tcPr>
            <w:tcW w:w="5386" w:type="dxa"/>
            <w:tcBorders>
              <w:top w:val="single" w:sz="6" w:space="0" w:color="auto"/>
              <w:left w:val="single" w:sz="6" w:space="0" w:color="auto"/>
              <w:right w:val="single" w:sz="6" w:space="0" w:color="auto"/>
            </w:tcBorders>
            <w:vAlign w:val="center"/>
          </w:tcPr>
          <w:p>
            <w:pPr>
              <w:pStyle w:val="20"/>
            </w:pPr>
            <w:r>
              <w:t>离任村干部任正职满1年每月补助标准</w:t>
            </w:r>
          </w:p>
        </w:tc>
        <w:tc>
          <w:tcPr>
            <w:tcW w:w="2268" w:type="dxa"/>
            <w:tcBorders>
              <w:top w:val="single" w:sz="6" w:space="0" w:color="auto"/>
              <w:left w:val="single" w:sz="6" w:space="0" w:color="auto"/>
              <w:right w:val="single" w:sz="6" w:space="0" w:color="auto"/>
            </w:tcBorders>
            <w:vAlign w:val="center"/>
          </w:tcPr>
          <w:p>
            <w:pPr>
              <w:pStyle w:val="20"/>
            </w:pPr>
            <w:r>
              <w:t>20元/人/月</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对行政村内经济发展的影响</w:t>
            </w:r>
          </w:p>
        </w:tc>
        <w:tc>
          <w:tcPr>
            <w:tcW w:w="5386" w:type="dxa"/>
            <w:tcBorders>
              <w:top w:val="single" w:sz="6" w:space="0" w:color="auto"/>
              <w:left w:val="single" w:sz="6" w:space="0" w:color="auto"/>
              <w:right w:val="single" w:sz="6" w:space="0" w:color="auto"/>
            </w:tcBorders>
            <w:vAlign w:val="center"/>
          </w:tcPr>
          <w:p>
            <w:pPr>
              <w:pStyle w:val="20"/>
            </w:pPr>
            <w:r>
              <w:t>对行政村内经济发展的影响</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提高在任村干部干事创业的积极性</w:t>
            </w:r>
          </w:p>
        </w:tc>
        <w:tc>
          <w:tcPr>
            <w:tcW w:w="5386" w:type="dxa"/>
            <w:tcBorders>
              <w:top w:val="single" w:sz="6" w:space="0" w:color="auto"/>
              <w:left w:val="single" w:sz="6" w:space="0" w:color="auto"/>
              <w:right w:val="single" w:sz="6" w:space="0" w:color="auto"/>
            </w:tcBorders>
            <w:vAlign w:val="center"/>
          </w:tcPr>
          <w:p>
            <w:pPr>
              <w:pStyle w:val="20"/>
            </w:pPr>
            <w:r>
              <w:t>提高在任村干部干事创业的积极性，促进行政村稳定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离任村干部补助的可持续影响</w:t>
            </w:r>
          </w:p>
        </w:tc>
        <w:tc>
          <w:tcPr>
            <w:tcW w:w="5386" w:type="dxa"/>
            <w:tcBorders>
              <w:top w:val="single" w:sz="6" w:space="0" w:color="auto"/>
              <w:left w:val="single" w:sz="6" w:space="0" w:color="auto"/>
              <w:right w:val="single" w:sz="6" w:space="0" w:color="auto"/>
            </w:tcBorders>
            <w:vAlign w:val="center"/>
          </w:tcPr>
          <w:p>
            <w:pPr>
              <w:pStyle w:val="20"/>
            </w:pPr>
            <w:r>
              <w:t>离任村干部补助发放，保障村委会稳定发展时限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正常离任村干部满意度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调查中满意或较满意的正常离任村干部占被调查正常离任村干部的比率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昌黎县团林乡人民政府本级上年末固定资产金额为142.39万元（详见下表）。本年度拟购置固定资产总额为0.00万元，已按要求列入政府采购预算，详见政府采购预算表。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816001昌黎县团林乡人民政府本级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142.39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156</w:t>
            </w:r>
          </w:p>
        </w:tc>
        <w:tc>
          <w:tcPr>
            <w:tcW w:w="2835" w:type="dxa"/>
            <w:vAlign w:val="center"/>
          </w:tcPr>
          <w:p>
            <w:pPr>
              <w:pStyle w:val="19"/>
            </w:pPr>
            <w:r>
              <w:t>128.71</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13.68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8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jc w:val="right"/>
    </w:pPr>
    <w:rPr>
      <w:rFonts w:ascii="方正小标宋_GBK" w:eastAsia="方正小标宋_GBK" w:cs="方正小标宋_GBK" w:hAnsi="方正小标宋_GBK"/>
      <w:sz w:val="24"/>
      <w:szCs w:val="20"/>
      <w:lang w:val="en-US" w:eastAsia="zh-CN" w:bidi="ar-SA"/>
    </w:rPr>
  </w:style>
  <w:style w:type="paragraph" w:customStyle="1" w:styleId="16">
    <w:name w:val="单元格样式21"/>
    <w:pPr>
      <w:jc w:val="center"/>
    </w:pPr>
    <w:rPr>
      <w:rFonts w:ascii="方正小标宋_GBK" w:eastAsia="方正小标宋_GBK" w:cs="方正小标宋_GBK" w:hAnsi="方正小标宋_GBK"/>
      <w:sz w:val="24"/>
      <w:szCs w:val="20"/>
      <w:lang w:val="en-US" w:eastAsia="zh-CN" w:bidi="ar-SA"/>
    </w:rPr>
  </w:style>
  <w:style w:type="paragraph" w:customStyle="1" w:styleId="17">
    <w:name w:val="单元格样式20"/>
    <w:rPr>
      <w:rFonts w:ascii="方正小标宋_GBK" w:eastAsia="方正小标宋_GBK" w:cs="方正小标宋_GBK" w:hAnsi="方正小标宋_GBK"/>
      <w:sz w:val="24"/>
      <w:szCs w:val="20"/>
      <w:lang w:val="en-US" w:eastAsia="zh-CN" w:bidi="ar-SA"/>
    </w:rPr>
  </w:style>
  <w:style w:type="paragraph" w:customStyle="1" w:styleId="18">
    <w:name w:val="单元格样式1"/>
    <w:pPr>
      <w:jc w:val="center"/>
    </w:pPr>
    <w:rPr>
      <w:rFonts w:ascii="方正书宋_GBK" w:eastAsia="方正书宋_GBK" w:cs="方正书宋_GBK" w:hAnsi="方正书宋_GBK"/>
      <w:b/>
      <w:sz w:val="21"/>
      <w:szCs w:val="20"/>
      <w:lang w:val="en-US" w:eastAsia="zh-CN" w:bidi="ar-SA"/>
    </w:rPr>
  </w:style>
  <w:style w:type="paragraph" w:customStyle="1" w:styleId="19">
    <w:name w:val="单元格样式4"/>
    <w:pPr>
      <w:jc w:val="right"/>
    </w:pPr>
    <w:rPr>
      <w:rFonts w:ascii="方正书宋_GBK" w:eastAsia="方正书宋_GBK" w:cs="方正书宋_GBK" w:hAnsi="方正书宋_GBK"/>
      <w:sz w:val="21"/>
      <w:szCs w:val="20"/>
      <w:lang w:val="en-US" w:eastAsia="zh-CN" w:bidi="ar-SA"/>
    </w:rPr>
  </w:style>
  <w:style w:type="paragraph" w:customStyle="1" w:styleId="20">
    <w:name w:val="单元格样式2"/>
    <w:rPr>
      <w:rFonts w:ascii="方正书宋_GBK" w:eastAsia="方正书宋_GBK" w:cs="方正书宋_GBK" w:hAnsi="方正书宋_GBK"/>
      <w:sz w:val="21"/>
      <w:szCs w:val="20"/>
      <w:lang w:val="en-US" w:eastAsia="zh-CN" w:bidi="ar-SA"/>
    </w:rPr>
  </w:style>
  <w:style w:type="paragraph" w:customStyle="1" w:styleId="21">
    <w:name w:val="单元格样式3"/>
    <w:pPr>
      <w:jc w:val="center"/>
    </w:pPr>
    <w:rPr>
      <w:rFonts w:ascii="方正书宋_GBK" w:eastAsia="方正书宋_GBK" w:cs="方正书宋_GBK" w:hAnsi="方正书宋_GBK"/>
      <w:sz w:val="21"/>
      <w:szCs w:val="20"/>
      <w:lang w:val="en-US" w:eastAsia="zh-CN" w:bidi="ar-SA"/>
    </w:rPr>
  </w:style>
  <w:style w:type="paragraph" w:customStyle="1" w:styleId="22">
    <w:name w:val="单元格样式6"/>
    <w:pPr>
      <w:jc w:val="center"/>
    </w:pPr>
    <w:rPr>
      <w:rFonts w:ascii="方正书宋_GBK" w:eastAsia="方正书宋_GBK" w:cs="方正书宋_GBK" w:hAnsi="方正书宋_GBK"/>
      <w:b/>
      <w:sz w:val="21"/>
      <w:szCs w:val="20"/>
      <w:lang w:val="en-US" w:eastAsia="zh-CN" w:bidi="ar-SA"/>
    </w:rPr>
  </w:style>
  <w:style w:type="paragraph" w:customStyle="1" w:styleId="23">
    <w:name w:val="单元格样式7"/>
    <w:pPr>
      <w:jc w:val="right"/>
    </w:pPr>
    <w:rPr>
      <w:rFonts w:ascii="方正书宋_GBK" w:eastAsia="方正书宋_GBK" w:cs="方正书宋_GBK" w:hAnsi="方正书宋_GBK"/>
      <w:b/>
      <w:sz w:val="21"/>
      <w:szCs w:val="20"/>
      <w:lang w:val="en-US" w:eastAsia="zh-CN" w:bidi="ar-SA"/>
    </w:rPr>
  </w:style>
  <w:style w:type="paragraph" w:customStyle="1" w:styleId="24">
    <w:name w:val="单元格样式5"/>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29">
    <w:name w:val="单元格样式23"/>
    <w:pPr>
      <w:jc w:val="right"/>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ind w:firstLine="560"/>
    </w:pPr>
    <w:rPr>
      <w:rFonts w:eastAsia="方正仿宋_GBK"/>
      <w:color w:val="000000"/>
      <w:sz w:val="28"/>
    </w:rPr>
  </w:style>
  <w:style w:type="paragraph" w:styleId="32">
    <w:name w:val="header"/>
    <w:basedOn w:val="0"/>
    <w:pPr>
      <w:pBdr>
        <w:bottom w:val="single" w:sz="6" w:space="1" w:color="auto"/>
      </w:pBdr>
      <w:tabs>
        <w:tab w:val="center" w:pos="4153"/>
        <w:tab w:val="right" w:pos="8306"/>
      </w:tabs>
      <w:snapToGrid w:val="0"/>
      <w:jc w:val="center"/>
    </w:pPr>
    <w:rPr>
      <w:sz w:val="18"/>
      <w:szCs w:val="18"/>
    </w:rPr>
  </w:style>
  <w:style w:type="paragraph" w:styleId="33">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1068BBD-03CC-4EFC-A732-0EBE3898BEE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39</Pages>
  <Words>0</Words>
  <Characters>12349</Characters>
  <Lines>0</Lines>
  <Paragraphs>125</Paragraphs>
  <CharactersWithSpaces>16466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rr</dc:creator>
  <cp:lastModifiedBy>Administrator</cp:lastModifiedBy>
  <cp:revision>3</cp:revision>
  <dcterms:created xsi:type="dcterms:W3CDTF">2025-01-21T02:53:00Z</dcterms:created>
  <dcterms:modified xsi:type="dcterms:W3CDTF">2025-01-22T01:57:50Z</dcterms:modified>
</cp:coreProperties>
</file>