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一、昌黎县科技和工业信息化局本级收支预算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一、昌黎县科技和工业信息化局本级收支预算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706.50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705.20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706.50</w:t>
            </w:r>
          </w:p>
        </w:tc>
        <w:tc>
          <w:tcPr>
            <w:tcW w:w="4535" w:type="dxa"/>
            <w:vAlign w:val="center"/>
          </w:tcPr>
          <w:p>
            <w:pPr>
              <w:pStyle w:val="14"/>
            </w:pPr>
            <w:r>
              <w:t>本年支出合计</w:t>
            </w:r>
          </w:p>
        </w:tc>
        <w:tc>
          <w:tcPr>
            <w:tcW w:w="2126" w:type="dxa"/>
            <w:vAlign w:val="center"/>
          </w:tcPr>
          <w:p>
            <w:pPr>
              <w:pStyle w:val="15"/>
            </w:pPr>
            <w:r>
              <w:t>706.50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706.50</w:t>
            </w:r>
          </w:p>
        </w:tc>
        <w:tc>
          <w:tcPr>
            <w:tcW w:w="4535" w:type="dxa"/>
            <w:vAlign w:val="center"/>
          </w:tcPr>
          <w:p>
            <w:pPr>
              <w:pStyle w:val="14"/>
            </w:pPr>
            <w:r>
              <w:t>支出总计</w:t>
            </w:r>
          </w:p>
        </w:tc>
        <w:tc>
          <w:tcPr>
            <w:tcW w:w="2126" w:type="dxa"/>
            <w:vAlign w:val="center"/>
          </w:tcPr>
          <w:p>
            <w:pPr>
              <w:pStyle w:val="15"/>
            </w:pPr>
            <w:r>
              <w:t>706.50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706.50</w:t>
            </w:r>
          </w:p>
        </w:tc>
        <w:tc>
          <w:tcPr>
            <w:tcW w:w="1134" w:type="dxa"/>
            <w:vAlign w:val="center"/>
          </w:tcPr>
          <w:p>
            <w:pPr>
              <w:pStyle w:val="15"/>
            </w:pPr>
            <w:r>
              <w:t>706.50</w:t>
            </w:r>
          </w:p>
        </w:tc>
        <w:tc>
          <w:tcPr>
            <w:tcW w:w="1134" w:type="dxa"/>
            <w:vAlign w:val="center"/>
          </w:tcPr>
          <w:p>
            <w:pPr>
              <w:pStyle w:val="15"/>
            </w:pPr>
            <w:r>
              <w:t>706.50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705.20</w:t>
            </w:r>
          </w:p>
        </w:tc>
        <w:tc>
          <w:tcPr>
            <w:tcW w:w="1134" w:type="dxa"/>
            <w:vAlign w:val="center"/>
          </w:tcPr>
          <w:p>
            <w:pPr>
              <w:pStyle w:val="11"/>
            </w:pPr>
            <w:r>
              <w:t>705.20</w:t>
            </w:r>
          </w:p>
        </w:tc>
        <w:tc>
          <w:tcPr>
            <w:tcW w:w="1134" w:type="dxa"/>
            <w:vAlign w:val="center"/>
          </w:tcPr>
          <w:p>
            <w:pPr>
              <w:pStyle w:val="11"/>
            </w:pPr>
            <w:r>
              <w:t>705.20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665.28</w:t>
            </w:r>
          </w:p>
        </w:tc>
        <w:tc>
          <w:tcPr>
            <w:tcW w:w="1134" w:type="dxa"/>
            <w:vAlign w:val="center"/>
          </w:tcPr>
          <w:p>
            <w:pPr>
              <w:pStyle w:val="11"/>
            </w:pPr>
            <w:r>
              <w:t>665.28</w:t>
            </w:r>
          </w:p>
        </w:tc>
        <w:tc>
          <w:tcPr>
            <w:tcW w:w="1134" w:type="dxa"/>
            <w:vAlign w:val="center"/>
          </w:tcPr>
          <w:p>
            <w:pPr>
              <w:pStyle w:val="11"/>
            </w:pPr>
            <w:r>
              <w:t>665.28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272.92</w:t>
            </w:r>
          </w:p>
        </w:tc>
        <w:tc>
          <w:tcPr>
            <w:tcW w:w="1134" w:type="dxa"/>
            <w:vAlign w:val="center"/>
          </w:tcPr>
          <w:p>
            <w:pPr>
              <w:pStyle w:val="11"/>
            </w:pPr>
            <w:r>
              <w:t>272.92</w:t>
            </w:r>
          </w:p>
        </w:tc>
        <w:tc>
          <w:tcPr>
            <w:tcW w:w="1134" w:type="dxa"/>
            <w:vAlign w:val="center"/>
          </w:tcPr>
          <w:p>
            <w:pPr>
              <w:pStyle w:val="11"/>
            </w:pPr>
            <w:r>
              <w:t>272.92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2060199</w:t>
            </w:r>
          </w:p>
        </w:tc>
        <w:tc>
          <w:tcPr>
            <w:tcW w:w="1559" w:type="dxa"/>
            <w:vAlign w:val="center"/>
          </w:tcPr>
          <w:p>
            <w:pPr>
              <w:pStyle w:val="12"/>
            </w:pPr>
            <w:r>
              <w:t>其他科学技术管理事务支出</w:t>
            </w:r>
          </w:p>
        </w:tc>
        <w:tc>
          <w:tcPr>
            <w:tcW w:w="1134" w:type="dxa"/>
            <w:vAlign w:val="center"/>
          </w:tcPr>
          <w:p>
            <w:pPr>
              <w:pStyle w:val="11"/>
            </w:pPr>
            <w:r>
              <w:t>392.35</w:t>
            </w:r>
          </w:p>
        </w:tc>
        <w:tc>
          <w:tcPr>
            <w:tcW w:w="1134" w:type="dxa"/>
            <w:vAlign w:val="center"/>
          </w:tcPr>
          <w:p>
            <w:pPr>
              <w:pStyle w:val="11"/>
            </w:pPr>
            <w:r>
              <w:t>392.35</w:t>
            </w:r>
          </w:p>
        </w:tc>
        <w:tc>
          <w:tcPr>
            <w:tcW w:w="1134" w:type="dxa"/>
            <w:vAlign w:val="center"/>
          </w:tcPr>
          <w:p>
            <w:pPr>
              <w:pStyle w:val="11"/>
            </w:pPr>
            <w:r>
              <w:t>392.35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2060499</w:t>
            </w:r>
          </w:p>
        </w:tc>
        <w:tc>
          <w:tcPr>
            <w:tcW w:w="1559" w:type="dxa"/>
            <w:vAlign w:val="center"/>
          </w:tcPr>
          <w:p>
            <w:pPr>
              <w:pStyle w:val="12"/>
            </w:pPr>
            <w:r>
              <w:t>其他技术研究与开发支出</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r>
              <w:t>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706.50</w:t>
            </w:r>
          </w:p>
        </w:tc>
        <w:tc>
          <w:tcPr>
            <w:tcW w:w="1361" w:type="dxa"/>
            <w:vAlign w:val="center"/>
          </w:tcPr>
          <w:p>
            <w:pPr>
              <w:pStyle w:val="15"/>
            </w:pPr>
            <w:r>
              <w:t>644.78</w:t>
            </w:r>
          </w:p>
        </w:tc>
        <w:tc>
          <w:tcPr>
            <w:tcW w:w="1361" w:type="dxa"/>
            <w:vAlign w:val="center"/>
          </w:tcPr>
          <w:p>
            <w:pPr>
              <w:pStyle w:val="15"/>
            </w:pPr>
            <w:r>
              <w:t>61.73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705.20</w:t>
            </w:r>
          </w:p>
        </w:tc>
        <w:tc>
          <w:tcPr>
            <w:tcW w:w="1361" w:type="dxa"/>
            <w:vAlign w:val="center"/>
          </w:tcPr>
          <w:p>
            <w:pPr>
              <w:pStyle w:val="11"/>
            </w:pPr>
            <w:r>
              <w:t>644.78</w:t>
            </w:r>
          </w:p>
        </w:tc>
        <w:tc>
          <w:tcPr>
            <w:tcW w:w="1361" w:type="dxa"/>
            <w:vAlign w:val="center"/>
          </w:tcPr>
          <w:p>
            <w:pPr>
              <w:pStyle w:val="11"/>
            </w:pPr>
            <w:r>
              <w:t>60.43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665.28</w:t>
            </w:r>
          </w:p>
        </w:tc>
        <w:tc>
          <w:tcPr>
            <w:tcW w:w="1361" w:type="dxa"/>
            <w:vAlign w:val="center"/>
          </w:tcPr>
          <w:p>
            <w:pPr>
              <w:pStyle w:val="11"/>
            </w:pPr>
            <w:r>
              <w:t>644.78</w:t>
            </w:r>
          </w:p>
        </w:tc>
        <w:tc>
          <w:tcPr>
            <w:tcW w:w="1361" w:type="dxa"/>
            <w:vAlign w:val="center"/>
          </w:tcPr>
          <w:p>
            <w:pPr>
              <w:pStyle w:val="11"/>
            </w:pPr>
            <w:r>
              <w:t>20.50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272.92</w:t>
            </w:r>
          </w:p>
        </w:tc>
        <w:tc>
          <w:tcPr>
            <w:tcW w:w="1361" w:type="dxa"/>
            <w:vAlign w:val="center"/>
          </w:tcPr>
          <w:p>
            <w:pPr>
              <w:pStyle w:val="11"/>
            </w:pPr>
            <w:r>
              <w:t>272.92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2060199</w:t>
            </w:r>
          </w:p>
        </w:tc>
        <w:tc>
          <w:tcPr>
            <w:tcW w:w="4535" w:type="dxa"/>
            <w:vAlign w:val="center"/>
          </w:tcPr>
          <w:p>
            <w:pPr>
              <w:pStyle w:val="12"/>
            </w:pPr>
            <w:r>
              <w:t>其他科学技术管理事务支出</w:t>
            </w:r>
          </w:p>
        </w:tc>
        <w:tc>
          <w:tcPr>
            <w:tcW w:w="1361" w:type="dxa"/>
            <w:vAlign w:val="center"/>
          </w:tcPr>
          <w:p>
            <w:pPr>
              <w:pStyle w:val="11"/>
            </w:pPr>
            <w:r>
              <w:t>392.35</w:t>
            </w:r>
          </w:p>
        </w:tc>
        <w:tc>
          <w:tcPr>
            <w:tcW w:w="1361" w:type="dxa"/>
            <w:vAlign w:val="center"/>
          </w:tcPr>
          <w:p>
            <w:pPr>
              <w:pStyle w:val="11"/>
            </w:pPr>
            <w:r>
              <w:t>371.85</w:t>
            </w:r>
          </w:p>
        </w:tc>
        <w:tc>
          <w:tcPr>
            <w:tcW w:w="1361" w:type="dxa"/>
            <w:vAlign w:val="center"/>
          </w:tcPr>
          <w:p>
            <w:pPr>
              <w:pStyle w:val="11"/>
            </w:pPr>
            <w:r>
              <w:t>20.50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2060499</w:t>
            </w:r>
          </w:p>
        </w:tc>
        <w:tc>
          <w:tcPr>
            <w:tcW w:w="4535" w:type="dxa"/>
            <w:vAlign w:val="center"/>
          </w:tcPr>
          <w:p>
            <w:pPr>
              <w:pStyle w:val="12"/>
            </w:pPr>
            <w:r>
              <w:t>其他技术研究与开发支出</w:t>
            </w: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r>
              <w:t>4.93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706.50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705.20</w:t>
            </w:r>
          </w:p>
        </w:tc>
        <w:tc>
          <w:tcPr>
            <w:tcW w:w="1474" w:type="dxa"/>
            <w:vAlign w:val="center"/>
          </w:tcPr>
          <w:p>
            <w:pPr>
              <w:pStyle w:val="11"/>
            </w:pPr>
            <w:r>
              <w:t>705.20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1.30</w:t>
            </w:r>
          </w:p>
        </w:tc>
        <w:tc>
          <w:tcPr>
            <w:tcW w:w="1474" w:type="dxa"/>
            <w:vAlign w:val="center"/>
          </w:tcPr>
          <w:p>
            <w:pPr>
              <w:pStyle w:val="11"/>
            </w:pPr>
            <w:r>
              <w:t>1.30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706.50</w:t>
            </w:r>
          </w:p>
        </w:tc>
        <w:tc>
          <w:tcPr>
            <w:tcW w:w="3402" w:type="dxa"/>
            <w:vAlign w:val="center"/>
          </w:tcPr>
          <w:p>
            <w:pPr>
              <w:pStyle w:val="14"/>
            </w:pPr>
            <w:r>
              <w:t>本年支出合计</w:t>
            </w:r>
          </w:p>
        </w:tc>
        <w:tc>
          <w:tcPr>
            <w:tcW w:w="1474" w:type="dxa"/>
            <w:vAlign w:val="center"/>
          </w:tcPr>
          <w:p>
            <w:pPr>
              <w:pStyle w:val="15"/>
            </w:pPr>
            <w:r>
              <w:t>706.50</w:t>
            </w:r>
          </w:p>
        </w:tc>
        <w:tc>
          <w:tcPr>
            <w:tcW w:w="1474" w:type="dxa"/>
            <w:vAlign w:val="center"/>
          </w:tcPr>
          <w:p>
            <w:pPr>
              <w:pStyle w:val="15"/>
            </w:pPr>
            <w:r>
              <w:t>706.50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706.50</w:t>
            </w:r>
          </w:p>
        </w:tc>
        <w:tc>
          <w:tcPr>
            <w:tcW w:w="3402" w:type="dxa"/>
            <w:vAlign w:val="center"/>
          </w:tcPr>
          <w:p>
            <w:pPr>
              <w:pStyle w:val="14"/>
            </w:pPr>
            <w:r>
              <w:t>支出总计</w:t>
            </w:r>
          </w:p>
        </w:tc>
        <w:tc>
          <w:tcPr>
            <w:tcW w:w="1474" w:type="dxa"/>
            <w:vAlign w:val="center"/>
          </w:tcPr>
          <w:p>
            <w:pPr>
              <w:pStyle w:val="15"/>
            </w:pPr>
            <w:r>
              <w:t>706.50</w:t>
            </w:r>
          </w:p>
        </w:tc>
        <w:tc>
          <w:tcPr>
            <w:tcW w:w="1474" w:type="dxa"/>
            <w:vAlign w:val="center"/>
          </w:tcPr>
          <w:p>
            <w:pPr>
              <w:pStyle w:val="15"/>
            </w:pPr>
            <w:r>
              <w:t>706.50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706.50</w:t>
            </w:r>
          </w:p>
        </w:tc>
        <w:tc>
          <w:tcPr>
            <w:tcW w:w="2551" w:type="dxa"/>
            <w:vAlign w:val="center"/>
          </w:tcPr>
          <w:p>
            <w:pPr>
              <w:pStyle w:val="15"/>
            </w:pPr>
            <w:r>
              <w:t>644.78</w:t>
            </w:r>
          </w:p>
        </w:tc>
        <w:tc>
          <w:tcPr>
            <w:tcW w:w="2551" w:type="dxa"/>
            <w:vAlign w:val="center"/>
          </w:tcPr>
          <w:p>
            <w:pPr>
              <w:pStyle w:val="15"/>
            </w:pPr>
            <w:r>
              <w:t>61.73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705.20</w:t>
            </w:r>
          </w:p>
        </w:tc>
        <w:tc>
          <w:tcPr>
            <w:tcW w:w="2551" w:type="dxa"/>
            <w:vAlign w:val="center"/>
          </w:tcPr>
          <w:p>
            <w:pPr>
              <w:pStyle w:val="11"/>
            </w:pPr>
            <w:r>
              <w:t>644.78</w:t>
            </w:r>
          </w:p>
        </w:tc>
        <w:tc>
          <w:tcPr>
            <w:tcW w:w="2551" w:type="dxa"/>
            <w:vAlign w:val="center"/>
          </w:tcPr>
          <w:p>
            <w:pPr>
              <w:pStyle w:val="11"/>
            </w:pPr>
            <w:r>
              <w:t>60.43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665.28</w:t>
            </w:r>
          </w:p>
        </w:tc>
        <w:tc>
          <w:tcPr>
            <w:tcW w:w="2551" w:type="dxa"/>
            <w:vAlign w:val="center"/>
          </w:tcPr>
          <w:p>
            <w:pPr>
              <w:pStyle w:val="11"/>
            </w:pPr>
            <w:r>
              <w:t>644.78</w:t>
            </w:r>
          </w:p>
        </w:tc>
        <w:tc>
          <w:tcPr>
            <w:tcW w:w="2551" w:type="dxa"/>
            <w:vAlign w:val="center"/>
          </w:tcPr>
          <w:p>
            <w:pPr>
              <w:pStyle w:val="11"/>
            </w:pPr>
            <w:r>
              <w:t>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272.92</w:t>
            </w:r>
          </w:p>
        </w:tc>
        <w:tc>
          <w:tcPr>
            <w:tcW w:w="2551" w:type="dxa"/>
            <w:vAlign w:val="center"/>
          </w:tcPr>
          <w:p>
            <w:pPr>
              <w:pStyle w:val="11"/>
            </w:pPr>
            <w:r>
              <w:t>272.92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2060199</w:t>
            </w:r>
          </w:p>
        </w:tc>
        <w:tc>
          <w:tcPr>
            <w:tcW w:w="4535" w:type="dxa"/>
            <w:vAlign w:val="center"/>
          </w:tcPr>
          <w:p>
            <w:pPr>
              <w:pStyle w:val="12"/>
            </w:pPr>
            <w:r>
              <w:t>其他科学技术管理事务支出</w:t>
            </w:r>
          </w:p>
        </w:tc>
        <w:tc>
          <w:tcPr>
            <w:tcW w:w="2551" w:type="dxa"/>
            <w:vAlign w:val="center"/>
          </w:tcPr>
          <w:p>
            <w:pPr>
              <w:pStyle w:val="11"/>
            </w:pPr>
            <w:r>
              <w:t>392.35</w:t>
            </w:r>
          </w:p>
        </w:tc>
        <w:tc>
          <w:tcPr>
            <w:tcW w:w="2551" w:type="dxa"/>
            <w:vAlign w:val="center"/>
          </w:tcPr>
          <w:p>
            <w:pPr>
              <w:pStyle w:val="11"/>
            </w:pPr>
            <w:r>
              <w:t>371.85</w:t>
            </w:r>
          </w:p>
        </w:tc>
        <w:tc>
          <w:tcPr>
            <w:tcW w:w="2551" w:type="dxa"/>
            <w:vAlign w:val="center"/>
          </w:tcPr>
          <w:p>
            <w:pPr>
              <w:pStyle w:val="11"/>
            </w:pPr>
            <w:r>
              <w:t>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4.93</w:t>
            </w:r>
          </w:p>
        </w:tc>
        <w:tc>
          <w:tcPr>
            <w:tcW w:w="2551" w:type="dxa"/>
            <w:vAlign w:val="center"/>
          </w:tcPr>
          <w:p>
            <w:pPr>
              <w:pStyle w:val="11"/>
            </w:pPr>
          </w:p>
        </w:tc>
        <w:tc>
          <w:tcPr>
            <w:tcW w:w="2551" w:type="dxa"/>
            <w:vAlign w:val="center"/>
          </w:tcPr>
          <w:p>
            <w:pPr>
              <w:pStyle w:val="11"/>
            </w:pPr>
            <w:r>
              <w:t>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2060499</w:t>
            </w:r>
          </w:p>
        </w:tc>
        <w:tc>
          <w:tcPr>
            <w:tcW w:w="4535" w:type="dxa"/>
            <w:vAlign w:val="center"/>
          </w:tcPr>
          <w:p>
            <w:pPr>
              <w:pStyle w:val="12"/>
            </w:pPr>
            <w:r>
              <w:t>其他技术研究与开发支出</w:t>
            </w:r>
          </w:p>
        </w:tc>
        <w:tc>
          <w:tcPr>
            <w:tcW w:w="2551" w:type="dxa"/>
            <w:vAlign w:val="center"/>
          </w:tcPr>
          <w:p>
            <w:pPr>
              <w:pStyle w:val="11"/>
            </w:pPr>
            <w:r>
              <w:t>4.93</w:t>
            </w:r>
          </w:p>
        </w:tc>
        <w:tc>
          <w:tcPr>
            <w:tcW w:w="2551" w:type="dxa"/>
            <w:vAlign w:val="center"/>
          </w:tcPr>
          <w:p>
            <w:pPr>
              <w:pStyle w:val="11"/>
            </w:pPr>
          </w:p>
        </w:tc>
        <w:tc>
          <w:tcPr>
            <w:tcW w:w="2551" w:type="dxa"/>
            <w:vAlign w:val="center"/>
          </w:tcPr>
          <w:p>
            <w:pPr>
              <w:pStyle w:val="11"/>
            </w:pPr>
            <w:r>
              <w:t>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644.78</w:t>
            </w:r>
          </w:p>
        </w:tc>
        <w:tc>
          <w:tcPr>
            <w:tcW w:w="2551" w:type="dxa"/>
            <w:vAlign w:val="center"/>
          </w:tcPr>
          <w:p>
            <w:pPr>
              <w:pStyle w:val="15"/>
            </w:pPr>
            <w:r>
              <w:t>631.18</w:t>
            </w:r>
          </w:p>
        </w:tc>
        <w:tc>
          <w:tcPr>
            <w:tcW w:w="2551" w:type="dxa"/>
            <w:vAlign w:val="center"/>
          </w:tcPr>
          <w:p>
            <w:pPr>
              <w:pStyle w:val="15"/>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450.06</w:t>
            </w:r>
          </w:p>
        </w:tc>
        <w:tc>
          <w:tcPr>
            <w:tcW w:w="2551" w:type="dxa"/>
            <w:vAlign w:val="center"/>
          </w:tcPr>
          <w:p>
            <w:pPr>
              <w:pStyle w:val="11"/>
            </w:pPr>
            <w:r>
              <w:t>450.06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131.87</w:t>
            </w:r>
          </w:p>
        </w:tc>
        <w:tc>
          <w:tcPr>
            <w:tcW w:w="2551" w:type="dxa"/>
            <w:vAlign w:val="center"/>
          </w:tcPr>
          <w:p>
            <w:pPr>
              <w:pStyle w:val="11"/>
            </w:pPr>
            <w:r>
              <w:t>131.87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23.38</w:t>
            </w:r>
          </w:p>
        </w:tc>
        <w:tc>
          <w:tcPr>
            <w:tcW w:w="2551" w:type="dxa"/>
            <w:vAlign w:val="center"/>
          </w:tcPr>
          <w:p>
            <w:pPr>
              <w:pStyle w:val="11"/>
            </w:pPr>
            <w:r>
              <w:t>23.38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49.67</w:t>
            </w:r>
          </w:p>
        </w:tc>
        <w:tc>
          <w:tcPr>
            <w:tcW w:w="2551" w:type="dxa"/>
            <w:vAlign w:val="center"/>
          </w:tcPr>
          <w:p>
            <w:pPr>
              <w:pStyle w:val="11"/>
            </w:pPr>
            <w:r>
              <w:t>49.67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34.07</w:t>
            </w:r>
          </w:p>
        </w:tc>
        <w:tc>
          <w:tcPr>
            <w:tcW w:w="2551" w:type="dxa"/>
            <w:vAlign w:val="center"/>
          </w:tcPr>
          <w:p>
            <w:pPr>
              <w:pStyle w:val="11"/>
            </w:pPr>
            <w:r>
              <w:t>34.07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9.72</w:t>
            </w:r>
          </w:p>
        </w:tc>
        <w:tc>
          <w:tcPr>
            <w:tcW w:w="2551" w:type="dxa"/>
            <w:vAlign w:val="center"/>
          </w:tcPr>
          <w:p>
            <w:pPr>
              <w:pStyle w:val="11"/>
            </w:pPr>
            <w:r>
              <w:t>9.72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19.36</w:t>
            </w:r>
          </w:p>
        </w:tc>
        <w:tc>
          <w:tcPr>
            <w:tcW w:w="2551" w:type="dxa"/>
            <w:vAlign w:val="center"/>
          </w:tcPr>
          <w:p>
            <w:pPr>
              <w:pStyle w:val="11"/>
            </w:pPr>
            <w:r>
              <w:t>19.36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1.96</w:t>
            </w:r>
          </w:p>
        </w:tc>
        <w:tc>
          <w:tcPr>
            <w:tcW w:w="2551" w:type="dxa"/>
            <w:vAlign w:val="center"/>
          </w:tcPr>
          <w:p>
            <w:pPr>
              <w:pStyle w:val="11"/>
            </w:pPr>
            <w:r>
              <w:t>1.96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17.57</w:t>
            </w:r>
          </w:p>
        </w:tc>
        <w:tc>
          <w:tcPr>
            <w:tcW w:w="2551" w:type="dxa"/>
            <w:vAlign w:val="center"/>
          </w:tcPr>
          <w:p>
            <w:pPr>
              <w:pStyle w:val="11"/>
            </w:pPr>
            <w:r>
              <w:t>17.57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154.47</w:t>
            </w:r>
          </w:p>
        </w:tc>
        <w:tc>
          <w:tcPr>
            <w:tcW w:w="2551" w:type="dxa"/>
            <w:vAlign w:val="center"/>
          </w:tcPr>
          <w:p>
            <w:pPr>
              <w:pStyle w:val="11"/>
            </w:pPr>
            <w:r>
              <w:t>154.47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13.60</w:t>
            </w:r>
          </w:p>
        </w:tc>
        <w:tc>
          <w:tcPr>
            <w:tcW w:w="2551" w:type="dxa"/>
            <w:vAlign w:val="center"/>
          </w:tcPr>
          <w:p>
            <w:pPr>
              <w:pStyle w:val="11"/>
            </w:pPr>
          </w:p>
        </w:tc>
        <w:tc>
          <w:tcPr>
            <w:tcW w:w="2551" w:type="dxa"/>
            <w:vAlign w:val="center"/>
          </w:tcPr>
          <w:p>
            <w:pPr>
              <w:pStyle w:val="11"/>
            </w:pPr>
            <w:r>
              <w:t>13.60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181.12</w:t>
            </w:r>
          </w:p>
        </w:tc>
        <w:tc>
          <w:tcPr>
            <w:tcW w:w="2551" w:type="dxa"/>
            <w:vAlign w:val="center"/>
          </w:tcPr>
          <w:p>
            <w:pPr>
              <w:pStyle w:val="11"/>
            </w:pPr>
            <w:r>
              <w:t>181.12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53.25</w:t>
            </w:r>
          </w:p>
        </w:tc>
        <w:tc>
          <w:tcPr>
            <w:tcW w:w="2551" w:type="dxa"/>
            <w:vAlign w:val="center"/>
          </w:tcPr>
          <w:p>
            <w:pPr>
              <w:pStyle w:val="11"/>
            </w:pPr>
            <w:r>
              <w:t>53.25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116.95</w:t>
            </w:r>
          </w:p>
        </w:tc>
        <w:tc>
          <w:tcPr>
            <w:tcW w:w="2551" w:type="dxa"/>
            <w:vAlign w:val="center"/>
          </w:tcPr>
          <w:p>
            <w:pPr>
              <w:pStyle w:val="11"/>
            </w:pPr>
            <w:r>
              <w:t>116.95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10.92</w:t>
            </w:r>
          </w:p>
        </w:tc>
        <w:tc>
          <w:tcPr>
            <w:tcW w:w="2551" w:type="dxa"/>
            <w:vAlign w:val="center"/>
          </w:tcPr>
          <w:p>
            <w:pPr>
              <w:pStyle w:val="11"/>
            </w:pPr>
            <w:r>
              <w:t>10.92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昌黎县科技和工业信息化局本级2025年单位预算信息公开情况说明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按照《中华人民共和国预算法》、《地方预决算公开操作规程》和《关于进一步推进预算公开工作的实施意见》规定，现将昌黎县科技和工业信息化局本级2025年单位预算公开如下：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（一）提出全县新型工业化发展战略和政策，协调解决新型工业化进程中的重大问题，拟订并组织实施全县工业发展规划，推进产业结构战略性调整和优化升级，推进信息化和工业化融合。</w:t>
      </w:r>
    </w:p>
    <w:p>
      <w:pPr>
        <w:pStyle w:val="17"/>
      </w:pPr>
      <w:r>
        <w:t>（二）制订并组织实施全县工业行业规划、计划和产业政策，提出优化产业布局、结构的政策建议，推进现代产业体系建设。</w:t>
      </w:r>
    </w:p>
    <w:p>
      <w:pPr>
        <w:pStyle w:val="17"/>
      </w:pPr>
      <w:r>
        <w:t>（三）监测分析全县工业运行态势，进行预测预警和信息引导。协调解决行业运行发展中的有关问题并提出政策建议。</w:t>
      </w:r>
    </w:p>
    <w:p>
      <w:pPr>
        <w:pStyle w:val="17"/>
      </w:pPr>
      <w:r>
        <w:t>（四）负责对中小企业和民营经济促进工作进行指导、综合协调和监督检查，会同有关部门拟订促进中小企业和民营经济发展的相关政策和措施并组织实施，协调解决有关重大问题。</w:t>
      </w:r>
    </w:p>
    <w:p>
      <w:pPr>
        <w:pStyle w:val="17"/>
      </w:pPr>
      <w:r>
        <w:t>（五）开展工业、中小企业域外合作与交流。</w:t>
      </w:r>
    </w:p>
    <w:p>
      <w:pPr>
        <w:pStyle w:val="17"/>
      </w:pPr>
      <w:r>
        <w:t>（六）推进全县工业体制改革和管理创新，提高行业综合素质和核心竞争力，配合相关部门指导全县工业企业加强安全生产管理。</w:t>
      </w:r>
    </w:p>
    <w:p>
      <w:pPr>
        <w:pStyle w:val="17"/>
      </w:pPr>
      <w:r>
        <w:t>（七）负责提出全县工业技改项目固定资产投资规模和方向（含利用外资和境外投资）、国家和省、市、县财政性建设资金安排的意见。</w:t>
      </w:r>
    </w:p>
    <w:p>
      <w:pPr>
        <w:pStyle w:val="17"/>
      </w:pPr>
      <w:r>
        <w:t>（八）负责全县振兴装备制造业的组织协调，贯彻执行国家重大技术装备发展和自主创新规划、政策，依托国家和省、市、县重点工程建设协调有关重大专项的实施，推进重大技术装备国产化，指导引进重大技术装备的消化创新。</w:t>
      </w:r>
    </w:p>
    <w:p>
      <w:pPr>
        <w:pStyle w:val="17"/>
      </w:pPr>
      <w:r>
        <w:t>（九）贯彻落实国家、省政策和标准，拟订信息产业等规划并组织实施。指导行业技术创新和技术进步，以先进适用技术改造提升传统产业。推进实施有关国家和省科技重大专项，推进相关科研成果产业化，推动全县软件业、信息服务业和新兴产业发展。</w:t>
      </w:r>
    </w:p>
    <w:p>
      <w:pPr>
        <w:pStyle w:val="17"/>
      </w:pPr>
      <w:r>
        <w:t>（十）承担军民融合产业发展日常工作。</w:t>
      </w:r>
    </w:p>
    <w:p>
      <w:pPr>
        <w:pStyle w:val="17"/>
      </w:pPr>
      <w:r>
        <w:t>（十一）承担盐业行业管理工作。</w:t>
      </w:r>
    </w:p>
    <w:p>
      <w:pPr>
        <w:pStyle w:val="17"/>
      </w:pPr>
      <w:r>
        <w:t>（十二）承担葡萄酒行业管理工作。</w:t>
      </w:r>
    </w:p>
    <w:p>
      <w:pPr>
        <w:pStyle w:val="17"/>
      </w:pPr>
      <w:r>
        <w:t>（十三）承担全县无线电工作的组织协调工作。   （十四）组织贯彻落实关于科技创新工作方针政策和决策部署，拟定科学技术发展、引进国外智力战略规划和政策并组织实施，起草有关科技方面的政府规章草案。</w:t>
      </w:r>
    </w:p>
    <w:p>
      <w:pPr>
        <w:pStyle w:val="17"/>
      </w:pPr>
      <w:r>
        <w:t>（十五）统筹推进全县科技创新体系建设和科技体制改革。负责全县各级科技项目的管理。负责企业技术创新和产学研合作、科技成果转移转化、技术合同登记管理的相关服务工作。负责推进创新型城市建设相关工作。承担推进科技军民融合发展相关工作。</w:t>
      </w:r>
    </w:p>
    <w:p>
      <w:pPr>
        <w:pStyle w:val="17"/>
      </w:pPr>
      <w:r>
        <w:t>（十六）根据相关领域技术发展需求，推动重大关键技术攻关。组织全县重大产业化示范工程。负责科技型企业、小巨人企业、高新技术企业、农业科技园区、众创空间、星创天地培育、推进。指导科技服务业和科技中介和技术市场组织发展。负责各级重点实验室、技术创新中心等研发机构的申报、推进。负责大学生创新创业活动等相关工作。</w:t>
      </w:r>
    </w:p>
    <w:p>
      <w:pPr>
        <w:pStyle w:val="17"/>
      </w:pPr>
      <w:r>
        <w:t>（十七）负责组织管理技术服务、技术咨询、技术交流、技术转让和科技的普及、培训、统计及信息档案管理工作。</w:t>
      </w:r>
    </w:p>
    <w:p>
      <w:pPr>
        <w:pStyle w:val="17"/>
      </w:pPr>
      <w:r>
        <w:t>（十八）拟订科技人才队伍建设规划和政策，建立健全科技人才评价和激励机制，组织实施科技人才计划，推动高端科技创新人才队伍建设。负责科技扶贫工作。负责科技特派员的选派、管理工作并组织实施。</w:t>
      </w:r>
    </w:p>
    <w:p>
      <w:pPr>
        <w:pStyle w:val="17"/>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昌黎县科技和工业信息化局本级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706.50万元，其中：一般公共预算收入706.50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昌黎县科技和工业信息化局本级年度单位预算中支出预算的总体情况。2025年支出预算706.50万元，其中基本支出644.78万元，包括人员经费631.18万元和日常公用经费13.60万元；项目支出61.73万元，主要为劳务派遣人员工资及保险等20.5002万元；冀财建【2024】269号关于提前下达2025年省级中小企业发展专项资金1.3万元；冀财建【2024】274号关于提前下达2025年支持市县科技创新和科学普及专项资金（高新技术企业认定奖补）20万元；冀财教【2024】127号关于提前下达2025年支持市县科技创新和科学普及专项资金19.9263万元，共计61.73万元。</w:t>
      </w:r>
    </w:p>
    <w:p>
      <w:pPr>
        <w:pStyle w:val="18"/>
      </w:pPr>
      <w:r>
        <w:t>3、比上年增减情况</w:t>
      </w:r>
    </w:p>
    <w:p>
      <w:pPr>
        <w:pStyle w:val="18"/>
      </w:pPr>
      <w:r>
        <w:t>2025年预算收支安排706.50万元，较2024年预算增加706.50万元，其中：基本支出增加644.78万元，主要为人员经费631.18万元，日常公用经费13.60万元。项目支出增加61.73万元，主要为劳务派遣人员工资及保险等20.5002万元；冀财建【2024】269号关于提前下达2025年省级中小企业发展专项资金1.3万元；冀财建【2024】274号关于提前下达2025年支持市县科技创新和科学普及专项资金（高新技术企业认定奖补）20万元；冀财教【2024】127号关于提前下达2025年支持市县科技创新和科学普及专项资金19.9263万元，共计61.73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2025年，我单位机关运行经费共计安排13.60万元，主要用于日常维修、办公用房水电费、办公用房取暖费、办公用房物业管理费等日常运行支出。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增加1.80万元，增减变化的主要原因是我单位为2025年机构改革新预算单位，从发改局划转1辆公车，安排公车运维费1.8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1、冀财建【2024】269号关于提前下达2025年省级中小企业发展专项资金绩效目标表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13032225P00232410002A</w:t>
            </w:r>
          </w:p>
        </w:tc>
        <w:tc>
          <w:tcPr>
            <w:tcW w:w="2835" w:type="dxa"/>
            <w:vAlign w:val="center"/>
          </w:tcPr>
          <w:p>
            <w:pPr>
              <w:pStyle w:val="10"/>
            </w:pPr>
            <w:r>
              <w:t>项目名称</w:t>
            </w:r>
          </w:p>
        </w:tc>
        <w:tc>
          <w:tcPr>
            <w:tcW w:w="6095" w:type="dxa"/>
            <w:gridSpan w:val="3"/>
            <w:vAlign w:val="center"/>
          </w:tcPr>
          <w:p>
            <w:pPr>
              <w:pStyle w:val="12"/>
            </w:pPr>
            <w:r>
              <w:t>冀财建【2024】269号关于提前下达2025年省级中小企业发展专项资金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w:t>
            </w:r>
          </w:p>
        </w:tc>
        <w:tc>
          <w:tcPr>
            <w:tcW w:w="2835" w:type="dxa"/>
            <w:vAlign w:val="center"/>
          </w:tcPr>
          <w:p>
            <w:pPr>
              <w:pStyle w:val="10"/>
            </w:pPr>
            <w:r>
              <w:t>其中：财政    资金</w:t>
            </w:r>
          </w:p>
        </w:tc>
        <w:tc>
          <w:tcPr>
            <w:tcW w:w="2551" w:type="dxa"/>
            <w:vAlign w:val="center"/>
          </w:tcPr>
          <w:p>
            <w:pPr>
              <w:pStyle w:val="12"/>
            </w:pPr>
            <w:r>
              <w:t>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冀财建【2024】269号提前下达2025年省级中小企业发展专项资金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1.开展中小企业创新培育培训活动，提升优质中小企业创新能力，参训中小企业不低于50家。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能力提升培训</w:t>
            </w:r>
          </w:p>
        </w:tc>
        <w:tc>
          <w:tcPr>
            <w:tcW w:w="5386" w:type="dxa"/>
            <w:vAlign w:val="center"/>
          </w:tcPr>
          <w:p>
            <w:pPr>
              <w:pStyle w:val="12"/>
            </w:pPr>
            <w:r>
              <w:t>经费用于企业创新能力建设、中小企业运行监测工作开展培训，提升企业技术、财务、统计人员能力水平</w:t>
            </w:r>
          </w:p>
        </w:tc>
        <w:tc>
          <w:tcPr>
            <w:tcW w:w="2268" w:type="dxa"/>
            <w:vAlign w:val="center"/>
          </w:tcPr>
          <w:p>
            <w:pPr>
              <w:pStyle w:val="12"/>
            </w:pPr>
            <w:r>
              <w:t>≤80元/人</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对相关企业财务、统计人员开展业务能力培训</w:t>
            </w:r>
          </w:p>
        </w:tc>
        <w:tc>
          <w:tcPr>
            <w:tcW w:w="2268" w:type="dxa"/>
            <w:vAlign w:val="center"/>
          </w:tcPr>
          <w:p>
            <w:pPr>
              <w:pStyle w:val="12"/>
            </w:pPr>
            <w:r>
              <w:t>≥60人</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数据准确率</w:t>
            </w:r>
          </w:p>
        </w:tc>
        <w:tc>
          <w:tcPr>
            <w:tcW w:w="5386" w:type="dxa"/>
            <w:vAlign w:val="center"/>
          </w:tcPr>
          <w:p>
            <w:pPr>
              <w:pStyle w:val="12"/>
            </w:pPr>
            <w:r>
              <w:t>按照季度统计核算并上报我县主要指标数据</w:t>
            </w:r>
          </w:p>
        </w:tc>
        <w:tc>
          <w:tcPr>
            <w:tcW w:w="2268" w:type="dxa"/>
            <w:vAlign w:val="center"/>
          </w:tcPr>
          <w:p>
            <w:pPr>
              <w:pStyle w:val="12"/>
            </w:pPr>
            <w:r>
              <w:t>≥98%</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报送数据时限</w:t>
            </w:r>
          </w:p>
        </w:tc>
        <w:tc>
          <w:tcPr>
            <w:tcW w:w="5386" w:type="dxa"/>
            <w:vAlign w:val="center"/>
          </w:tcPr>
          <w:p>
            <w:pPr>
              <w:pStyle w:val="12"/>
            </w:pPr>
            <w:r>
              <w:t>完成数据报送时限要求</w:t>
            </w:r>
          </w:p>
        </w:tc>
        <w:tc>
          <w:tcPr>
            <w:tcW w:w="2268" w:type="dxa"/>
            <w:vAlign w:val="center"/>
          </w:tcPr>
          <w:p>
            <w:pPr>
              <w:pStyle w:val="12"/>
            </w:pPr>
            <w:r>
              <w:t>季后15日前</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降低排放，降低能耗</w:t>
            </w:r>
          </w:p>
        </w:tc>
        <w:tc>
          <w:tcPr>
            <w:tcW w:w="5386" w:type="dxa"/>
            <w:vAlign w:val="center"/>
          </w:tcPr>
          <w:p>
            <w:pPr>
              <w:pStyle w:val="12"/>
            </w:pPr>
            <w:r>
              <w:t>推动企业健康绿色发展</w:t>
            </w:r>
          </w:p>
        </w:tc>
        <w:tc>
          <w:tcPr>
            <w:tcW w:w="2268" w:type="dxa"/>
            <w:vAlign w:val="center"/>
          </w:tcPr>
          <w:p>
            <w:pPr>
              <w:pStyle w:val="12"/>
            </w:pPr>
            <w:r>
              <w:t>较上年降低</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提升统计人员能力的期间</w:t>
            </w:r>
          </w:p>
        </w:tc>
        <w:tc>
          <w:tcPr>
            <w:tcW w:w="5386" w:type="dxa"/>
            <w:vAlign w:val="center"/>
          </w:tcPr>
          <w:p>
            <w:pPr>
              <w:pStyle w:val="12"/>
            </w:pPr>
            <w:r>
              <w:t>提高基层统计人员能力</w:t>
            </w:r>
          </w:p>
        </w:tc>
        <w:tc>
          <w:tcPr>
            <w:tcW w:w="2268" w:type="dxa"/>
            <w:vAlign w:val="center"/>
          </w:tcPr>
          <w:p>
            <w:pPr>
              <w:pStyle w:val="12"/>
            </w:pPr>
            <w:r>
              <w:t>≥1年</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提高民营经济发展</w:t>
            </w:r>
          </w:p>
        </w:tc>
        <w:tc>
          <w:tcPr>
            <w:tcW w:w="5386" w:type="dxa"/>
            <w:vAlign w:val="center"/>
          </w:tcPr>
          <w:p>
            <w:pPr>
              <w:pStyle w:val="12"/>
            </w:pPr>
            <w:r>
              <w:t>提高人员能力，推动全县民营经济发展</w:t>
            </w:r>
          </w:p>
        </w:tc>
        <w:tc>
          <w:tcPr>
            <w:tcW w:w="2268" w:type="dxa"/>
            <w:vAlign w:val="center"/>
          </w:tcPr>
          <w:p>
            <w:pPr>
              <w:pStyle w:val="12"/>
            </w:pPr>
            <w:r>
              <w:t>较上年提高</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提高县域特色产业统计申报效率</w:t>
            </w:r>
          </w:p>
        </w:tc>
        <w:tc>
          <w:tcPr>
            <w:tcW w:w="5386" w:type="dxa"/>
            <w:vAlign w:val="center"/>
          </w:tcPr>
          <w:p>
            <w:pPr>
              <w:pStyle w:val="12"/>
            </w:pPr>
            <w:r>
              <w:t>培训业务办理人员能力，县域特色产业统计申报效率</w:t>
            </w:r>
          </w:p>
        </w:tc>
        <w:tc>
          <w:tcPr>
            <w:tcW w:w="2268" w:type="dxa"/>
            <w:vAlign w:val="center"/>
          </w:tcPr>
          <w:p>
            <w:pPr>
              <w:pStyle w:val="12"/>
            </w:pPr>
            <w:r>
              <w:t>较上年提高</w:t>
            </w:r>
          </w:p>
        </w:tc>
        <w:tc>
          <w:tcPr>
            <w:tcW w:w="1276" w:type="dxa"/>
            <w:vAlign w:val="center"/>
          </w:tcPr>
          <w:p>
            <w:pPr>
              <w:pStyle w:val="12"/>
            </w:pPr>
            <w:r>
              <w:t>冀财建【2024】269号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企业服务对象满意度</w:t>
            </w:r>
          </w:p>
        </w:tc>
        <w:tc>
          <w:tcPr>
            <w:tcW w:w="5386" w:type="dxa"/>
            <w:vAlign w:val="center"/>
          </w:tcPr>
          <w:p>
            <w:pPr>
              <w:pStyle w:val="12"/>
            </w:pPr>
            <w:r>
              <w:t>对企业满意的人数占调查人数的比例</w:t>
            </w:r>
          </w:p>
        </w:tc>
        <w:tc>
          <w:tcPr>
            <w:tcW w:w="2268" w:type="dxa"/>
            <w:vAlign w:val="center"/>
          </w:tcPr>
          <w:p>
            <w:pPr>
              <w:pStyle w:val="12"/>
            </w:pPr>
            <w:r>
              <w:t>≥90%</w:t>
            </w:r>
          </w:p>
        </w:tc>
        <w:tc>
          <w:tcPr>
            <w:tcW w:w="1276" w:type="dxa"/>
            <w:vAlign w:val="center"/>
          </w:tcPr>
          <w:p>
            <w:pPr>
              <w:pStyle w:val="12"/>
            </w:pPr>
            <w:r>
              <w:t>冀财建【2024】269号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2、冀财建【2024】274号关于提前下达2025年支持市县科技创新和科学普及专项资金（高新技术企业认定奖补）绩效目标表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13032225P00216710002Q</w:t>
            </w:r>
          </w:p>
        </w:tc>
        <w:tc>
          <w:tcPr>
            <w:tcW w:w="2835" w:type="dxa"/>
            <w:vAlign w:val="center"/>
          </w:tcPr>
          <w:p>
            <w:pPr>
              <w:pStyle w:val="10"/>
            </w:pPr>
            <w:r>
              <w:t>项目名称</w:t>
            </w:r>
          </w:p>
        </w:tc>
        <w:tc>
          <w:tcPr>
            <w:tcW w:w="6095" w:type="dxa"/>
            <w:gridSpan w:val="3"/>
            <w:vAlign w:val="center"/>
          </w:tcPr>
          <w:p>
            <w:pPr>
              <w:pStyle w:val="12"/>
            </w:pPr>
            <w:r>
              <w:t>冀财建【2024】274号关于提前下达2025年支持市县科技创新和科学普及专项资金（高新技术企业认定奖补）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冀财建【2024】274号关于提前下达2025年支持市县科技创新和科学普及专项资金（高新技术企业认定奖补）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1.提升县域科技创新能力，推动县域经济高质量发展。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奖励下发额度</w:t>
            </w:r>
          </w:p>
        </w:tc>
        <w:tc>
          <w:tcPr>
            <w:tcW w:w="5386" w:type="dxa"/>
            <w:vAlign w:val="center"/>
          </w:tcPr>
          <w:p>
            <w:pPr>
              <w:pStyle w:val="12"/>
            </w:pPr>
            <w:r>
              <w:t>2024年两家高新技术企业后补助资金20万元。</w:t>
            </w:r>
          </w:p>
        </w:tc>
        <w:tc>
          <w:tcPr>
            <w:tcW w:w="2268" w:type="dxa"/>
            <w:vAlign w:val="center"/>
          </w:tcPr>
          <w:p>
            <w:pPr>
              <w:pStyle w:val="12"/>
            </w:pPr>
            <w:r>
              <w:t>20万元</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奖励单位数量</w:t>
            </w:r>
          </w:p>
        </w:tc>
        <w:tc>
          <w:tcPr>
            <w:tcW w:w="5386" w:type="dxa"/>
            <w:vAlign w:val="center"/>
          </w:tcPr>
          <w:p>
            <w:pPr>
              <w:pStyle w:val="12"/>
            </w:pPr>
            <w:r>
              <w:t>发放奖励单位数量</w:t>
            </w:r>
          </w:p>
        </w:tc>
        <w:tc>
          <w:tcPr>
            <w:tcW w:w="2268" w:type="dxa"/>
            <w:vAlign w:val="center"/>
          </w:tcPr>
          <w:p>
            <w:pPr>
              <w:pStyle w:val="12"/>
            </w:pPr>
            <w:r>
              <w:t>2家</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项目资质合格率</w:t>
            </w:r>
          </w:p>
        </w:tc>
        <w:tc>
          <w:tcPr>
            <w:tcW w:w="5386" w:type="dxa"/>
            <w:vAlign w:val="center"/>
          </w:tcPr>
          <w:p>
            <w:pPr>
              <w:pStyle w:val="12"/>
            </w:pPr>
            <w:r>
              <w:t>相关资质取得合格的项目数量占项目总数量的比例</w:t>
            </w:r>
          </w:p>
        </w:tc>
        <w:tc>
          <w:tcPr>
            <w:tcW w:w="2268" w:type="dxa"/>
            <w:vAlign w:val="center"/>
          </w:tcPr>
          <w:p>
            <w:pPr>
              <w:pStyle w:val="12"/>
            </w:pPr>
            <w:r>
              <w:t>≥98%</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及时拨付资金数量占预算资金总数的比例</w:t>
            </w:r>
          </w:p>
        </w:tc>
        <w:tc>
          <w:tcPr>
            <w:tcW w:w="2268" w:type="dxa"/>
            <w:vAlign w:val="center"/>
          </w:tcPr>
          <w:p>
            <w:pPr>
              <w:pStyle w:val="12"/>
            </w:pPr>
            <w:r>
              <w:t>≥98%</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助力企业完善科技生态</w:t>
            </w:r>
          </w:p>
        </w:tc>
        <w:tc>
          <w:tcPr>
            <w:tcW w:w="5386" w:type="dxa"/>
            <w:vAlign w:val="center"/>
          </w:tcPr>
          <w:p>
            <w:pPr>
              <w:pStyle w:val="12"/>
            </w:pPr>
            <w:r>
              <w:t>促进企业使用新技术，提高科技生态效益</w:t>
            </w:r>
          </w:p>
        </w:tc>
        <w:tc>
          <w:tcPr>
            <w:tcW w:w="2268" w:type="dxa"/>
            <w:vAlign w:val="center"/>
          </w:tcPr>
          <w:p>
            <w:pPr>
              <w:pStyle w:val="12"/>
            </w:pPr>
            <w:r>
              <w:t>较上年持续提高</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促进企业保持持续创新能力</w:t>
            </w:r>
          </w:p>
        </w:tc>
        <w:tc>
          <w:tcPr>
            <w:tcW w:w="5386" w:type="dxa"/>
            <w:vAlign w:val="center"/>
          </w:tcPr>
          <w:p>
            <w:pPr>
              <w:pStyle w:val="12"/>
            </w:pPr>
            <w:r>
              <w:t>获得支持的企业是否保持持续创新能力</w:t>
            </w:r>
          </w:p>
        </w:tc>
        <w:tc>
          <w:tcPr>
            <w:tcW w:w="2268" w:type="dxa"/>
            <w:vAlign w:val="center"/>
          </w:tcPr>
          <w:p>
            <w:pPr>
              <w:pStyle w:val="12"/>
            </w:pPr>
            <w:r>
              <w:t>≥10年</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增强企业市场竞争力</w:t>
            </w:r>
          </w:p>
        </w:tc>
        <w:tc>
          <w:tcPr>
            <w:tcW w:w="5386" w:type="dxa"/>
            <w:vAlign w:val="center"/>
          </w:tcPr>
          <w:p>
            <w:pPr>
              <w:pStyle w:val="12"/>
            </w:pPr>
            <w:r>
              <w:t>增强企业市场竞争力，提高企业经</w:t>
            </w:r>
          </w:p>
        </w:tc>
        <w:tc>
          <w:tcPr>
            <w:tcW w:w="2268" w:type="dxa"/>
            <w:vAlign w:val="center"/>
          </w:tcPr>
          <w:p>
            <w:pPr>
              <w:pStyle w:val="12"/>
            </w:pPr>
            <w:r>
              <w:t>较上年持续增强</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提高当地企业科技含量</w:t>
            </w:r>
          </w:p>
        </w:tc>
        <w:tc>
          <w:tcPr>
            <w:tcW w:w="5386" w:type="dxa"/>
            <w:vAlign w:val="center"/>
          </w:tcPr>
          <w:p>
            <w:pPr>
              <w:pStyle w:val="12"/>
            </w:pPr>
            <w:r>
              <w:t>促进企业使用新技术，提高企业科技研发含量</w:t>
            </w:r>
          </w:p>
        </w:tc>
        <w:tc>
          <w:tcPr>
            <w:tcW w:w="2268" w:type="dxa"/>
            <w:vAlign w:val="center"/>
          </w:tcPr>
          <w:p>
            <w:pPr>
              <w:pStyle w:val="12"/>
            </w:pPr>
            <w:r>
              <w:t>较上年持续提高</w:t>
            </w:r>
          </w:p>
        </w:tc>
        <w:tc>
          <w:tcPr>
            <w:tcW w:w="1276" w:type="dxa"/>
            <w:vAlign w:val="center"/>
          </w:tcPr>
          <w:p>
            <w:pPr>
              <w:pStyle w:val="12"/>
            </w:pPr>
            <w:r>
              <w:t>冀财建【2024】274号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企业满意程度</w:t>
            </w:r>
          </w:p>
        </w:tc>
        <w:tc>
          <w:tcPr>
            <w:tcW w:w="5386" w:type="dxa"/>
            <w:vAlign w:val="center"/>
          </w:tcPr>
          <w:p>
            <w:pPr>
              <w:pStyle w:val="12"/>
            </w:pPr>
            <w:r>
              <w:t>经调查满意企业占调查企业总数的比例</w:t>
            </w:r>
          </w:p>
        </w:tc>
        <w:tc>
          <w:tcPr>
            <w:tcW w:w="2268" w:type="dxa"/>
            <w:vAlign w:val="center"/>
          </w:tcPr>
          <w:p>
            <w:pPr>
              <w:pStyle w:val="12"/>
            </w:pPr>
            <w:r>
              <w:t>≥95%</w:t>
            </w:r>
          </w:p>
        </w:tc>
        <w:tc>
          <w:tcPr>
            <w:tcW w:w="1276" w:type="dxa"/>
            <w:vAlign w:val="center"/>
          </w:tcPr>
          <w:p>
            <w:pPr>
              <w:pStyle w:val="12"/>
            </w:pPr>
            <w:r>
              <w:t>冀财建【2024】274号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3、冀财教【2024】127号关于提前下达2025年支持市县科技创新和科学普及专项资金绩效目标表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13032225P002167100015</w:t>
            </w:r>
          </w:p>
        </w:tc>
        <w:tc>
          <w:tcPr>
            <w:tcW w:w="2835" w:type="dxa"/>
            <w:vAlign w:val="center"/>
          </w:tcPr>
          <w:p>
            <w:pPr>
              <w:pStyle w:val="10"/>
            </w:pPr>
            <w:r>
              <w:t>项目名称</w:t>
            </w:r>
          </w:p>
        </w:tc>
        <w:tc>
          <w:tcPr>
            <w:tcW w:w="6095" w:type="dxa"/>
            <w:gridSpan w:val="3"/>
            <w:vAlign w:val="center"/>
          </w:tcPr>
          <w:p>
            <w:pPr>
              <w:pStyle w:val="12"/>
            </w:pPr>
            <w:r>
              <w:t>冀财教【2024】127号关于提前下达2025年支持市县科技创新和科学普及专项资金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19.93</w:t>
            </w:r>
          </w:p>
        </w:tc>
        <w:tc>
          <w:tcPr>
            <w:tcW w:w="2835" w:type="dxa"/>
            <w:vAlign w:val="center"/>
          </w:tcPr>
          <w:p>
            <w:pPr>
              <w:pStyle w:val="10"/>
            </w:pPr>
            <w:r>
              <w:t>其中：财政    资金</w:t>
            </w:r>
          </w:p>
        </w:tc>
        <w:tc>
          <w:tcPr>
            <w:tcW w:w="2551" w:type="dxa"/>
            <w:vAlign w:val="center"/>
          </w:tcPr>
          <w:p>
            <w:pPr>
              <w:pStyle w:val="12"/>
            </w:pPr>
            <w:r>
              <w:t>19.93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科技创新和科学普及专项资金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1.提升县域科技创新能力，推动县域经济高质量发展。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奖励下发额度</w:t>
            </w:r>
          </w:p>
        </w:tc>
        <w:tc>
          <w:tcPr>
            <w:tcW w:w="5386" w:type="dxa"/>
            <w:vAlign w:val="center"/>
          </w:tcPr>
          <w:p>
            <w:pPr>
              <w:pStyle w:val="12"/>
            </w:pPr>
            <w:r>
              <w:t>2024年1家相关企业研发费用补助资金4.9263万元，3家省级科技特派员工作站15万元，共计19.9263万元。</w:t>
            </w:r>
          </w:p>
        </w:tc>
        <w:tc>
          <w:tcPr>
            <w:tcW w:w="2268" w:type="dxa"/>
            <w:vAlign w:val="center"/>
          </w:tcPr>
          <w:p>
            <w:pPr>
              <w:pStyle w:val="12"/>
            </w:pPr>
            <w:r>
              <w:t>19.92万元</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奖励单位数量</w:t>
            </w:r>
          </w:p>
        </w:tc>
        <w:tc>
          <w:tcPr>
            <w:tcW w:w="5386" w:type="dxa"/>
            <w:vAlign w:val="center"/>
          </w:tcPr>
          <w:p>
            <w:pPr>
              <w:pStyle w:val="12"/>
            </w:pPr>
            <w:r>
              <w:t>发放奖励单位数量</w:t>
            </w:r>
          </w:p>
        </w:tc>
        <w:tc>
          <w:tcPr>
            <w:tcW w:w="2268" w:type="dxa"/>
            <w:vAlign w:val="center"/>
          </w:tcPr>
          <w:p>
            <w:pPr>
              <w:pStyle w:val="12"/>
            </w:pPr>
            <w:r>
              <w:t>4家</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项目资质合格率</w:t>
            </w:r>
          </w:p>
        </w:tc>
        <w:tc>
          <w:tcPr>
            <w:tcW w:w="5386" w:type="dxa"/>
            <w:vAlign w:val="center"/>
          </w:tcPr>
          <w:p>
            <w:pPr>
              <w:pStyle w:val="12"/>
            </w:pPr>
            <w:r>
              <w:t>相关资质取得合格的项目数量占项目总数量的比例</w:t>
            </w:r>
          </w:p>
        </w:tc>
        <w:tc>
          <w:tcPr>
            <w:tcW w:w="2268" w:type="dxa"/>
            <w:vAlign w:val="center"/>
          </w:tcPr>
          <w:p>
            <w:pPr>
              <w:pStyle w:val="12"/>
            </w:pPr>
            <w:r>
              <w:t>≥98%</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及时拨付资金数量占预算资金总数的比例</w:t>
            </w:r>
          </w:p>
        </w:tc>
        <w:tc>
          <w:tcPr>
            <w:tcW w:w="2268" w:type="dxa"/>
            <w:vAlign w:val="center"/>
          </w:tcPr>
          <w:p>
            <w:pPr>
              <w:pStyle w:val="12"/>
            </w:pPr>
            <w:r>
              <w:t>≥98%</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提高当地企业科技含量</w:t>
            </w:r>
          </w:p>
        </w:tc>
        <w:tc>
          <w:tcPr>
            <w:tcW w:w="5386" w:type="dxa"/>
            <w:vAlign w:val="center"/>
          </w:tcPr>
          <w:p>
            <w:pPr>
              <w:pStyle w:val="12"/>
            </w:pPr>
            <w:r>
              <w:t>促进企业使用新技术，提高企业科技研发含量</w:t>
            </w:r>
          </w:p>
        </w:tc>
        <w:tc>
          <w:tcPr>
            <w:tcW w:w="2268" w:type="dxa"/>
            <w:vAlign w:val="center"/>
          </w:tcPr>
          <w:p>
            <w:pPr>
              <w:pStyle w:val="12"/>
            </w:pPr>
            <w:r>
              <w:t>较上年持续提高</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促进企业保持持续创新能力</w:t>
            </w:r>
          </w:p>
        </w:tc>
        <w:tc>
          <w:tcPr>
            <w:tcW w:w="5386" w:type="dxa"/>
            <w:vAlign w:val="center"/>
          </w:tcPr>
          <w:p>
            <w:pPr>
              <w:pStyle w:val="12"/>
            </w:pPr>
            <w:r>
              <w:t>获得支持的企业是否保持持续创新能力</w:t>
            </w:r>
          </w:p>
        </w:tc>
        <w:tc>
          <w:tcPr>
            <w:tcW w:w="2268" w:type="dxa"/>
            <w:vAlign w:val="center"/>
          </w:tcPr>
          <w:p>
            <w:pPr>
              <w:pStyle w:val="12"/>
            </w:pPr>
            <w:r>
              <w:t>≥10年</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增强企业市场竞争力</w:t>
            </w:r>
          </w:p>
        </w:tc>
        <w:tc>
          <w:tcPr>
            <w:tcW w:w="5386" w:type="dxa"/>
            <w:vAlign w:val="center"/>
          </w:tcPr>
          <w:p>
            <w:pPr>
              <w:pStyle w:val="12"/>
            </w:pPr>
            <w:r>
              <w:t>增强企业市场竞争力，提高企业经济经济效益</w:t>
            </w:r>
          </w:p>
        </w:tc>
        <w:tc>
          <w:tcPr>
            <w:tcW w:w="2268" w:type="dxa"/>
            <w:vAlign w:val="center"/>
          </w:tcPr>
          <w:p>
            <w:pPr>
              <w:pStyle w:val="12"/>
            </w:pPr>
            <w:r>
              <w:t>较上年持续增强</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提升县域科技创新能力</w:t>
            </w:r>
          </w:p>
        </w:tc>
        <w:tc>
          <w:tcPr>
            <w:tcW w:w="5386" w:type="dxa"/>
            <w:vAlign w:val="center"/>
          </w:tcPr>
          <w:p>
            <w:pPr>
              <w:pStyle w:val="12"/>
            </w:pPr>
            <w:r>
              <w:t>提升县域科技创新能力，推动县域经济高质量发展</w:t>
            </w:r>
          </w:p>
        </w:tc>
        <w:tc>
          <w:tcPr>
            <w:tcW w:w="2268" w:type="dxa"/>
            <w:vAlign w:val="center"/>
          </w:tcPr>
          <w:p>
            <w:pPr>
              <w:pStyle w:val="12"/>
            </w:pPr>
            <w:r>
              <w:t>较上年持续提升</w:t>
            </w:r>
          </w:p>
        </w:tc>
        <w:tc>
          <w:tcPr>
            <w:tcW w:w="1276" w:type="dxa"/>
            <w:vAlign w:val="center"/>
          </w:tcPr>
          <w:p>
            <w:pPr>
              <w:pStyle w:val="12"/>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企业满意程度</w:t>
            </w:r>
          </w:p>
        </w:tc>
        <w:tc>
          <w:tcPr>
            <w:tcW w:w="5386" w:type="dxa"/>
            <w:vAlign w:val="center"/>
          </w:tcPr>
          <w:p>
            <w:pPr>
              <w:pStyle w:val="12"/>
            </w:pPr>
            <w:r>
              <w:t>经调查满意企业占调查企业总数的比例</w:t>
            </w:r>
          </w:p>
        </w:tc>
        <w:tc>
          <w:tcPr>
            <w:tcW w:w="2268" w:type="dxa"/>
            <w:vAlign w:val="center"/>
          </w:tcPr>
          <w:p>
            <w:pPr>
              <w:pStyle w:val="12"/>
            </w:pPr>
            <w:r>
              <w:t>≥95%</w:t>
            </w:r>
          </w:p>
        </w:tc>
        <w:tc>
          <w:tcPr>
            <w:tcW w:w="1276" w:type="dxa"/>
            <w:vAlign w:val="center"/>
          </w:tcPr>
          <w:p>
            <w:pPr>
              <w:pStyle w:val="12"/>
            </w:pPr>
            <w:r>
              <w:t>冀财教【2024】127号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4、劳务派遣人员支出绩效目标表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13032225P00233310027M</w:t>
            </w:r>
          </w:p>
        </w:tc>
        <w:tc>
          <w:tcPr>
            <w:tcW w:w="2835" w:type="dxa"/>
            <w:vAlign w:val="center"/>
          </w:tcPr>
          <w:p>
            <w:pPr>
              <w:pStyle w:val="10"/>
            </w:pPr>
            <w:r>
              <w:t>项目名称</w:t>
            </w:r>
          </w:p>
        </w:tc>
        <w:tc>
          <w:tcPr>
            <w:tcW w:w="6095" w:type="dxa"/>
            <w:gridSpan w:val="3"/>
            <w:vAlign w:val="center"/>
          </w:tcPr>
          <w:p>
            <w:pPr>
              <w:pStyle w:val="12"/>
            </w:pPr>
            <w:r>
              <w:t>劳务派遣人员支出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20.50</w:t>
            </w:r>
          </w:p>
        </w:tc>
        <w:tc>
          <w:tcPr>
            <w:tcW w:w="2835" w:type="dxa"/>
            <w:vAlign w:val="center"/>
          </w:tcPr>
          <w:p>
            <w:pPr>
              <w:pStyle w:val="10"/>
            </w:pPr>
            <w:r>
              <w:t>其中：财政    资金</w:t>
            </w:r>
          </w:p>
        </w:tc>
        <w:tc>
          <w:tcPr>
            <w:tcW w:w="2551" w:type="dxa"/>
            <w:vAlign w:val="center"/>
          </w:tcPr>
          <w:p>
            <w:pPr>
              <w:pStyle w:val="12"/>
            </w:pPr>
            <w:r>
              <w:t>20.50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劳务派遣人员工资及保险等支出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职工取暖费补助标准</w:t>
            </w:r>
          </w:p>
        </w:tc>
        <w:tc>
          <w:tcPr>
            <w:tcW w:w="5386" w:type="dxa"/>
            <w:vAlign w:val="center"/>
          </w:tcPr>
          <w:p>
            <w:pPr>
              <w:pStyle w:val="12"/>
            </w:pPr>
            <w:r>
              <w:t>职工住宅取暖补贴的年补助标准</w:t>
            </w:r>
          </w:p>
        </w:tc>
        <w:tc>
          <w:tcPr>
            <w:tcW w:w="2268" w:type="dxa"/>
            <w:vAlign w:val="center"/>
          </w:tcPr>
          <w:p>
            <w:pPr>
              <w:pStyle w:val="12"/>
            </w:pPr>
            <w:r>
              <w:t>2500元</w:t>
            </w:r>
          </w:p>
        </w:tc>
        <w:tc>
          <w:tcPr>
            <w:tcW w:w="1276" w:type="dxa"/>
            <w:vAlign w:val="center"/>
          </w:tcPr>
          <w:p>
            <w:pPr>
              <w:pStyle w:val="12"/>
            </w:pPr>
            <w:r>
              <w:t>取暖费补助标准（昌财【2018】41号）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人员经费到位率</w:t>
            </w:r>
          </w:p>
        </w:tc>
        <w:tc>
          <w:tcPr>
            <w:tcW w:w="5386" w:type="dxa"/>
            <w:vAlign w:val="center"/>
          </w:tcPr>
          <w:p>
            <w:pPr>
              <w:pStyle w:val="12"/>
            </w:pPr>
            <w:r>
              <w:t>人员经费到位的比例</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住宅取暖补贴领取人数</w:t>
            </w:r>
          </w:p>
        </w:tc>
        <w:tc>
          <w:tcPr>
            <w:tcW w:w="5386" w:type="dxa"/>
            <w:vAlign w:val="center"/>
          </w:tcPr>
          <w:p>
            <w:pPr>
              <w:pStyle w:val="12"/>
            </w:pPr>
            <w:r>
              <w:t>单位领取住宅取暖补贴的人数</w:t>
            </w:r>
          </w:p>
        </w:tc>
        <w:tc>
          <w:tcPr>
            <w:tcW w:w="2268" w:type="dxa"/>
            <w:vAlign w:val="center"/>
          </w:tcPr>
          <w:p>
            <w:pPr>
              <w:pStyle w:val="12"/>
            </w:pPr>
            <w:r>
              <w:t>≥3人</w:t>
            </w:r>
          </w:p>
        </w:tc>
        <w:tc>
          <w:tcPr>
            <w:tcW w:w="1276" w:type="dxa"/>
            <w:vAlign w:val="center"/>
          </w:tcPr>
          <w:p>
            <w:pPr>
              <w:pStyle w:val="12"/>
            </w:pPr>
            <w:r>
              <w:t>单位人数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厉行节约，降低能耗，实现绿色办公</w:t>
            </w:r>
          </w:p>
        </w:tc>
        <w:tc>
          <w:tcPr>
            <w:tcW w:w="2268" w:type="dxa"/>
            <w:vAlign w:val="center"/>
          </w:tcPr>
          <w:p>
            <w:pPr>
              <w:pStyle w:val="12"/>
            </w:pPr>
            <w:r>
              <w:t>较上年降低</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昌黎县科技和工业信息化局本级上年末固定资产金额为0.00万元（详见下表）。本年度拟购置固定资产总额为0.00万元，已按要求列入政府采购预算，详见政府采购预算表。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306001昌黎县科技和工业信息化局本级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E70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2025-01-20T11:14:00Z</dcterms:created>
  <dc:creator>Administrator</dc:creator>
  <cp:lastModifiedBy>Administrator</cp:lastModifiedBy>
  <dcterms:modified xsi:type="dcterms:W3CDTF">2025-01-20T03:34:16Z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2B49BDE457DC436FB7E9B0500350D024</vt:lpwstr>
  </property>
</Properties>
</file>