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bookmarkStart w:id="0" w:name="_GoBack"/>
      <w:bookmarkEnd w:id="0"/>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60</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60</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61</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62</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357昌黎县旅游和文化广电局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1600.46</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1814.86</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1600.46</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1814.86</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214.40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1814.86</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1814.86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357昌黎县旅游和文化广电局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1814.86</w:t>
            </w:r>
          </w:p>
        </w:tc>
        <w:tc>
          <w:tcPr>
            <w:tcW w:w="1134" w:type="dxa"/>
            <w:tcBorders>
              <w:top w:val="single" w:sz="6" w:space="0" w:color="auto"/>
              <w:left w:val="single" w:sz="6" w:space="0" w:color="auto"/>
              <w:right w:val="single" w:sz="6" w:space="0" w:color="auto"/>
            </w:tcBorders>
            <w:vAlign w:val="center"/>
          </w:tcPr>
          <w:p>
            <w:pPr>
              <w:pStyle w:val="23"/>
            </w:pPr>
            <w:r>
              <w:t>1600.46</w:t>
            </w:r>
          </w:p>
        </w:tc>
        <w:tc>
          <w:tcPr>
            <w:tcW w:w="1134" w:type="dxa"/>
            <w:tcBorders>
              <w:top w:val="single" w:sz="6" w:space="0" w:color="auto"/>
              <w:left w:val="single" w:sz="6" w:space="0" w:color="auto"/>
              <w:right w:val="single" w:sz="6" w:space="0" w:color="auto"/>
            </w:tcBorders>
            <w:vAlign w:val="center"/>
          </w:tcPr>
          <w:p>
            <w:pPr>
              <w:pStyle w:val="23"/>
            </w:pPr>
            <w:r>
              <w:t>1600.46</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214.40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1814.86</w:t>
            </w:r>
          </w:p>
        </w:tc>
        <w:tc>
          <w:tcPr>
            <w:tcW w:w="1134" w:type="dxa"/>
            <w:tcBorders>
              <w:top w:val="single" w:sz="6" w:space="0" w:color="auto"/>
              <w:left w:val="single" w:sz="6" w:space="0" w:color="auto"/>
              <w:right w:val="single" w:sz="6" w:space="0" w:color="auto"/>
            </w:tcBorders>
            <w:vAlign w:val="center"/>
          </w:tcPr>
          <w:p>
            <w:pPr>
              <w:pStyle w:val="19"/>
            </w:pPr>
            <w:r>
              <w:t>1600.46</w:t>
            </w:r>
          </w:p>
        </w:tc>
        <w:tc>
          <w:tcPr>
            <w:tcW w:w="1134" w:type="dxa"/>
            <w:tcBorders>
              <w:top w:val="single" w:sz="6" w:space="0" w:color="auto"/>
              <w:left w:val="single" w:sz="6" w:space="0" w:color="auto"/>
              <w:right w:val="single" w:sz="6" w:space="0" w:color="auto"/>
            </w:tcBorders>
            <w:vAlign w:val="center"/>
          </w:tcPr>
          <w:p>
            <w:pPr>
              <w:pStyle w:val="19"/>
            </w:pPr>
            <w:r>
              <w:t>1600.46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214.40</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1559" w:type="dxa"/>
            <w:tcBorders>
              <w:top w:val="single" w:sz="6" w:space="0" w:color="auto"/>
              <w:left w:val="single" w:sz="6" w:space="0" w:color="auto"/>
              <w:right w:val="single" w:sz="6" w:space="0" w:color="auto"/>
            </w:tcBorders>
            <w:vAlign w:val="center"/>
          </w:tcPr>
          <w:p>
            <w:pPr>
              <w:pStyle w:val="20"/>
            </w:pPr>
            <w:r>
              <w:t>文化和旅游</w:t>
            </w:r>
          </w:p>
        </w:tc>
        <w:tc>
          <w:tcPr>
            <w:tcW w:w="1134" w:type="dxa"/>
            <w:tcBorders>
              <w:top w:val="single" w:sz="6" w:space="0" w:color="auto"/>
              <w:left w:val="single" w:sz="6" w:space="0" w:color="auto"/>
              <w:right w:val="single" w:sz="6" w:space="0" w:color="auto"/>
            </w:tcBorders>
            <w:vAlign w:val="center"/>
          </w:tcPr>
          <w:p>
            <w:pPr>
              <w:pStyle w:val="19"/>
            </w:pPr>
            <w:r>
              <w:t>1152.53</w:t>
            </w:r>
          </w:p>
        </w:tc>
        <w:tc>
          <w:tcPr>
            <w:tcW w:w="1134" w:type="dxa"/>
            <w:tcBorders>
              <w:top w:val="single" w:sz="6" w:space="0" w:color="auto"/>
              <w:left w:val="single" w:sz="6" w:space="0" w:color="auto"/>
              <w:right w:val="single" w:sz="6" w:space="0" w:color="auto"/>
            </w:tcBorders>
            <w:vAlign w:val="center"/>
          </w:tcPr>
          <w:p>
            <w:pPr>
              <w:pStyle w:val="19"/>
            </w:pPr>
            <w:r>
              <w:t>1076.53</w:t>
            </w:r>
          </w:p>
        </w:tc>
        <w:tc>
          <w:tcPr>
            <w:tcW w:w="1134" w:type="dxa"/>
            <w:tcBorders>
              <w:top w:val="single" w:sz="6" w:space="0" w:color="auto"/>
              <w:left w:val="single" w:sz="6" w:space="0" w:color="auto"/>
              <w:right w:val="single" w:sz="6" w:space="0" w:color="auto"/>
            </w:tcBorders>
            <w:vAlign w:val="center"/>
          </w:tcPr>
          <w:p>
            <w:pPr>
              <w:pStyle w:val="19"/>
            </w:pPr>
            <w:r>
              <w:t>1076.53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76.00</w:t>
            </w: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268.39</w:t>
            </w:r>
          </w:p>
        </w:tc>
        <w:tc>
          <w:tcPr>
            <w:tcW w:w="1134" w:type="dxa"/>
            <w:tcBorders>
              <w:top w:val="single" w:sz="6" w:space="0" w:color="auto"/>
              <w:left w:val="single" w:sz="6" w:space="0" w:color="auto"/>
              <w:right w:val="single" w:sz="6" w:space="0" w:color="auto"/>
            </w:tcBorders>
            <w:vAlign w:val="center"/>
          </w:tcPr>
          <w:p>
            <w:pPr>
              <w:pStyle w:val="19"/>
            </w:pPr>
            <w:r>
              <w:t>268.39</w:t>
            </w:r>
          </w:p>
        </w:tc>
        <w:tc>
          <w:tcPr>
            <w:tcW w:w="1134" w:type="dxa"/>
            <w:tcBorders>
              <w:top w:val="single" w:sz="6" w:space="0" w:color="auto"/>
              <w:left w:val="single" w:sz="6" w:space="0" w:color="auto"/>
              <w:right w:val="single" w:sz="6" w:space="0" w:color="auto"/>
            </w:tcBorders>
            <w:vAlign w:val="center"/>
          </w:tcPr>
          <w:p>
            <w:pPr>
              <w:pStyle w:val="19"/>
            </w:pPr>
            <w:r>
              <w:t>268.39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2070104</w:t>
            </w:r>
          </w:p>
        </w:tc>
        <w:tc>
          <w:tcPr>
            <w:tcW w:w="1559" w:type="dxa"/>
            <w:tcBorders>
              <w:top w:val="single" w:sz="6" w:space="0" w:color="auto"/>
              <w:left w:val="single" w:sz="6" w:space="0" w:color="auto"/>
              <w:right w:val="single" w:sz="6" w:space="0" w:color="auto"/>
            </w:tcBorders>
            <w:vAlign w:val="center"/>
          </w:tcPr>
          <w:p>
            <w:pPr>
              <w:pStyle w:val="20"/>
            </w:pPr>
            <w:r>
              <w:t>图书馆</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2070107</w:t>
            </w:r>
          </w:p>
        </w:tc>
        <w:tc>
          <w:tcPr>
            <w:tcW w:w="1559" w:type="dxa"/>
            <w:tcBorders>
              <w:top w:val="single" w:sz="6" w:space="0" w:color="auto"/>
              <w:left w:val="single" w:sz="6" w:space="0" w:color="auto"/>
              <w:right w:val="single" w:sz="6" w:space="0" w:color="auto"/>
            </w:tcBorders>
            <w:vAlign w:val="center"/>
          </w:tcPr>
          <w:p>
            <w:pPr>
              <w:pStyle w:val="20"/>
            </w:pPr>
            <w:r>
              <w:t>艺术表演团体</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2070109</w:t>
            </w:r>
          </w:p>
        </w:tc>
        <w:tc>
          <w:tcPr>
            <w:tcW w:w="1559" w:type="dxa"/>
            <w:tcBorders>
              <w:top w:val="single" w:sz="6" w:space="0" w:color="auto"/>
              <w:left w:val="single" w:sz="6" w:space="0" w:color="auto"/>
              <w:right w:val="single" w:sz="6" w:space="0" w:color="auto"/>
            </w:tcBorders>
            <w:vAlign w:val="center"/>
          </w:tcPr>
          <w:p>
            <w:pPr>
              <w:pStyle w:val="20"/>
            </w:pPr>
            <w:r>
              <w:t>群众文化</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2070111</w:t>
            </w:r>
          </w:p>
        </w:tc>
        <w:tc>
          <w:tcPr>
            <w:tcW w:w="1559" w:type="dxa"/>
            <w:tcBorders>
              <w:top w:val="single" w:sz="6" w:space="0" w:color="auto"/>
              <w:left w:val="single" w:sz="6" w:space="0" w:color="auto"/>
              <w:right w:val="single" w:sz="6" w:space="0" w:color="auto"/>
            </w:tcBorders>
            <w:vAlign w:val="center"/>
          </w:tcPr>
          <w:p>
            <w:pPr>
              <w:pStyle w:val="20"/>
            </w:pPr>
            <w:r>
              <w:t>文化创作与保护</w:t>
            </w:r>
          </w:p>
        </w:tc>
        <w:tc>
          <w:tcPr>
            <w:tcW w:w="1134" w:type="dxa"/>
            <w:tcBorders>
              <w:top w:val="single" w:sz="6" w:space="0" w:color="auto"/>
              <w:left w:val="single" w:sz="6" w:space="0" w:color="auto"/>
              <w:right w:val="single" w:sz="6" w:space="0" w:color="auto"/>
            </w:tcBorders>
            <w:vAlign w:val="center"/>
          </w:tcPr>
          <w:p>
            <w:pPr>
              <w:pStyle w:val="19"/>
            </w:pPr>
            <w:r>
              <w:t>76.00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76.00</w:t>
            </w: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2070199</w:t>
            </w:r>
          </w:p>
        </w:tc>
        <w:tc>
          <w:tcPr>
            <w:tcW w:w="1559" w:type="dxa"/>
            <w:tcBorders>
              <w:top w:val="single" w:sz="6" w:space="0" w:color="auto"/>
              <w:left w:val="single" w:sz="6" w:space="0" w:color="auto"/>
              <w:right w:val="single" w:sz="6" w:space="0" w:color="auto"/>
            </w:tcBorders>
            <w:vAlign w:val="center"/>
          </w:tcPr>
          <w:p>
            <w:pPr>
              <w:pStyle w:val="20"/>
            </w:pPr>
            <w:r>
              <w:t>其他文化和旅游支出</w:t>
            </w:r>
          </w:p>
        </w:tc>
        <w:tc>
          <w:tcPr>
            <w:tcW w:w="1134" w:type="dxa"/>
            <w:tcBorders>
              <w:top w:val="single" w:sz="6" w:space="0" w:color="auto"/>
              <w:left w:val="single" w:sz="6" w:space="0" w:color="auto"/>
              <w:right w:val="single" w:sz="6" w:space="0" w:color="auto"/>
            </w:tcBorders>
            <w:vAlign w:val="center"/>
          </w:tcPr>
          <w:p>
            <w:pPr>
              <w:pStyle w:val="19"/>
            </w:pPr>
            <w:r>
              <w:t>465.06</w:t>
            </w:r>
          </w:p>
        </w:tc>
        <w:tc>
          <w:tcPr>
            <w:tcW w:w="1134" w:type="dxa"/>
            <w:tcBorders>
              <w:top w:val="single" w:sz="6" w:space="0" w:color="auto"/>
              <w:left w:val="single" w:sz="6" w:space="0" w:color="auto"/>
              <w:right w:val="single" w:sz="6" w:space="0" w:color="auto"/>
            </w:tcBorders>
            <w:vAlign w:val="center"/>
          </w:tcPr>
          <w:p>
            <w:pPr>
              <w:pStyle w:val="19"/>
            </w:pPr>
            <w:r>
              <w:t>465.06</w:t>
            </w:r>
          </w:p>
        </w:tc>
        <w:tc>
          <w:tcPr>
            <w:tcW w:w="1134" w:type="dxa"/>
            <w:tcBorders>
              <w:top w:val="single" w:sz="6" w:space="0" w:color="auto"/>
              <w:left w:val="single" w:sz="6" w:space="0" w:color="auto"/>
              <w:right w:val="single" w:sz="6" w:space="0" w:color="auto"/>
            </w:tcBorders>
            <w:vAlign w:val="center"/>
          </w:tcPr>
          <w:p>
            <w:pPr>
              <w:pStyle w:val="19"/>
            </w:pPr>
            <w:r>
              <w:t>465.06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20702</w:t>
            </w:r>
          </w:p>
        </w:tc>
        <w:tc>
          <w:tcPr>
            <w:tcW w:w="1559" w:type="dxa"/>
            <w:tcBorders>
              <w:top w:val="single" w:sz="6" w:space="0" w:color="auto"/>
              <w:left w:val="single" w:sz="6" w:space="0" w:color="auto"/>
              <w:right w:val="single" w:sz="6" w:space="0" w:color="auto"/>
            </w:tcBorders>
            <w:vAlign w:val="center"/>
          </w:tcPr>
          <w:p>
            <w:pPr>
              <w:pStyle w:val="20"/>
            </w:pPr>
            <w:r>
              <w:t>文物</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2070299</w:t>
            </w:r>
          </w:p>
        </w:tc>
        <w:tc>
          <w:tcPr>
            <w:tcW w:w="1559" w:type="dxa"/>
            <w:tcBorders>
              <w:top w:val="single" w:sz="6" w:space="0" w:color="auto"/>
              <w:left w:val="single" w:sz="6" w:space="0" w:color="auto"/>
              <w:right w:val="single" w:sz="6" w:space="0" w:color="auto"/>
            </w:tcBorders>
            <w:vAlign w:val="center"/>
          </w:tcPr>
          <w:p>
            <w:pPr>
              <w:pStyle w:val="20"/>
            </w:pPr>
            <w:r>
              <w:t>其他文物支出</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539.19</w:t>
            </w:r>
          </w:p>
        </w:tc>
        <w:tc>
          <w:tcPr>
            <w:tcW w:w="1134" w:type="dxa"/>
            <w:tcBorders>
              <w:top w:val="single" w:sz="6" w:space="0" w:color="auto"/>
              <w:left w:val="single" w:sz="6" w:space="0" w:color="auto"/>
              <w:right w:val="single" w:sz="6" w:space="0" w:color="auto"/>
            </w:tcBorders>
            <w:vAlign w:val="center"/>
          </w:tcPr>
          <w:p>
            <w:pPr>
              <w:pStyle w:val="19"/>
            </w:pPr>
            <w:r>
              <w:t>400.79</w:t>
            </w:r>
          </w:p>
        </w:tc>
        <w:tc>
          <w:tcPr>
            <w:tcW w:w="1134" w:type="dxa"/>
            <w:tcBorders>
              <w:top w:val="single" w:sz="6" w:space="0" w:color="auto"/>
              <w:left w:val="single" w:sz="6" w:space="0" w:color="auto"/>
              <w:right w:val="single" w:sz="6" w:space="0" w:color="auto"/>
            </w:tcBorders>
            <w:vAlign w:val="center"/>
          </w:tcPr>
          <w:p>
            <w:pPr>
              <w:pStyle w:val="19"/>
            </w:pPr>
            <w:r>
              <w:t>400.79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138.40</w:t>
            </w: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539.19</w:t>
            </w:r>
          </w:p>
        </w:tc>
        <w:tc>
          <w:tcPr>
            <w:tcW w:w="1134" w:type="dxa"/>
            <w:tcBorders>
              <w:top w:val="single" w:sz="6" w:space="0" w:color="auto"/>
              <w:left w:val="single" w:sz="6" w:space="0" w:color="auto"/>
              <w:right w:val="single" w:sz="6" w:space="0" w:color="auto"/>
            </w:tcBorders>
            <w:vAlign w:val="center"/>
          </w:tcPr>
          <w:p>
            <w:pPr>
              <w:pStyle w:val="19"/>
            </w:pPr>
            <w:r>
              <w:t>400.79</w:t>
            </w:r>
          </w:p>
        </w:tc>
        <w:tc>
          <w:tcPr>
            <w:tcW w:w="1134" w:type="dxa"/>
            <w:tcBorders>
              <w:top w:val="single" w:sz="6" w:space="0" w:color="auto"/>
              <w:left w:val="single" w:sz="6" w:space="0" w:color="auto"/>
              <w:right w:val="single" w:sz="6" w:space="0" w:color="auto"/>
            </w:tcBorders>
            <w:vAlign w:val="center"/>
          </w:tcPr>
          <w:p>
            <w:pPr>
              <w:pStyle w:val="19"/>
            </w:pPr>
            <w:r>
              <w:t>400.79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138.40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357昌黎县旅游和文化广电局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1814.86</w:t>
            </w:r>
          </w:p>
        </w:tc>
        <w:tc>
          <w:tcPr>
            <w:tcW w:w="1361" w:type="dxa"/>
            <w:tcBorders>
              <w:top w:val="single" w:sz="6" w:space="0" w:color="auto"/>
              <w:left w:val="single" w:sz="6" w:space="0" w:color="auto"/>
              <w:right w:val="single" w:sz="6" w:space="0" w:color="auto"/>
            </w:tcBorders>
            <w:vAlign w:val="center"/>
          </w:tcPr>
          <w:p>
            <w:pPr>
              <w:pStyle w:val="23"/>
            </w:pPr>
            <w:r>
              <w:t>1028.17</w:t>
            </w:r>
          </w:p>
        </w:tc>
        <w:tc>
          <w:tcPr>
            <w:tcW w:w="1361" w:type="dxa"/>
            <w:tcBorders>
              <w:top w:val="single" w:sz="6" w:space="0" w:color="auto"/>
              <w:left w:val="single" w:sz="6" w:space="0" w:color="auto"/>
              <w:right w:val="single" w:sz="6" w:space="0" w:color="auto"/>
            </w:tcBorders>
            <w:vAlign w:val="center"/>
          </w:tcPr>
          <w:p>
            <w:pPr>
              <w:pStyle w:val="23"/>
            </w:pPr>
            <w:r>
              <w:t>786.69</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1814.86</w:t>
            </w:r>
          </w:p>
        </w:tc>
        <w:tc>
          <w:tcPr>
            <w:tcW w:w="1361" w:type="dxa"/>
            <w:tcBorders>
              <w:top w:val="single" w:sz="6" w:space="0" w:color="auto"/>
              <w:left w:val="single" w:sz="6" w:space="0" w:color="auto"/>
              <w:right w:val="single" w:sz="6" w:space="0" w:color="auto"/>
            </w:tcBorders>
            <w:vAlign w:val="center"/>
          </w:tcPr>
          <w:p>
            <w:pPr>
              <w:pStyle w:val="19"/>
            </w:pPr>
            <w:r>
              <w:t>1028.17</w:t>
            </w:r>
          </w:p>
        </w:tc>
        <w:tc>
          <w:tcPr>
            <w:tcW w:w="1361" w:type="dxa"/>
            <w:tcBorders>
              <w:top w:val="single" w:sz="6" w:space="0" w:color="auto"/>
              <w:left w:val="single" w:sz="6" w:space="0" w:color="auto"/>
              <w:right w:val="single" w:sz="6" w:space="0" w:color="auto"/>
            </w:tcBorders>
            <w:vAlign w:val="center"/>
          </w:tcPr>
          <w:p>
            <w:pPr>
              <w:pStyle w:val="19"/>
            </w:pPr>
            <w:r>
              <w:t>786.69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1361" w:type="dxa"/>
            <w:tcBorders>
              <w:top w:val="single" w:sz="6" w:space="0" w:color="auto"/>
              <w:left w:val="single" w:sz="6" w:space="0" w:color="auto"/>
              <w:right w:val="single" w:sz="6" w:space="0" w:color="auto"/>
            </w:tcBorders>
            <w:vAlign w:val="center"/>
          </w:tcPr>
          <w:p>
            <w:pPr>
              <w:pStyle w:val="19"/>
            </w:pPr>
            <w:r>
              <w:t>1152.53</w:t>
            </w:r>
          </w:p>
        </w:tc>
        <w:tc>
          <w:tcPr>
            <w:tcW w:w="1361" w:type="dxa"/>
            <w:tcBorders>
              <w:top w:val="single" w:sz="6" w:space="0" w:color="auto"/>
              <w:left w:val="single" w:sz="6" w:space="0" w:color="auto"/>
              <w:right w:val="single" w:sz="6" w:space="0" w:color="auto"/>
            </w:tcBorders>
            <w:vAlign w:val="center"/>
          </w:tcPr>
          <w:p>
            <w:pPr>
              <w:pStyle w:val="19"/>
            </w:pPr>
            <w:r>
              <w:t>905.03</w:t>
            </w:r>
          </w:p>
        </w:tc>
        <w:tc>
          <w:tcPr>
            <w:tcW w:w="1361" w:type="dxa"/>
            <w:tcBorders>
              <w:top w:val="single" w:sz="6" w:space="0" w:color="auto"/>
              <w:left w:val="single" w:sz="6" w:space="0" w:color="auto"/>
              <w:right w:val="single" w:sz="6" w:space="0" w:color="auto"/>
            </w:tcBorders>
            <w:vAlign w:val="center"/>
          </w:tcPr>
          <w:p>
            <w:pPr>
              <w:pStyle w:val="19"/>
            </w:pPr>
            <w:r>
              <w:t>247.50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268.39</w:t>
            </w:r>
          </w:p>
        </w:tc>
        <w:tc>
          <w:tcPr>
            <w:tcW w:w="1361" w:type="dxa"/>
            <w:tcBorders>
              <w:top w:val="single" w:sz="6" w:space="0" w:color="auto"/>
              <w:left w:val="single" w:sz="6" w:space="0" w:color="auto"/>
              <w:right w:val="single" w:sz="6" w:space="0" w:color="auto"/>
            </w:tcBorders>
            <w:vAlign w:val="center"/>
          </w:tcPr>
          <w:p>
            <w:pPr>
              <w:pStyle w:val="19"/>
            </w:pPr>
            <w:r>
              <w:t>268.39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2070104</w:t>
            </w:r>
          </w:p>
        </w:tc>
        <w:tc>
          <w:tcPr>
            <w:tcW w:w="4535" w:type="dxa"/>
            <w:tcBorders>
              <w:top w:val="single" w:sz="6" w:space="0" w:color="auto"/>
              <w:left w:val="single" w:sz="6" w:space="0" w:color="auto"/>
              <w:right w:val="single" w:sz="6" w:space="0" w:color="auto"/>
            </w:tcBorders>
            <w:vAlign w:val="center"/>
          </w:tcPr>
          <w:p>
            <w:pPr>
              <w:pStyle w:val="20"/>
            </w:pPr>
            <w:r>
              <w:t>图书馆</w:t>
            </w:r>
          </w:p>
        </w:tc>
        <w:tc>
          <w:tcPr>
            <w:tcW w:w="1361" w:type="dxa"/>
            <w:tcBorders>
              <w:top w:val="single" w:sz="6" w:space="0" w:color="auto"/>
              <w:left w:val="single" w:sz="6" w:space="0" w:color="auto"/>
              <w:right w:val="single" w:sz="6" w:space="0" w:color="auto"/>
            </w:tcBorders>
            <w:vAlign w:val="center"/>
          </w:tcPr>
          <w:p>
            <w:pPr>
              <w:pStyle w:val="19"/>
            </w:pPr>
            <w:r>
              <w:t>152.57</w:t>
            </w:r>
          </w:p>
        </w:tc>
        <w:tc>
          <w:tcPr>
            <w:tcW w:w="1361" w:type="dxa"/>
            <w:tcBorders>
              <w:top w:val="single" w:sz="6" w:space="0" w:color="auto"/>
              <w:left w:val="single" w:sz="6" w:space="0" w:color="auto"/>
              <w:right w:val="single" w:sz="6" w:space="0" w:color="auto"/>
            </w:tcBorders>
            <w:vAlign w:val="center"/>
          </w:tcPr>
          <w:p>
            <w:pPr>
              <w:pStyle w:val="19"/>
            </w:pPr>
            <w:r>
              <w:t>146.57</w:t>
            </w:r>
          </w:p>
        </w:tc>
        <w:tc>
          <w:tcPr>
            <w:tcW w:w="1361" w:type="dxa"/>
            <w:tcBorders>
              <w:top w:val="single" w:sz="6" w:space="0" w:color="auto"/>
              <w:left w:val="single" w:sz="6" w:space="0" w:color="auto"/>
              <w:right w:val="single" w:sz="6" w:space="0" w:color="auto"/>
            </w:tcBorders>
            <w:vAlign w:val="center"/>
          </w:tcPr>
          <w:p>
            <w:pPr>
              <w:pStyle w:val="19"/>
            </w:pPr>
            <w:r>
              <w:t>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2070107</w:t>
            </w:r>
          </w:p>
        </w:tc>
        <w:tc>
          <w:tcPr>
            <w:tcW w:w="4535" w:type="dxa"/>
            <w:tcBorders>
              <w:top w:val="single" w:sz="6" w:space="0" w:color="auto"/>
              <w:left w:val="single" w:sz="6" w:space="0" w:color="auto"/>
              <w:right w:val="single" w:sz="6" w:space="0" w:color="auto"/>
            </w:tcBorders>
            <w:vAlign w:val="center"/>
          </w:tcPr>
          <w:p>
            <w:pPr>
              <w:pStyle w:val="20"/>
            </w:pPr>
            <w:r>
              <w:t>艺术表演团体</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2070109</w:t>
            </w:r>
          </w:p>
        </w:tc>
        <w:tc>
          <w:tcPr>
            <w:tcW w:w="4535" w:type="dxa"/>
            <w:tcBorders>
              <w:top w:val="single" w:sz="6" w:space="0" w:color="auto"/>
              <w:left w:val="single" w:sz="6" w:space="0" w:color="auto"/>
              <w:right w:val="single" w:sz="6" w:space="0" w:color="auto"/>
            </w:tcBorders>
            <w:vAlign w:val="center"/>
          </w:tcPr>
          <w:p>
            <w:pPr>
              <w:pStyle w:val="20"/>
            </w:pPr>
            <w:r>
              <w:t>群众文化</w:t>
            </w:r>
          </w:p>
        </w:tc>
        <w:tc>
          <w:tcPr>
            <w:tcW w:w="1361" w:type="dxa"/>
            <w:tcBorders>
              <w:top w:val="single" w:sz="6" w:space="0" w:color="auto"/>
              <w:left w:val="single" w:sz="6" w:space="0" w:color="auto"/>
              <w:right w:val="single" w:sz="6" w:space="0" w:color="auto"/>
            </w:tcBorders>
            <w:vAlign w:val="center"/>
          </w:tcPr>
          <w:p>
            <w:pPr>
              <w:pStyle w:val="19"/>
            </w:pPr>
            <w:r>
              <w:t>117.19</w:t>
            </w:r>
          </w:p>
        </w:tc>
        <w:tc>
          <w:tcPr>
            <w:tcW w:w="1361" w:type="dxa"/>
            <w:tcBorders>
              <w:top w:val="single" w:sz="6" w:space="0" w:color="auto"/>
              <w:left w:val="single" w:sz="6" w:space="0" w:color="auto"/>
              <w:right w:val="single" w:sz="6" w:space="0" w:color="auto"/>
            </w:tcBorders>
            <w:vAlign w:val="center"/>
          </w:tcPr>
          <w:p>
            <w:pPr>
              <w:pStyle w:val="19"/>
            </w:pPr>
            <w:r>
              <w:t>117.19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2070111</w:t>
            </w:r>
          </w:p>
        </w:tc>
        <w:tc>
          <w:tcPr>
            <w:tcW w:w="4535" w:type="dxa"/>
            <w:tcBorders>
              <w:top w:val="single" w:sz="6" w:space="0" w:color="auto"/>
              <w:left w:val="single" w:sz="6" w:space="0" w:color="auto"/>
              <w:right w:val="single" w:sz="6" w:space="0" w:color="auto"/>
            </w:tcBorders>
            <w:vAlign w:val="center"/>
          </w:tcPr>
          <w:p>
            <w:pPr>
              <w:pStyle w:val="20"/>
            </w:pPr>
            <w:r>
              <w:t>文化创作与保护</w:t>
            </w:r>
          </w:p>
        </w:tc>
        <w:tc>
          <w:tcPr>
            <w:tcW w:w="1361" w:type="dxa"/>
            <w:tcBorders>
              <w:top w:val="single" w:sz="6" w:space="0" w:color="auto"/>
              <w:left w:val="single" w:sz="6" w:space="0" w:color="auto"/>
              <w:right w:val="single" w:sz="6" w:space="0" w:color="auto"/>
            </w:tcBorders>
            <w:vAlign w:val="center"/>
          </w:tcPr>
          <w:p>
            <w:pPr>
              <w:pStyle w:val="19"/>
            </w:pPr>
            <w:r>
              <w:t>76.00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2070199</w:t>
            </w:r>
          </w:p>
        </w:tc>
        <w:tc>
          <w:tcPr>
            <w:tcW w:w="4535" w:type="dxa"/>
            <w:tcBorders>
              <w:top w:val="single" w:sz="6" w:space="0" w:color="auto"/>
              <w:left w:val="single" w:sz="6" w:space="0" w:color="auto"/>
              <w:right w:val="single" w:sz="6" w:space="0" w:color="auto"/>
            </w:tcBorders>
            <w:vAlign w:val="center"/>
          </w:tcPr>
          <w:p>
            <w:pPr>
              <w:pStyle w:val="20"/>
            </w:pPr>
            <w:r>
              <w:t>其他文化和旅游支出</w:t>
            </w:r>
          </w:p>
        </w:tc>
        <w:tc>
          <w:tcPr>
            <w:tcW w:w="1361" w:type="dxa"/>
            <w:tcBorders>
              <w:top w:val="single" w:sz="6" w:space="0" w:color="auto"/>
              <w:left w:val="single" w:sz="6" w:space="0" w:color="auto"/>
              <w:right w:val="single" w:sz="6" w:space="0" w:color="auto"/>
            </w:tcBorders>
            <w:vAlign w:val="center"/>
          </w:tcPr>
          <w:p>
            <w:pPr>
              <w:pStyle w:val="19"/>
            </w:pPr>
            <w:r>
              <w:t>465.06</w:t>
            </w:r>
          </w:p>
        </w:tc>
        <w:tc>
          <w:tcPr>
            <w:tcW w:w="1361" w:type="dxa"/>
            <w:tcBorders>
              <w:top w:val="single" w:sz="6" w:space="0" w:color="auto"/>
              <w:left w:val="single" w:sz="6" w:space="0" w:color="auto"/>
              <w:right w:val="single" w:sz="6" w:space="0" w:color="auto"/>
            </w:tcBorders>
            <w:vAlign w:val="center"/>
          </w:tcPr>
          <w:p>
            <w:pPr>
              <w:pStyle w:val="19"/>
            </w:pPr>
            <w:r>
              <w:t>299.56</w:t>
            </w:r>
          </w:p>
        </w:tc>
        <w:tc>
          <w:tcPr>
            <w:tcW w:w="1361" w:type="dxa"/>
            <w:tcBorders>
              <w:top w:val="single" w:sz="6" w:space="0" w:color="auto"/>
              <w:left w:val="single" w:sz="6" w:space="0" w:color="auto"/>
              <w:right w:val="single" w:sz="6" w:space="0" w:color="auto"/>
            </w:tcBorders>
            <w:vAlign w:val="center"/>
          </w:tcPr>
          <w:p>
            <w:pPr>
              <w:pStyle w:val="19"/>
            </w:pPr>
            <w:r>
              <w:t>165.50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20702</w:t>
            </w:r>
          </w:p>
        </w:tc>
        <w:tc>
          <w:tcPr>
            <w:tcW w:w="4535" w:type="dxa"/>
            <w:tcBorders>
              <w:top w:val="single" w:sz="6" w:space="0" w:color="auto"/>
              <w:left w:val="single" w:sz="6" w:space="0" w:color="auto"/>
              <w:right w:val="single" w:sz="6" w:space="0" w:color="auto"/>
            </w:tcBorders>
            <w:vAlign w:val="center"/>
          </w:tcPr>
          <w:p>
            <w:pPr>
              <w:pStyle w:val="20"/>
            </w:pPr>
            <w:r>
              <w:t>文物</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2070299</w:t>
            </w:r>
          </w:p>
        </w:tc>
        <w:tc>
          <w:tcPr>
            <w:tcW w:w="4535" w:type="dxa"/>
            <w:tcBorders>
              <w:top w:val="single" w:sz="6" w:space="0" w:color="auto"/>
              <w:left w:val="single" w:sz="6" w:space="0" w:color="auto"/>
              <w:right w:val="single" w:sz="6" w:space="0" w:color="auto"/>
            </w:tcBorders>
            <w:vAlign w:val="center"/>
          </w:tcPr>
          <w:p>
            <w:pPr>
              <w:pStyle w:val="20"/>
            </w:pPr>
            <w:r>
              <w:t>其他文物支出</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539.19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539.19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539.19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539.19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357昌黎县旅游和文化广电局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1600.46</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1814.86</w:t>
            </w:r>
          </w:p>
        </w:tc>
        <w:tc>
          <w:tcPr>
            <w:tcW w:w="1474" w:type="dxa"/>
            <w:tcBorders>
              <w:top w:val="single" w:sz="6" w:space="0" w:color="auto"/>
              <w:left w:val="single" w:sz="6" w:space="0" w:color="auto"/>
              <w:right w:val="single" w:sz="6" w:space="0" w:color="auto"/>
            </w:tcBorders>
            <w:vAlign w:val="center"/>
          </w:tcPr>
          <w:p>
            <w:pPr>
              <w:pStyle w:val="19"/>
            </w:pPr>
            <w:r>
              <w:t>1814.86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1600.46</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1814.86</w:t>
            </w:r>
          </w:p>
        </w:tc>
        <w:tc>
          <w:tcPr>
            <w:tcW w:w="1474" w:type="dxa"/>
            <w:tcBorders>
              <w:top w:val="single" w:sz="6" w:space="0" w:color="auto"/>
              <w:left w:val="single" w:sz="6" w:space="0" w:color="auto"/>
              <w:right w:val="single" w:sz="6" w:space="0" w:color="auto"/>
            </w:tcBorders>
            <w:vAlign w:val="center"/>
          </w:tcPr>
          <w:p>
            <w:pPr>
              <w:pStyle w:val="23"/>
            </w:pPr>
            <w:r>
              <w:t>1814.86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214.40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214.40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1814.86</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1814.86</w:t>
            </w:r>
          </w:p>
        </w:tc>
        <w:tc>
          <w:tcPr>
            <w:tcW w:w="1474" w:type="dxa"/>
            <w:tcBorders>
              <w:top w:val="single" w:sz="6" w:space="0" w:color="auto"/>
              <w:left w:val="single" w:sz="6" w:space="0" w:color="auto"/>
              <w:right w:val="single" w:sz="6" w:space="0" w:color="auto"/>
            </w:tcBorders>
            <w:vAlign w:val="center"/>
          </w:tcPr>
          <w:p>
            <w:pPr>
              <w:pStyle w:val="23"/>
            </w:pPr>
            <w:r>
              <w:t>1814.86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357昌黎县旅游和文化广电局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1814.86</w:t>
            </w:r>
          </w:p>
        </w:tc>
        <w:tc>
          <w:tcPr>
            <w:tcW w:w="2551" w:type="dxa"/>
            <w:tcBorders>
              <w:top w:val="single" w:sz="6" w:space="0" w:color="auto"/>
              <w:left w:val="single" w:sz="6" w:space="0" w:color="auto"/>
              <w:right w:val="single" w:sz="6" w:space="0" w:color="auto"/>
            </w:tcBorders>
            <w:vAlign w:val="center"/>
          </w:tcPr>
          <w:p>
            <w:pPr>
              <w:pStyle w:val="23"/>
            </w:pPr>
            <w:r>
              <w:t>1028.17</w:t>
            </w:r>
          </w:p>
        </w:tc>
        <w:tc>
          <w:tcPr>
            <w:tcW w:w="2551" w:type="dxa"/>
            <w:vAlign w:val="center"/>
          </w:tcPr>
          <w:p>
            <w:pPr>
              <w:pStyle w:val="23"/>
            </w:pPr>
            <w:r>
              <w:t>786.69</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1814.86</w:t>
            </w:r>
          </w:p>
        </w:tc>
        <w:tc>
          <w:tcPr>
            <w:tcW w:w="2551" w:type="dxa"/>
            <w:tcBorders>
              <w:top w:val="single" w:sz="6" w:space="0" w:color="auto"/>
              <w:left w:val="single" w:sz="6" w:space="0" w:color="auto"/>
              <w:right w:val="single" w:sz="6" w:space="0" w:color="auto"/>
            </w:tcBorders>
            <w:vAlign w:val="center"/>
          </w:tcPr>
          <w:p>
            <w:pPr>
              <w:pStyle w:val="19"/>
            </w:pPr>
            <w:r>
              <w:t>1028.17</w:t>
            </w:r>
          </w:p>
        </w:tc>
        <w:tc>
          <w:tcPr>
            <w:tcW w:w="2551" w:type="dxa"/>
            <w:vAlign w:val="center"/>
          </w:tcPr>
          <w:p>
            <w:pPr>
              <w:pStyle w:val="19"/>
            </w:pPr>
            <w:r>
              <w:t>786.69</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2551" w:type="dxa"/>
            <w:tcBorders>
              <w:top w:val="single" w:sz="6" w:space="0" w:color="auto"/>
              <w:left w:val="single" w:sz="6" w:space="0" w:color="auto"/>
              <w:right w:val="single" w:sz="6" w:space="0" w:color="auto"/>
            </w:tcBorders>
            <w:vAlign w:val="center"/>
          </w:tcPr>
          <w:p>
            <w:pPr>
              <w:pStyle w:val="19"/>
            </w:pPr>
            <w:r>
              <w:t>1152.53</w:t>
            </w:r>
          </w:p>
        </w:tc>
        <w:tc>
          <w:tcPr>
            <w:tcW w:w="2551" w:type="dxa"/>
            <w:tcBorders>
              <w:top w:val="single" w:sz="6" w:space="0" w:color="auto"/>
              <w:left w:val="single" w:sz="6" w:space="0" w:color="auto"/>
              <w:right w:val="single" w:sz="6" w:space="0" w:color="auto"/>
            </w:tcBorders>
            <w:vAlign w:val="center"/>
          </w:tcPr>
          <w:p>
            <w:pPr>
              <w:pStyle w:val="19"/>
            </w:pPr>
            <w:r>
              <w:t>905.03</w:t>
            </w:r>
          </w:p>
        </w:tc>
        <w:tc>
          <w:tcPr>
            <w:tcW w:w="2551" w:type="dxa"/>
            <w:vAlign w:val="center"/>
          </w:tcPr>
          <w:p>
            <w:pPr>
              <w:pStyle w:val="19"/>
            </w:pPr>
            <w:r>
              <w:t>247.50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268.39</w:t>
            </w:r>
          </w:p>
        </w:tc>
        <w:tc>
          <w:tcPr>
            <w:tcW w:w="2551" w:type="dxa"/>
            <w:tcBorders>
              <w:top w:val="single" w:sz="6" w:space="0" w:color="auto"/>
              <w:left w:val="single" w:sz="6" w:space="0" w:color="auto"/>
              <w:right w:val="single" w:sz="6" w:space="0" w:color="auto"/>
            </w:tcBorders>
            <w:vAlign w:val="center"/>
          </w:tcPr>
          <w:p>
            <w:pPr>
              <w:pStyle w:val="19"/>
            </w:pPr>
            <w:r>
              <w:t>268.39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2070104</w:t>
            </w:r>
          </w:p>
        </w:tc>
        <w:tc>
          <w:tcPr>
            <w:tcW w:w="4535" w:type="dxa"/>
            <w:tcBorders>
              <w:top w:val="single" w:sz="6" w:space="0" w:color="auto"/>
              <w:left w:val="single" w:sz="6" w:space="0" w:color="auto"/>
              <w:right w:val="single" w:sz="6" w:space="0" w:color="auto"/>
            </w:tcBorders>
            <w:vAlign w:val="center"/>
          </w:tcPr>
          <w:p>
            <w:pPr>
              <w:pStyle w:val="20"/>
            </w:pPr>
            <w:r>
              <w:t>图书馆</w:t>
            </w:r>
          </w:p>
        </w:tc>
        <w:tc>
          <w:tcPr>
            <w:tcW w:w="2551" w:type="dxa"/>
            <w:tcBorders>
              <w:top w:val="single" w:sz="6" w:space="0" w:color="auto"/>
              <w:left w:val="single" w:sz="6" w:space="0" w:color="auto"/>
              <w:right w:val="single" w:sz="6" w:space="0" w:color="auto"/>
            </w:tcBorders>
            <w:vAlign w:val="center"/>
          </w:tcPr>
          <w:p>
            <w:pPr>
              <w:pStyle w:val="19"/>
            </w:pPr>
            <w:r>
              <w:t>152.57</w:t>
            </w:r>
          </w:p>
        </w:tc>
        <w:tc>
          <w:tcPr>
            <w:tcW w:w="2551" w:type="dxa"/>
            <w:tcBorders>
              <w:top w:val="single" w:sz="6" w:space="0" w:color="auto"/>
              <w:left w:val="single" w:sz="6" w:space="0" w:color="auto"/>
              <w:right w:val="single" w:sz="6" w:space="0" w:color="auto"/>
            </w:tcBorders>
            <w:vAlign w:val="center"/>
          </w:tcPr>
          <w:p>
            <w:pPr>
              <w:pStyle w:val="19"/>
            </w:pPr>
            <w:r>
              <w:t>146.57</w:t>
            </w:r>
          </w:p>
        </w:tc>
        <w:tc>
          <w:tcPr>
            <w:tcW w:w="2551" w:type="dxa"/>
            <w:vAlign w:val="center"/>
          </w:tcPr>
          <w:p>
            <w:pPr>
              <w:pStyle w:val="19"/>
            </w:pPr>
            <w:r>
              <w:t>6.00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2070107</w:t>
            </w:r>
          </w:p>
        </w:tc>
        <w:tc>
          <w:tcPr>
            <w:tcW w:w="4535" w:type="dxa"/>
            <w:tcBorders>
              <w:top w:val="single" w:sz="6" w:space="0" w:color="auto"/>
              <w:left w:val="single" w:sz="6" w:space="0" w:color="auto"/>
              <w:right w:val="single" w:sz="6" w:space="0" w:color="auto"/>
            </w:tcBorders>
            <w:vAlign w:val="center"/>
          </w:tcPr>
          <w:p>
            <w:pPr>
              <w:pStyle w:val="20"/>
            </w:pPr>
            <w:r>
              <w:t>艺术表演团体</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2070109</w:t>
            </w:r>
          </w:p>
        </w:tc>
        <w:tc>
          <w:tcPr>
            <w:tcW w:w="4535" w:type="dxa"/>
            <w:tcBorders>
              <w:top w:val="single" w:sz="6" w:space="0" w:color="auto"/>
              <w:left w:val="single" w:sz="6" w:space="0" w:color="auto"/>
              <w:right w:val="single" w:sz="6" w:space="0" w:color="auto"/>
            </w:tcBorders>
            <w:vAlign w:val="center"/>
          </w:tcPr>
          <w:p>
            <w:pPr>
              <w:pStyle w:val="20"/>
            </w:pPr>
            <w:r>
              <w:t>群众文化</w:t>
            </w:r>
          </w:p>
        </w:tc>
        <w:tc>
          <w:tcPr>
            <w:tcW w:w="2551" w:type="dxa"/>
            <w:tcBorders>
              <w:top w:val="single" w:sz="6" w:space="0" w:color="auto"/>
              <w:left w:val="single" w:sz="6" w:space="0" w:color="auto"/>
              <w:right w:val="single" w:sz="6" w:space="0" w:color="auto"/>
            </w:tcBorders>
            <w:vAlign w:val="center"/>
          </w:tcPr>
          <w:p>
            <w:pPr>
              <w:pStyle w:val="19"/>
            </w:pPr>
            <w:r>
              <w:t>117.19</w:t>
            </w:r>
          </w:p>
        </w:tc>
        <w:tc>
          <w:tcPr>
            <w:tcW w:w="2551" w:type="dxa"/>
            <w:tcBorders>
              <w:top w:val="single" w:sz="6" w:space="0" w:color="auto"/>
              <w:left w:val="single" w:sz="6" w:space="0" w:color="auto"/>
              <w:right w:val="single" w:sz="6" w:space="0" w:color="auto"/>
            </w:tcBorders>
            <w:vAlign w:val="center"/>
          </w:tcPr>
          <w:p>
            <w:pPr>
              <w:pStyle w:val="19"/>
            </w:pPr>
            <w:r>
              <w:t>117.19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2070111</w:t>
            </w:r>
          </w:p>
        </w:tc>
        <w:tc>
          <w:tcPr>
            <w:tcW w:w="4535" w:type="dxa"/>
            <w:tcBorders>
              <w:top w:val="single" w:sz="6" w:space="0" w:color="auto"/>
              <w:left w:val="single" w:sz="6" w:space="0" w:color="auto"/>
              <w:right w:val="single" w:sz="6" w:space="0" w:color="auto"/>
            </w:tcBorders>
            <w:vAlign w:val="center"/>
          </w:tcPr>
          <w:p>
            <w:pPr>
              <w:pStyle w:val="20"/>
            </w:pPr>
            <w:r>
              <w:t>文化创作与保护</w:t>
            </w:r>
          </w:p>
        </w:tc>
        <w:tc>
          <w:tcPr>
            <w:tcW w:w="2551" w:type="dxa"/>
            <w:tcBorders>
              <w:top w:val="single" w:sz="6" w:space="0" w:color="auto"/>
              <w:left w:val="single" w:sz="6" w:space="0" w:color="auto"/>
              <w:right w:val="single" w:sz="6" w:space="0" w:color="auto"/>
            </w:tcBorders>
            <w:vAlign w:val="center"/>
          </w:tcPr>
          <w:p>
            <w:pPr>
              <w:pStyle w:val="19"/>
            </w:pPr>
            <w:r>
              <w:t>76.00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76.00</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2070199</w:t>
            </w:r>
          </w:p>
        </w:tc>
        <w:tc>
          <w:tcPr>
            <w:tcW w:w="4535" w:type="dxa"/>
            <w:tcBorders>
              <w:top w:val="single" w:sz="6" w:space="0" w:color="auto"/>
              <w:left w:val="single" w:sz="6" w:space="0" w:color="auto"/>
              <w:right w:val="single" w:sz="6" w:space="0" w:color="auto"/>
            </w:tcBorders>
            <w:vAlign w:val="center"/>
          </w:tcPr>
          <w:p>
            <w:pPr>
              <w:pStyle w:val="20"/>
            </w:pPr>
            <w:r>
              <w:t>其他文化和旅游支出</w:t>
            </w:r>
          </w:p>
        </w:tc>
        <w:tc>
          <w:tcPr>
            <w:tcW w:w="2551" w:type="dxa"/>
            <w:tcBorders>
              <w:top w:val="single" w:sz="6" w:space="0" w:color="auto"/>
              <w:left w:val="single" w:sz="6" w:space="0" w:color="auto"/>
              <w:right w:val="single" w:sz="6" w:space="0" w:color="auto"/>
            </w:tcBorders>
            <w:vAlign w:val="center"/>
          </w:tcPr>
          <w:p>
            <w:pPr>
              <w:pStyle w:val="19"/>
            </w:pPr>
            <w:r>
              <w:t>465.06</w:t>
            </w:r>
          </w:p>
        </w:tc>
        <w:tc>
          <w:tcPr>
            <w:tcW w:w="2551" w:type="dxa"/>
            <w:tcBorders>
              <w:top w:val="single" w:sz="6" w:space="0" w:color="auto"/>
              <w:left w:val="single" w:sz="6" w:space="0" w:color="auto"/>
              <w:right w:val="single" w:sz="6" w:space="0" w:color="auto"/>
            </w:tcBorders>
            <w:vAlign w:val="center"/>
          </w:tcPr>
          <w:p>
            <w:pPr>
              <w:pStyle w:val="19"/>
            </w:pPr>
            <w:r>
              <w:t>299.56</w:t>
            </w:r>
          </w:p>
        </w:tc>
        <w:tc>
          <w:tcPr>
            <w:tcW w:w="2551" w:type="dxa"/>
            <w:vAlign w:val="center"/>
          </w:tcPr>
          <w:p>
            <w:pPr>
              <w:pStyle w:val="19"/>
            </w:pPr>
            <w:r>
              <w:t>165.50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20702</w:t>
            </w:r>
          </w:p>
        </w:tc>
        <w:tc>
          <w:tcPr>
            <w:tcW w:w="4535" w:type="dxa"/>
            <w:tcBorders>
              <w:top w:val="single" w:sz="6" w:space="0" w:color="auto"/>
              <w:left w:val="single" w:sz="6" w:space="0" w:color="auto"/>
              <w:right w:val="single" w:sz="6" w:space="0" w:color="auto"/>
            </w:tcBorders>
            <w:vAlign w:val="center"/>
          </w:tcPr>
          <w:p>
            <w:pPr>
              <w:pStyle w:val="20"/>
            </w:pPr>
            <w:r>
              <w:t>文物</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2070299</w:t>
            </w:r>
          </w:p>
        </w:tc>
        <w:tc>
          <w:tcPr>
            <w:tcW w:w="4535" w:type="dxa"/>
            <w:tcBorders>
              <w:top w:val="single" w:sz="6" w:space="0" w:color="auto"/>
              <w:left w:val="single" w:sz="6" w:space="0" w:color="auto"/>
              <w:right w:val="single" w:sz="6" w:space="0" w:color="auto"/>
            </w:tcBorders>
            <w:vAlign w:val="center"/>
          </w:tcPr>
          <w:p>
            <w:pPr>
              <w:pStyle w:val="20"/>
            </w:pPr>
            <w:r>
              <w:t>其他文物支出</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539.19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539.19</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539.19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539.19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357昌黎县旅游和文化广电局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1028.17</w:t>
            </w:r>
          </w:p>
        </w:tc>
        <w:tc>
          <w:tcPr>
            <w:tcW w:w="2551" w:type="dxa"/>
            <w:tcBorders>
              <w:top w:val="single" w:sz="6" w:space="0" w:color="auto"/>
              <w:left w:val="single" w:sz="6" w:space="0" w:color="auto"/>
              <w:right w:val="single" w:sz="6" w:space="0" w:color="auto"/>
            </w:tcBorders>
            <w:vAlign w:val="center"/>
          </w:tcPr>
          <w:p>
            <w:pPr>
              <w:pStyle w:val="23"/>
            </w:pPr>
            <w:r>
              <w:t>996.23</w:t>
            </w:r>
          </w:p>
        </w:tc>
        <w:tc>
          <w:tcPr>
            <w:tcW w:w="2551" w:type="dxa"/>
            <w:vAlign w:val="center"/>
          </w:tcPr>
          <w:p>
            <w:pPr>
              <w:pStyle w:val="23"/>
            </w:pPr>
            <w:r>
              <w:t>31.94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775.28</w:t>
            </w:r>
          </w:p>
        </w:tc>
        <w:tc>
          <w:tcPr>
            <w:tcW w:w="2551" w:type="dxa"/>
            <w:tcBorders>
              <w:top w:val="single" w:sz="6" w:space="0" w:color="auto"/>
              <w:left w:val="single" w:sz="6" w:space="0" w:color="auto"/>
              <w:right w:val="single" w:sz="6" w:space="0" w:color="auto"/>
            </w:tcBorders>
            <w:vAlign w:val="center"/>
          </w:tcPr>
          <w:p>
            <w:pPr>
              <w:pStyle w:val="19"/>
            </w:pPr>
            <w:r>
              <w:t>775.28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281.11</w:t>
            </w:r>
          </w:p>
        </w:tc>
        <w:tc>
          <w:tcPr>
            <w:tcW w:w="2551" w:type="dxa"/>
            <w:tcBorders>
              <w:top w:val="single" w:sz="6" w:space="0" w:color="auto"/>
              <w:left w:val="single" w:sz="6" w:space="0" w:color="auto"/>
              <w:right w:val="single" w:sz="6" w:space="0" w:color="auto"/>
            </w:tcBorders>
            <w:vAlign w:val="center"/>
          </w:tcPr>
          <w:p>
            <w:pPr>
              <w:pStyle w:val="19"/>
            </w:pPr>
            <w:r>
              <w:t>281.11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44.09</w:t>
            </w:r>
          </w:p>
        </w:tc>
        <w:tc>
          <w:tcPr>
            <w:tcW w:w="2551" w:type="dxa"/>
            <w:tcBorders>
              <w:top w:val="single" w:sz="6" w:space="0" w:color="auto"/>
              <w:left w:val="single" w:sz="6" w:space="0" w:color="auto"/>
              <w:right w:val="single" w:sz="6" w:space="0" w:color="auto"/>
            </w:tcBorders>
            <w:vAlign w:val="center"/>
          </w:tcPr>
          <w:p>
            <w:pPr>
              <w:pStyle w:val="19"/>
            </w:pPr>
            <w:r>
              <w:t>44.09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8.77</w:t>
            </w:r>
          </w:p>
        </w:tc>
        <w:tc>
          <w:tcPr>
            <w:tcW w:w="2551" w:type="dxa"/>
            <w:tcBorders>
              <w:top w:val="single" w:sz="6" w:space="0" w:color="auto"/>
              <w:left w:val="single" w:sz="6" w:space="0" w:color="auto"/>
              <w:right w:val="single" w:sz="6" w:space="0" w:color="auto"/>
            </w:tcBorders>
            <w:vAlign w:val="center"/>
          </w:tcPr>
          <w:p>
            <w:pPr>
              <w:pStyle w:val="19"/>
            </w:pPr>
            <w:r>
              <w:t>8.77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132.26</w:t>
            </w:r>
          </w:p>
        </w:tc>
        <w:tc>
          <w:tcPr>
            <w:tcW w:w="2551" w:type="dxa"/>
            <w:tcBorders>
              <w:top w:val="single" w:sz="6" w:space="0" w:color="auto"/>
              <w:left w:val="single" w:sz="6" w:space="0" w:color="auto"/>
              <w:right w:val="single" w:sz="6" w:space="0" w:color="auto"/>
            </w:tcBorders>
            <w:vAlign w:val="center"/>
          </w:tcPr>
          <w:p>
            <w:pPr>
              <w:pStyle w:val="19"/>
            </w:pPr>
            <w:r>
              <w:t>132.26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73.80</w:t>
            </w:r>
          </w:p>
        </w:tc>
        <w:tc>
          <w:tcPr>
            <w:tcW w:w="2551" w:type="dxa"/>
            <w:tcBorders>
              <w:top w:val="single" w:sz="6" w:space="0" w:color="auto"/>
              <w:left w:val="single" w:sz="6" w:space="0" w:color="auto"/>
              <w:right w:val="single" w:sz="6" w:space="0" w:color="auto"/>
            </w:tcBorders>
            <w:vAlign w:val="center"/>
          </w:tcPr>
          <w:p>
            <w:pPr>
              <w:pStyle w:val="19"/>
            </w:pPr>
            <w:r>
              <w:t>73.80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26.14</w:t>
            </w:r>
          </w:p>
        </w:tc>
        <w:tc>
          <w:tcPr>
            <w:tcW w:w="2551" w:type="dxa"/>
            <w:tcBorders>
              <w:top w:val="single" w:sz="6" w:space="0" w:color="auto"/>
              <w:left w:val="single" w:sz="6" w:space="0" w:color="auto"/>
              <w:right w:val="single" w:sz="6" w:space="0" w:color="auto"/>
            </w:tcBorders>
            <w:vAlign w:val="center"/>
          </w:tcPr>
          <w:p>
            <w:pPr>
              <w:pStyle w:val="19"/>
            </w:pPr>
            <w:r>
              <w:t>26.14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43.79</w:t>
            </w:r>
          </w:p>
        </w:tc>
        <w:tc>
          <w:tcPr>
            <w:tcW w:w="2551" w:type="dxa"/>
            <w:tcBorders>
              <w:top w:val="single" w:sz="6" w:space="0" w:color="auto"/>
              <w:left w:val="single" w:sz="6" w:space="0" w:color="auto"/>
              <w:right w:val="single" w:sz="6" w:space="0" w:color="auto"/>
            </w:tcBorders>
            <w:vAlign w:val="center"/>
          </w:tcPr>
          <w:p>
            <w:pPr>
              <w:pStyle w:val="19"/>
            </w:pPr>
            <w:r>
              <w:t>43.79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5.23</w:t>
            </w:r>
          </w:p>
        </w:tc>
        <w:tc>
          <w:tcPr>
            <w:tcW w:w="2551" w:type="dxa"/>
            <w:tcBorders>
              <w:top w:val="single" w:sz="6" w:space="0" w:color="auto"/>
              <w:left w:val="single" w:sz="6" w:space="0" w:color="auto"/>
              <w:right w:val="single" w:sz="6" w:space="0" w:color="auto"/>
            </w:tcBorders>
            <w:vAlign w:val="center"/>
          </w:tcPr>
          <w:p>
            <w:pPr>
              <w:pStyle w:val="19"/>
            </w:pPr>
            <w:r>
              <w:t>5.23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38.10</w:t>
            </w:r>
          </w:p>
        </w:tc>
        <w:tc>
          <w:tcPr>
            <w:tcW w:w="2551" w:type="dxa"/>
            <w:tcBorders>
              <w:top w:val="single" w:sz="6" w:space="0" w:color="auto"/>
              <w:left w:val="single" w:sz="6" w:space="0" w:color="auto"/>
              <w:right w:val="single" w:sz="6" w:space="0" w:color="auto"/>
            </w:tcBorders>
            <w:vAlign w:val="center"/>
          </w:tcPr>
          <w:p>
            <w:pPr>
              <w:pStyle w:val="19"/>
            </w:pPr>
            <w:r>
              <w:t>38.10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121.98</w:t>
            </w:r>
          </w:p>
        </w:tc>
        <w:tc>
          <w:tcPr>
            <w:tcW w:w="2551" w:type="dxa"/>
            <w:tcBorders>
              <w:top w:val="single" w:sz="6" w:space="0" w:color="auto"/>
              <w:left w:val="single" w:sz="6" w:space="0" w:color="auto"/>
              <w:right w:val="single" w:sz="6" w:space="0" w:color="auto"/>
            </w:tcBorders>
            <w:vAlign w:val="center"/>
          </w:tcPr>
          <w:p>
            <w:pPr>
              <w:pStyle w:val="19"/>
            </w:pPr>
            <w:r>
              <w:t>121.98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31.94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31.94</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8.80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8.80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0.20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5.49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5.49</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9.00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0.65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0.65</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220.95</w:t>
            </w:r>
          </w:p>
        </w:tc>
        <w:tc>
          <w:tcPr>
            <w:tcW w:w="2551" w:type="dxa"/>
            <w:tcBorders>
              <w:top w:val="single" w:sz="6" w:space="0" w:color="auto"/>
              <w:left w:val="single" w:sz="6" w:space="0" w:color="auto"/>
              <w:right w:val="single" w:sz="6" w:space="0" w:color="auto"/>
            </w:tcBorders>
            <w:vAlign w:val="center"/>
          </w:tcPr>
          <w:p>
            <w:pPr>
              <w:pStyle w:val="19"/>
            </w:pPr>
            <w:r>
              <w:t>220.95</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27.20</w:t>
            </w:r>
          </w:p>
        </w:tc>
        <w:tc>
          <w:tcPr>
            <w:tcW w:w="2551" w:type="dxa"/>
            <w:tcBorders>
              <w:top w:val="single" w:sz="6" w:space="0" w:color="auto"/>
              <w:left w:val="single" w:sz="6" w:space="0" w:color="auto"/>
              <w:right w:val="single" w:sz="6" w:space="0" w:color="auto"/>
            </w:tcBorders>
            <w:vAlign w:val="center"/>
          </w:tcPr>
          <w:p>
            <w:pPr>
              <w:pStyle w:val="19"/>
            </w:pPr>
            <w:r>
              <w:t>27.20</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187.75</w:t>
            </w:r>
          </w:p>
        </w:tc>
        <w:tc>
          <w:tcPr>
            <w:tcW w:w="2551" w:type="dxa"/>
            <w:tcBorders>
              <w:top w:val="single" w:sz="6" w:space="0" w:color="auto"/>
              <w:left w:val="single" w:sz="6" w:space="0" w:color="auto"/>
              <w:right w:val="single" w:sz="6" w:space="0" w:color="auto"/>
            </w:tcBorders>
            <w:vAlign w:val="center"/>
          </w:tcPr>
          <w:p>
            <w:pPr>
              <w:pStyle w:val="19"/>
            </w:pPr>
            <w:r>
              <w:t>187.75</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6.00</w:t>
            </w:r>
          </w:p>
        </w:tc>
        <w:tc>
          <w:tcPr>
            <w:tcW w:w="2551" w:type="dxa"/>
            <w:tcBorders>
              <w:top w:val="single" w:sz="6" w:space="0" w:color="auto"/>
              <w:left w:val="single" w:sz="6" w:space="0" w:color="auto"/>
              <w:right w:val="single" w:sz="6" w:space="0" w:color="auto"/>
            </w:tcBorders>
            <w:vAlign w:val="center"/>
          </w:tcPr>
          <w:p>
            <w:pPr>
              <w:pStyle w:val="19"/>
            </w:pPr>
            <w:r>
              <w:t>6.00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357昌黎县旅游和文化广电局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357昌黎县旅游和文化广电局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357昌黎县旅游和文化广电局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9.00</w:t>
            </w:r>
          </w:p>
        </w:tc>
        <w:tc>
          <w:tcPr>
            <w:tcW w:w="2381" w:type="dxa"/>
            <w:tcBorders>
              <w:top w:val="single" w:sz="6" w:space="0" w:color="auto"/>
              <w:left w:val="single" w:sz="6" w:space="0" w:color="auto"/>
              <w:right w:val="single" w:sz="6" w:space="0" w:color="auto"/>
            </w:tcBorders>
            <w:vAlign w:val="center"/>
          </w:tcPr>
          <w:p>
            <w:pPr>
              <w:pStyle w:val="23"/>
            </w:pPr>
            <w:r>
              <w:t>9.00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9.00</w:t>
            </w:r>
          </w:p>
        </w:tc>
        <w:tc>
          <w:tcPr>
            <w:tcW w:w="2381" w:type="dxa"/>
            <w:tcBorders>
              <w:top w:val="single" w:sz="6" w:space="0" w:color="auto"/>
              <w:left w:val="single" w:sz="6" w:space="0" w:color="auto"/>
              <w:right w:val="single" w:sz="6" w:space="0" w:color="auto"/>
            </w:tcBorders>
            <w:vAlign w:val="center"/>
          </w:tcPr>
          <w:p>
            <w:pPr>
              <w:pStyle w:val="19"/>
            </w:pPr>
            <w:r>
              <w:t>9.00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9.00</w:t>
            </w:r>
          </w:p>
        </w:tc>
        <w:tc>
          <w:tcPr>
            <w:tcW w:w="2381" w:type="dxa"/>
            <w:tcBorders>
              <w:top w:val="single" w:sz="6" w:space="0" w:color="auto"/>
              <w:left w:val="single" w:sz="6" w:space="0" w:color="auto"/>
              <w:right w:val="single" w:sz="6" w:space="0" w:color="auto"/>
            </w:tcBorders>
            <w:vAlign w:val="center"/>
          </w:tcPr>
          <w:p>
            <w:pPr>
              <w:pStyle w:val="19"/>
            </w:pPr>
            <w:r>
              <w:t>9.00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9.00</w:t>
            </w:r>
          </w:p>
        </w:tc>
        <w:tc>
          <w:tcPr>
            <w:tcW w:w="2381" w:type="dxa"/>
            <w:tcBorders>
              <w:top w:val="single" w:sz="6" w:space="0" w:color="auto"/>
              <w:left w:val="single" w:sz="6" w:space="0" w:color="auto"/>
              <w:right w:val="single" w:sz="6" w:space="0" w:color="auto"/>
            </w:tcBorders>
            <w:vAlign w:val="center"/>
          </w:tcPr>
          <w:p>
            <w:pPr>
              <w:pStyle w:val="19"/>
            </w:pPr>
            <w:r>
              <w:t>9.00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昌黎县旅游和文化广电局2025年部门预算信息公开情况说明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昌黎县旅游和文化广电局2025年部门预算信息公开情况说明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按照《中华人民共和国预算法》、《地方预决算公开操作规程》和《关于进一步推进预算公开工作的实施意见》规定，现将昌黎县旅游和文化广电局2025年部门预算公开如下：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按照中共昌黎县委、昌黎县人民政府《关于印发〈昌黎县机构改革方案〉的通知》要求，将昌黎县文化和旅游发展委员会（体育广电新闻出版局、文物局）的旅游、文化、广播电视、文物管理职责整合，组建昌黎县旅游和文化广电局，简称昌黎县旅游文广局（加挂县文物局牌子）。</w:t>
      </w:r>
    </w:p>
    <w:p>
      <w:pPr>
        <w:pStyle w:val="25"/>
      </w:pPr>
      <w:r>
        <w:t>主要职责：</w:t>
      </w:r>
    </w:p>
    <w:p>
      <w:pPr>
        <w:pStyle w:val="25"/>
      </w:pPr>
      <w:r>
        <w:t>1、拟订全县文化和旅游、广播电视、文物等政府规范性文件。</w:t>
      </w:r>
    </w:p>
    <w:p>
      <w:pPr>
        <w:pStyle w:val="25"/>
      </w:pPr>
      <w:r>
        <w:t>2、拟订全县文化和旅游、广播电视、文物领域发展规划并组织实施，推进文化和旅游融合发展，推进相关领域体制机制改革。</w:t>
      </w:r>
    </w:p>
    <w:p>
      <w:pPr>
        <w:pStyle w:val="25"/>
      </w:pPr>
      <w:r>
        <w:t>3、管理全县性重大文化活动。指导全县重点文化和旅游设施建设，组织昌黎县旅游整体形象推广,促进文化产业和旅游产业对外合作与交流,制定全县旅游市场开发营销战略并组织实施,指导和推进全域旅游。</w:t>
      </w:r>
    </w:p>
    <w:p>
      <w:pPr>
        <w:pStyle w:val="25"/>
      </w:pPr>
      <w:r>
        <w:t>4、指导、管理全县文艺事业。指导艺术创作生产，扶持体现社会主义核心价值观、具有导向性代表性示范性的文艺作品，推动全县各门类艺术、各艺术品种发展。</w:t>
      </w:r>
    </w:p>
    <w:p>
      <w:pPr>
        <w:pStyle w:val="25"/>
      </w:pPr>
      <w:r>
        <w:t>5、负责全县公共文化和旅游事业发展。推进全县公共文化服务体系、旅游公共服务体系建设，协调推进国家公共文化服务体系示范区建设，深入实施文化惠民工程，统筹推进基本公共文化服务的标准化、均等化。</w:t>
      </w:r>
    </w:p>
    <w:p>
      <w:pPr>
        <w:pStyle w:val="25"/>
      </w:pPr>
      <w:r>
        <w:t>6、指导、推进全县旅游、文化、广播电视、文物科技创新发展，推进文化和旅游行业信息化、标准化建设。</w:t>
      </w:r>
    </w:p>
    <w:p>
      <w:pPr>
        <w:pStyle w:val="25"/>
      </w:pPr>
      <w:r>
        <w:t>7、负责全县非物质文化遗产保护工作，推动非物质文化遗产的保护、传承、普及、弘扬和振兴。</w:t>
      </w:r>
    </w:p>
    <w:p>
      <w:pPr>
        <w:pStyle w:val="25"/>
      </w:pPr>
      <w:r>
        <w:t>8、统筹规划全县旅游产业、文化产业和广播电视产业。组织实施旅游、文化资源普查、挖掘、保护和利用工作,促进旅游产业和文化产业发展。</w:t>
      </w:r>
    </w:p>
    <w:p>
      <w:pPr>
        <w:pStyle w:val="25"/>
      </w:pPr>
      <w:r>
        <w:t>9、指导全县文化和旅游市场发展。对文化和旅游市场经营进行行业监管，推进全县文化和旅游行业信用体系建设,依法规范文化和旅游市场。</w:t>
      </w:r>
    </w:p>
    <w:p>
      <w:pPr>
        <w:pStyle w:val="25"/>
      </w:pPr>
      <w:r>
        <w:t>10、负责全县广播电视管理工作。负责对全县各类广播电视机构进行业务指导和行业监管，指导、监管全县广播电视安全播出和广告播放，指导全县电视剧行业发展和电视剧创作生产，组织实施全县广播电视公共服务公益工程和公益活动。</w:t>
      </w:r>
    </w:p>
    <w:p>
      <w:pPr>
        <w:pStyle w:val="25"/>
      </w:pPr>
      <w:r>
        <w:t>11、负责全县文物保护和管理工作。组织文物资源资产普查、登记、评估工作，管理和指导全县考古、文物修缮工作，推动完善全县文物和博物馆公共服务体系建设，指导业务工作。</w:t>
      </w:r>
    </w:p>
    <w:p>
      <w:pPr>
        <w:pStyle w:val="25"/>
      </w:pPr>
      <w:r>
        <w:t>12、指导全县文化市场综合执法。指导、监督全县文化市场综合执法工作，组织查处全县性、跨区域文化、文物、出版、广播电视、电影、旅游等市场的违法行为,维护市场秩序。</w:t>
      </w:r>
    </w:p>
    <w:p>
      <w:pPr>
        <w:pStyle w:val="25"/>
      </w:pPr>
      <w:r>
        <w:t>13、指导、管理全县文化和旅游、广播电视、文物对外及对港澳台交流、合作和宣传推广工作。组织相关领域对外及对港澳台交流活动，推动中华文化和本地特色文化走出去。</w:t>
      </w:r>
    </w:p>
    <w:p>
      <w:pPr>
        <w:pStyle w:val="25"/>
      </w:pPr>
      <w:r>
        <w:t>14、落实行业主管部门的安全生产监管职责，各股室落实各自分管领域的安全生产监管职责。</w:t>
      </w:r>
    </w:p>
    <w:p>
      <w:pPr>
        <w:pStyle w:val="25"/>
      </w:pPr>
      <w:r>
        <w:t>15、完成县委、县政府交办的其他任务。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昌黎县旅游和文化广电局本级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昌黎县文物研究保护所（昌黎县博物馆）</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r>
        <w:trPr>
          <w:trHeight w:val="369"/>
        </w:trPr>
        <w:tc>
          <w:tcPr>
            <w:tcW w:w="5669" w:type="dxa"/>
            <w:vAlign w:val="center"/>
          </w:tcPr>
          <w:p>
            <w:pPr>
              <w:pStyle w:val="20"/>
            </w:pPr>
            <w:r>
              <w:t>昌黎县图书馆</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r>
        <w:trPr>
          <w:trHeight w:val="369"/>
        </w:trPr>
        <w:tc>
          <w:tcPr>
            <w:tcW w:w="5669" w:type="dxa"/>
            <w:vAlign w:val="center"/>
          </w:tcPr>
          <w:p>
            <w:pPr>
              <w:pStyle w:val="20"/>
            </w:pPr>
            <w:r>
              <w:t>昌黎县文化馆</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r>
        <w:trPr>
          <w:trHeight w:val="369"/>
        </w:trPr>
        <w:tc>
          <w:tcPr>
            <w:tcW w:w="5669" w:type="dxa"/>
            <w:vAlign w:val="center"/>
          </w:tcPr>
          <w:p>
            <w:pPr>
              <w:pStyle w:val="20"/>
            </w:pPr>
            <w:r>
              <w:t>昌黎县旅游和文化广电局(事业)</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r>
        <w:trPr>
          <w:trHeight w:val="369"/>
        </w:trPr>
        <w:tc>
          <w:tcPr>
            <w:tcW w:w="5669" w:type="dxa"/>
            <w:vAlign w:val="center"/>
          </w:tcPr>
          <w:p>
            <w:pPr>
              <w:pStyle w:val="20"/>
            </w:pPr>
            <w:r>
              <w:t>昌黎县艺术团</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按照预算管理有关规定，目前部门预算的编制实行综合预算管理，即全部收入和支出都反映在预算中。昌黎县旅游和文化广电局机关及所属事业单位的收支包含在部门预算中。</w:t>
      </w:r>
    </w:p>
    <w:p>
      <w:pPr>
        <w:pStyle w:val="26"/>
      </w:pPr>
      <w:r>
        <w:t>1、收入说明</w:t>
      </w:r>
    </w:p>
    <w:p>
      <w:pPr>
        <w:pStyle w:val="26"/>
      </w:pPr>
      <w:r>
        <w:t>反映本部门当年全部收入。2025年预算收入1814.86万元，其中：一般公共预算收入1600.46万元，基金预算收入0.00万元，国有资本经营预算收入0.00万元，财政专户核拨收入0.00万元，单位资金收入0.00万元，上年结转结余214.40万元。</w:t>
      </w:r>
    </w:p>
    <w:p>
      <w:pPr>
        <w:pStyle w:val="26"/>
      </w:pPr>
      <w:r>
        <w:t>2、支出说明</w:t>
      </w:r>
    </w:p>
    <w:p>
      <w:pPr>
        <w:pStyle w:val="26"/>
      </w:pPr>
      <w:r>
        <w:t>收支预算总表支出栏、基本支出表、项目支出表按经济分类和支出功能分类科目编制，反映昌黎县旅游和文化广电局年度部门预算中支出预算的总体情况。2025年支出预算1814.86万元，其中基本支出1028.17万元，包括人员经费996.23万元和日常公用经费31.94万元；项目支出786.69万元，主要为三馆一站免费开放资金、公共文化服务体系建设专项资金以及非物质文化遗产保护资金。</w:t>
      </w:r>
    </w:p>
    <w:p>
      <w:pPr>
        <w:pStyle w:val="26"/>
      </w:pPr>
      <w:r>
        <w:t>3、比上年增减情况</w:t>
      </w:r>
    </w:p>
    <w:p>
      <w:pPr>
        <w:pStyle w:val="26"/>
      </w:pPr>
      <w:r>
        <w:t>2025年预算收支安排1814.86万元，较2024年预算减少135.91万元，其中：基本支出减少159.34万元，主要为人员有增减变化以及工资有相应调整。项目支出增加23.43万元，主要为公共文化服务体系建设专项资金调整及新增非遗项目支出。</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2025年，我部门机关运行经费共计安排31.94万元，主要用于日常维修、办公用房水电费、办公用房取暖费、办公用房物业管理费等日常运行支出。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9.00万元，其中因公出国（境）费0.00万元；公务用车购置及运维费9.00万元（其中：公务用车购置费为0.00万元，公务用车运维费9.00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1.进一步强化党组引领带动作用。全面贯彻落实习近平总书记关于文化旅游工作的重要论述和中央、省市县委各项重大部署、工作要求，全面落实新发展理念，突出旅游先导、强化文化赋能。</w:t>
      </w:r>
    </w:p>
    <w:p>
      <w:pPr>
        <w:pStyle w:val="29"/>
      </w:pPr>
      <w:r>
        <w:t>2.进一步培育发展文化旅游产业。一是继续深挖文旅资源，以海水浴场管理为契机，积极培育旅游浴场新业态产品。二是加大重大文化旅游项目招商引资力度，优化文化产业增量，带动提升存量，抓好重点文旅项目建设。</w:t>
      </w:r>
    </w:p>
    <w:p>
      <w:pPr>
        <w:pStyle w:val="29"/>
      </w:pPr>
      <w:r>
        <w:t>3.进一步丰富群众文化精神生活。广泛开展文化进基层系列文化惠民活动，并结合中心工作开展文艺宣讲，鼓励乡镇文化站、村级综合文化服务中心等有序开展文化惠民活动，做好活动宣传、档案留存等工作。</w:t>
      </w:r>
    </w:p>
    <w:p>
      <w:pPr>
        <w:pStyle w:val="29"/>
      </w:pPr>
      <w:r>
        <w:t>4.进一步完善公共服务体系建设。持续开展公共文化服务达标提质攻坚行动，提升基层文化设施服务效能，推进县文化中心项目进度，提升县文化馆、图书馆、博物馆“三馆”服务质量，继续亮点村打造工作，开展乡镇文化站、村级综合文化服务中心实地督导等工作。</w:t>
      </w:r>
    </w:p>
    <w:p>
      <w:pPr>
        <w:pStyle w:val="29"/>
      </w:pPr>
      <w:r>
        <w:t>5.进一步加强特色非遗活化传承。持续推进昌黎非遗项目和代表性传承人资料的收集整理工作，组织开展非遗项目的申报工作，开展昌黎民歌和昌黎皮影戏进景区、进乡村非遗文化惠民演出活动。</w:t>
      </w:r>
    </w:p>
    <w:p>
      <w:pPr>
        <w:pStyle w:val="29"/>
      </w:pPr>
      <w:r>
        <w:t>6.进一步抓好文旅市场综合执法和安全检查。持续开展文化和旅游市场各类安全专项检查工作，重点治理和惩处扰乱旅游市场秩序的违法、违规及不正当经营行为，确保区域内旅游文化市场干净、安全、有序。</w:t>
      </w:r>
    </w:p>
    <w:p>
      <w:pPr>
        <w:pStyle w:val="29"/>
      </w:pPr>
      <w:r>
        <w:t>7.进一步加大文化旅游宣传推介。充分利用微信公众号、抖音等多平台发布文化旅游、乡村旅游等各类主题的宣传推广。借助网络平台的精准营销，推出景区各种惠民措施，吸引周边游客来昌打卡。</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（一）文化市场管理</w:t>
      </w:r>
    </w:p>
    <w:p>
      <w:pPr>
        <w:pStyle w:val="30"/>
      </w:pPr>
      <w:r>
        <w:t>绩效目标：加强执法规范化建设和队伍素质建设。</w:t>
      </w:r>
    </w:p>
    <w:p>
      <w:pPr>
        <w:pStyle w:val="30"/>
      </w:pPr>
      <w:r>
        <w:t>绩效指标：持续开展文化和旅游市场各类安全专项检查工作，重点治理和惩处扰乱旅游市场秩序的违法、违规及不正当经营行为，提升文化市场秩序群众满意度。</w:t>
      </w:r>
    </w:p>
    <w:p>
      <w:pPr>
        <w:pStyle w:val="30"/>
      </w:pPr>
      <w:r>
        <w:t>（二）文化宣传交流</w:t>
      </w:r>
    </w:p>
    <w:p>
      <w:pPr>
        <w:pStyle w:val="30"/>
      </w:pPr>
      <w:r>
        <w:t>绩效目标：围绕“这么近、那么美，周末到河北”主题，精心创排具有地方特色的文艺精品，多出好的素材和作品，宣传推介我县文化艺术资源，提升对外交流水平。</w:t>
      </w:r>
    </w:p>
    <w:p>
      <w:pPr>
        <w:pStyle w:val="30"/>
      </w:pPr>
      <w:r>
        <w:t>绩效指标：增加景区知名度、美誉度，使其提升达到10%以上。</w:t>
      </w:r>
    </w:p>
    <w:p>
      <w:pPr>
        <w:pStyle w:val="30"/>
      </w:pPr>
      <w:r>
        <w:t>（三）文物保护</w:t>
      </w:r>
    </w:p>
    <w:p>
      <w:pPr>
        <w:pStyle w:val="30"/>
      </w:pPr>
      <w:r>
        <w:t>绩效目标：加强文物保护、研究、利用，发挥博物馆的公共服务作用，传承和弘扬昌黎历史文化。</w:t>
      </w:r>
    </w:p>
    <w:p>
      <w:pPr>
        <w:pStyle w:val="30"/>
      </w:pPr>
      <w:r>
        <w:t>绩效指标：组织文物保护宣传活动，活化文物保护、研究利用，确保文物有效保护研究覆盖率达到90%以上。</w:t>
      </w:r>
    </w:p>
    <w:p>
      <w:pPr>
        <w:pStyle w:val="30"/>
      </w:pPr>
      <w:r>
        <w:t>（四）发展图书馆、文化馆事业</w:t>
      </w:r>
    </w:p>
    <w:p>
      <w:pPr>
        <w:pStyle w:val="30"/>
      </w:pPr>
      <w:r>
        <w:t>绩效目标：做好文、图两馆免费开放的管理运行与安全保证等工作，推进文化传播和社会教育。</w:t>
      </w:r>
    </w:p>
    <w:p>
      <w:pPr>
        <w:pStyle w:val="30"/>
      </w:pPr>
      <w:r>
        <w:t>绩效指标：积极组织开展群众文化活动，提升免费开放服务效能，考评观众留言、民意调查情况，免费开放满意度的比例达到90%以上。</w:t>
      </w:r>
    </w:p>
    <w:p>
      <w:pPr>
        <w:pStyle w:val="30"/>
      </w:pPr>
      <w:r>
        <w:t>（五）旅游宣传</w:t>
      </w:r>
    </w:p>
    <w:p>
      <w:pPr>
        <w:pStyle w:val="30"/>
      </w:pPr>
      <w:r>
        <w:t>绩效目标：借力京津冀协同发展，围绕“这么近、那么美，周末到河北”主题，加大宣传力度，加强与其他地区交流合作，不断探索全域旅游示范区创建新模式，开展旅游景区整改提升，加快旅游业转型升级。</w:t>
      </w:r>
    </w:p>
    <w:p>
      <w:pPr>
        <w:pStyle w:val="30"/>
      </w:pPr>
      <w:r>
        <w:t>绩效指标：扩大昌黎旅游品牌形象的影响力，吸引更多游客来昌黎旅游观光，使游客增长率提升10%及以上。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（一）完善制度建设。制定完善预算绩效管理制度、资金管理办法、工作保障制度等内控管理办法，为全年预算绩效目标的实现奠定制度基础。</w:t>
      </w:r>
    </w:p>
    <w:p>
      <w:pPr>
        <w:pStyle w:val="31"/>
      </w:pPr>
      <w:r>
        <w:t>（二）加强支出管理。通过优化支出结构、编细编实预算、尽快启动项目、及时支付资金、按规定及时下达资金等多种措施，确保支出进度达标。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（六）加强内部监督。加强内部监督制度建设，对绩效运行情况、重大支出决策、资产处置及其他重要事项的决策和执行进行督导，配合做好审计、财政监督等外部监督工作，确保财政资金安全有效。</w:t>
      </w:r>
    </w:p>
    <w:p>
      <w:pPr>
        <w:pStyle w:val="31"/>
      </w:pPr>
      <w:r>
        <w:t>（七）加强宣传培训调研。加强人员培训，提高职工业务素质；优化财政资金配置、提高资金使用效益；强化预算绩效管理意识，促进预算绩效管理水平进一步提升。</w:t>
      </w:r>
    </w:p>
    <w:p>
      <w:pPr>
        <w:pStyle w:val="31"/>
      </w:pPr>
      <w:r>
        <w:t>（八）坚持厉行节约。坚持厉行节约，反对铺张浪费，科学规范分配财政资金，提高财政资金使用效益，建设节约型机关。</w:t>
      </w:r>
    </w:p>
    <w:p>
      <w:pPr>
        <w:pStyle w:val="31"/>
      </w:pPr>
      <w:r>
        <w:t>（九）扎实开展监督工作。继续加强执法规范化建设和队伍素质建设，从严查处文化市场各类违规经营行为，深入推进农村文化演出市场专项整治，加强旅游标准化建设，推动经济高质量发展，提升社会治理能力。</w:t>
      </w:r>
    </w:p>
    <w:p>
      <w:pPr>
        <w:pStyle w:val="31"/>
      </w:pPr>
      <w:r>
        <w:t>（十）保障职工依法履职。通过组织职工学习、培训、调研，提升个人履职能力，坚持用理论武装头脑，立足惠民，狠抓公共服务。</w:t>
      </w:r>
    </w:p>
    <w:p>
      <w:pPr>
        <w:pStyle w:val="31"/>
        <w:sectPr>
          <w:pgSz w:w="16840" w:h="11900" w:orient="landscape"/>
          <w:pgMar w:top="1361" w:right="1020" w:bottom="1361" w:left="1020" w:header="720" w:footer="720" w:gutter="0"/>
          <w:docGrid w:linePitch="326" w:charSpace="0"/>
        </w:sectPr>
      </w:pPr>
      <w:r>
        <w:t>（十一）加强职工自身建设。深入开展法律知识、监督方式方法专题学习研讨，提高理论素养、创新活力。通过举办主题党日、建党周年书画展、扶贫脱贫等工作锤炼机关干部作风。</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1、2025年度县级综合文化站免费开放资金绩效目标表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13032225P00217210004T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2025年度县级综合文化站免费开放资金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通过标准化文化站管理，提升文化站免费开放服务水平</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1.通过标准化文化站管理，提升文化站免费开放服务水平</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≥10万人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文化站免费开放县级配套资金成本</w:t>
            </w:r>
          </w:p>
        </w:tc>
        <w:tc>
          <w:tcPr>
            <w:tcW w:w="5386" w:type="dxa"/>
            <w:tcBorders>
              <w:top w:val="single" w:sz="6" w:space="0" w:color="auto"/>
              <w:left w:val="single" w:sz="6" w:space="0" w:color="auto"/>
              <w:right w:val="single" w:sz="6" w:space="0" w:color="auto"/>
            </w:tcBorders>
            <w:vAlign w:val="center"/>
          </w:tcPr>
          <w:p>
            <w:pPr>
              <w:pStyle w:val="20"/>
            </w:pPr>
            <w:r>
              <w:t>文化站免费开放县级配套资金成本</w:t>
            </w:r>
          </w:p>
        </w:tc>
        <w:tc>
          <w:tcPr>
            <w:tcW w:w="2268" w:type="dxa"/>
            <w:tcBorders>
              <w:top w:val="single" w:sz="6" w:space="0" w:color="auto"/>
              <w:left w:val="single" w:sz="6" w:space="0" w:color="auto"/>
              <w:right w:val="single" w:sz="6" w:space="0" w:color="auto"/>
            </w:tcBorders>
            <w:vAlign w:val="center"/>
          </w:tcPr>
          <w:p>
            <w:pPr>
              <w:pStyle w:val="20"/>
            </w:pPr>
            <w:r>
              <w:t>≤25.5万元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2、冀财教[2023]127号关于提前下达2024年国家非物质文化遗产保护资金绩效目标表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13032224P008JC410090B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冀财教[2023]127号关于提前下达2024年国家非物质文化遗产保护资金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主要用于创编皮影戏剧目 《孙悟空智斗金钱豹》、昌黎新民歌《醉美昌黎》；组织举办昌黎民歌和皮影戏推广交流演出活动等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1.创编皮影戏剧目 《孙悟空智斗金钱豹》、昌黎新民歌《醉美昌黎》</w:t>
            </w:r>
          </w:p>
          <w:p>
            <w:pPr>
              <w:pStyle w:val="20"/>
            </w:pPr>
            <w:r>
              <w:t>2.举办“文化和自然遗产日”非遗展演活动 1 场</w:t>
            </w:r>
          </w:p>
          <w:p>
            <w:pPr>
              <w:pStyle w:val="20"/>
            </w:pPr>
            <w:r>
              <w:t>3.组织举办推广交流演出活动20场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新排演剧（曲）目</w:t>
            </w:r>
          </w:p>
        </w:tc>
        <w:tc>
          <w:tcPr>
            <w:tcW w:w="5386" w:type="dxa"/>
            <w:tcBorders>
              <w:top w:val="single" w:sz="6" w:space="0" w:color="auto"/>
              <w:left w:val="single" w:sz="6" w:space="0" w:color="auto"/>
              <w:right w:val="single" w:sz="6" w:space="0" w:color="auto"/>
            </w:tcBorders>
            <w:vAlign w:val="center"/>
          </w:tcPr>
          <w:p>
            <w:pPr>
              <w:pStyle w:val="20"/>
            </w:pPr>
            <w:r>
              <w:t>新排演剧（曲）目数量</w:t>
            </w:r>
          </w:p>
        </w:tc>
        <w:tc>
          <w:tcPr>
            <w:tcW w:w="2268" w:type="dxa"/>
            <w:tcBorders>
              <w:top w:val="single" w:sz="6" w:space="0" w:color="auto"/>
              <w:left w:val="single" w:sz="6" w:space="0" w:color="auto"/>
              <w:right w:val="single" w:sz="6" w:space="0" w:color="auto"/>
            </w:tcBorders>
            <w:vAlign w:val="center"/>
          </w:tcPr>
          <w:p>
            <w:pPr>
              <w:pStyle w:val="20"/>
            </w:pPr>
            <w:r>
              <w:t>2个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举办非遗展演活动</w:t>
            </w:r>
          </w:p>
        </w:tc>
        <w:tc>
          <w:tcPr>
            <w:tcW w:w="5386" w:type="dxa"/>
            <w:tcBorders>
              <w:top w:val="single" w:sz="6" w:space="0" w:color="auto"/>
              <w:left w:val="single" w:sz="6" w:space="0" w:color="auto"/>
              <w:right w:val="single" w:sz="6" w:space="0" w:color="auto"/>
            </w:tcBorders>
            <w:vAlign w:val="center"/>
          </w:tcPr>
          <w:p>
            <w:pPr>
              <w:pStyle w:val="20"/>
            </w:pPr>
            <w:r>
              <w:t>举办非遗展演活动场次</w:t>
            </w:r>
          </w:p>
        </w:tc>
        <w:tc>
          <w:tcPr>
            <w:tcW w:w="2268" w:type="dxa"/>
            <w:tcBorders>
              <w:top w:val="single" w:sz="6" w:space="0" w:color="auto"/>
              <w:left w:val="single" w:sz="6" w:space="0" w:color="auto"/>
              <w:right w:val="single" w:sz="6" w:space="0" w:color="auto"/>
            </w:tcBorders>
            <w:vAlign w:val="center"/>
          </w:tcPr>
          <w:p>
            <w:pPr>
              <w:pStyle w:val="20"/>
            </w:pPr>
            <w:r>
              <w:t>≥20场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控制成本</w:t>
            </w:r>
          </w:p>
        </w:tc>
        <w:tc>
          <w:tcPr>
            <w:tcW w:w="5386" w:type="dxa"/>
            <w:tcBorders>
              <w:top w:val="single" w:sz="6" w:space="0" w:color="auto"/>
              <w:left w:val="single" w:sz="6" w:space="0" w:color="auto"/>
              <w:right w:val="single" w:sz="6" w:space="0" w:color="auto"/>
            </w:tcBorders>
            <w:vAlign w:val="center"/>
          </w:tcPr>
          <w:p>
            <w:pPr>
              <w:pStyle w:val="20"/>
            </w:pPr>
            <w:r>
              <w:t>国家非物质文化遗产保护资金成本</w:t>
            </w:r>
          </w:p>
        </w:tc>
        <w:tc>
          <w:tcPr>
            <w:tcW w:w="2268" w:type="dxa"/>
            <w:tcBorders>
              <w:top w:val="single" w:sz="6" w:space="0" w:color="auto"/>
              <w:left w:val="single" w:sz="6" w:space="0" w:color="auto"/>
              <w:right w:val="single" w:sz="6" w:space="0" w:color="auto"/>
            </w:tcBorders>
            <w:vAlign w:val="center"/>
          </w:tcPr>
          <w:p>
            <w:pPr>
              <w:pStyle w:val="20"/>
            </w:pPr>
            <w:r>
              <w:t>≤76万元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提高财政资金使用效益</w:t>
            </w:r>
          </w:p>
        </w:tc>
        <w:tc>
          <w:tcPr>
            <w:tcW w:w="5386" w:type="dxa"/>
            <w:tcBorders>
              <w:top w:val="single" w:sz="6" w:space="0" w:color="auto"/>
              <w:left w:val="single" w:sz="6" w:space="0" w:color="auto"/>
              <w:right w:val="single" w:sz="6" w:space="0" w:color="auto"/>
            </w:tcBorders>
            <w:vAlign w:val="center"/>
          </w:tcPr>
          <w:p>
            <w:pPr>
              <w:pStyle w:val="20"/>
            </w:pPr>
            <w:r>
              <w:t>提高财政资金使用效益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5386"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提倡生态环保</w:t>
            </w:r>
          </w:p>
        </w:tc>
        <w:tc>
          <w:tcPr>
            <w:tcW w:w="5386" w:type="dxa"/>
            <w:tcBorders>
              <w:top w:val="single" w:sz="6" w:space="0" w:color="auto"/>
              <w:left w:val="single" w:sz="6" w:space="0" w:color="auto"/>
              <w:right w:val="single" w:sz="6" w:space="0" w:color="auto"/>
            </w:tcBorders>
            <w:vAlign w:val="center"/>
          </w:tcPr>
          <w:p>
            <w:pPr>
              <w:pStyle w:val="20"/>
            </w:pPr>
            <w:r>
              <w:t>提倡生态环保</w:t>
            </w:r>
          </w:p>
        </w:tc>
        <w:tc>
          <w:tcPr>
            <w:tcW w:w="2268" w:type="dxa"/>
            <w:tcBorders>
              <w:top w:val="single" w:sz="6" w:space="0" w:color="auto"/>
              <w:left w:val="single" w:sz="6" w:space="0" w:color="auto"/>
              <w:right w:val="single" w:sz="6" w:space="0" w:color="auto"/>
            </w:tcBorders>
            <w:vAlign w:val="center"/>
          </w:tcPr>
          <w:p>
            <w:pPr>
              <w:pStyle w:val="20"/>
            </w:pPr>
            <w:r>
              <w:t>较上年效果显著</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5386"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现场观众满意度</w:t>
            </w:r>
          </w:p>
        </w:tc>
        <w:tc>
          <w:tcPr>
            <w:tcW w:w="5386" w:type="dxa"/>
            <w:tcBorders>
              <w:top w:val="single" w:sz="6" w:space="0" w:color="auto"/>
              <w:left w:val="single" w:sz="6" w:space="0" w:color="auto"/>
              <w:right w:val="single" w:sz="6" w:space="0" w:color="auto"/>
            </w:tcBorders>
            <w:vAlign w:val="center"/>
          </w:tcPr>
          <w:p>
            <w:pPr>
              <w:pStyle w:val="20"/>
            </w:pPr>
            <w:r>
              <w:t>非遗展演活动现场观众满意度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3、冀财教[2023]134号提前下达2024年中央支持地方公共文化服务体系建设补助资金绩效目标表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13032224P008JC410092J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冀财教[2023]134号提前下达2024年中央支持地方公共文化服务体系建设补助资金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83.78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83.78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主要用于2024年文化惠民工程目标完成、17个乡镇文化站免费开放工作、县文图两馆业务提升、部分村级综合文化服务中心建设等工作。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1.通过标准化管理，提升县乡村三级文化设施免费开放服务水平</w:t>
            </w:r>
          </w:p>
          <w:p>
            <w:pPr>
              <w:pStyle w:val="20"/>
            </w:pPr>
            <w:r>
              <w:t>2.通过群众文化活动开展，达到文化惠民工程工作目标、服务群众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≥25万人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≥0.8%</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≤83.78万元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2024年文化活动数量比2023年增加的数量占2023年文化活动数量的比例</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4、冀财教[2023]144号关于提前下达2024年省级公共文化服务体系建设补助资金（一般项目）绩效目标表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13032224P008JC410088C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冀财教[2023]144号关于提前下达2024年省级公共文化服务体系建设补助资金（一般项目）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主要用于公共文化服务体系培训、部分村级综合文化服务中心业务修缮及文化广场建设等工作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1.通过标准化管理，提升县乡村三级文化设施免费开放服务水平</w:t>
            </w:r>
          </w:p>
          <w:p>
            <w:pPr>
              <w:pStyle w:val="20"/>
            </w:pPr>
            <w:r>
              <w:t>2.通过公共文化服务体系培训，提升基层文化骨干业务能力、服务群众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≥0.5万人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≥0.3%</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≥8万元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2024年文化活动数量比2023年增加的数量占2023年文化活动数量的比例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5、冀财教[2024]107号关于提前下达2025年国家非物质文化遗产保护资金绩效目标表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13032225P00217610001N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冀财教[2024]107号关于提前下达2025年国家非物质文化遗产保护资金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举办地秧歌展演活动，进一步扩大地秧歌的宣传力度；创编地秧歌新剧目，提高昌黎地秧歌的表演技艺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1.举办地秧歌展演活动，进一步扩大地秧歌的宣传力度</w:t>
            </w:r>
          </w:p>
          <w:p>
            <w:pPr>
              <w:pStyle w:val="20"/>
            </w:pPr>
            <w:r>
              <w:t>2.创编地秧歌新剧目，提高昌黎地秧歌的表演技艺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举办非遗展演活动</w:t>
            </w:r>
          </w:p>
        </w:tc>
        <w:tc>
          <w:tcPr>
            <w:tcW w:w="5386" w:type="dxa"/>
            <w:tcBorders>
              <w:top w:val="single" w:sz="6" w:space="0" w:color="auto"/>
              <w:left w:val="single" w:sz="6" w:space="0" w:color="auto"/>
              <w:right w:val="single" w:sz="6" w:space="0" w:color="auto"/>
            </w:tcBorders>
            <w:vAlign w:val="center"/>
          </w:tcPr>
          <w:p>
            <w:pPr>
              <w:pStyle w:val="20"/>
            </w:pPr>
            <w:r>
              <w:t>举办非遗展演活动场次</w:t>
            </w:r>
          </w:p>
        </w:tc>
        <w:tc>
          <w:tcPr>
            <w:tcW w:w="2268" w:type="dxa"/>
            <w:tcBorders>
              <w:top w:val="single" w:sz="6" w:space="0" w:color="auto"/>
              <w:left w:val="single" w:sz="6" w:space="0" w:color="auto"/>
              <w:right w:val="single" w:sz="6" w:space="0" w:color="auto"/>
            </w:tcBorders>
            <w:vAlign w:val="center"/>
          </w:tcPr>
          <w:p>
            <w:pPr>
              <w:pStyle w:val="20"/>
            </w:pPr>
            <w:r>
              <w:t>≥10场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控制成本</w:t>
            </w:r>
          </w:p>
        </w:tc>
        <w:tc>
          <w:tcPr>
            <w:tcW w:w="5386" w:type="dxa"/>
            <w:tcBorders>
              <w:top w:val="single" w:sz="6" w:space="0" w:color="auto"/>
              <w:left w:val="single" w:sz="6" w:space="0" w:color="auto"/>
              <w:right w:val="single" w:sz="6" w:space="0" w:color="auto"/>
            </w:tcBorders>
            <w:vAlign w:val="center"/>
          </w:tcPr>
          <w:p>
            <w:pPr>
              <w:pStyle w:val="20"/>
            </w:pPr>
            <w:r>
              <w:t>国家非物质文化遗产保护资金成本</w:t>
            </w:r>
          </w:p>
        </w:tc>
        <w:tc>
          <w:tcPr>
            <w:tcW w:w="2268" w:type="dxa"/>
            <w:tcBorders>
              <w:top w:val="single" w:sz="6" w:space="0" w:color="auto"/>
              <w:left w:val="single" w:sz="6" w:space="0" w:color="auto"/>
              <w:right w:val="single" w:sz="6" w:space="0" w:color="auto"/>
            </w:tcBorders>
            <w:vAlign w:val="center"/>
          </w:tcPr>
          <w:p>
            <w:pPr>
              <w:pStyle w:val="20"/>
            </w:pPr>
            <w:r>
              <w:t>≤35万元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提高财政资金使用效益</w:t>
            </w:r>
          </w:p>
        </w:tc>
        <w:tc>
          <w:tcPr>
            <w:tcW w:w="5386" w:type="dxa"/>
            <w:tcBorders>
              <w:top w:val="single" w:sz="6" w:space="0" w:color="auto"/>
              <w:left w:val="single" w:sz="6" w:space="0" w:color="auto"/>
              <w:right w:val="single" w:sz="6" w:space="0" w:color="auto"/>
            </w:tcBorders>
            <w:vAlign w:val="center"/>
          </w:tcPr>
          <w:p>
            <w:pPr>
              <w:pStyle w:val="20"/>
            </w:pPr>
            <w:r>
              <w:t>提高财政资金使用效益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5386"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提倡生态环保</w:t>
            </w:r>
          </w:p>
        </w:tc>
        <w:tc>
          <w:tcPr>
            <w:tcW w:w="5386" w:type="dxa"/>
            <w:tcBorders>
              <w:top w:val="single" w:sz="6" w:space="0" w:color="auto"/>
              <w:left w:val="single" w:sz="6" w:space="0" w:color="auto"/>
              <w:right w:val="single" w:sz="6" w:space="0" w:color="auto"/>
            </w:tcBorders>
            <w:vAlign w:val="center"/>
          </w:tcPr>
          <w:p>
            <w:pPr>
              <w:pStyle w:val="20"/>
            </w:pPr>
            <w:r>
              <w:t>提倡生态环保</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5386"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现场观众满意度</w:t>
            </w:r>
          </w:p>
        </w:tc>
        <w:tc>
          <w:tcPr>
            <w:tcW w:w="5386" w:type="dxa"/>
            <w:tcBorders>
              <w:top w:val="single" w:sz="6" w:space="0" w:color="auto"/>
              <w:left w:val="single" w:sz="6" w:space="0" w:color="auto"/>
              <w:right w:val="single" w:sz="6" w:space="0" w:color="auto"/>
            </w:tcBorders>
            <w:vAlign w:val="center"/>
          </w:tcPr>
          <w:p>
            <w:pPr>
              <w:pStyle w:val="20"/>
            </w:pPr>
            <w:r>
              <w:t>非遗展演活动现场观众满意度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6、冀财教[2024]109号关于提前下达2025年公共图书馆、美术馆、文化馆（站）免费开放补助资金绩效目标表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13032225P00217210005E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冀财教[2024]109号关于提前下达2025年公共图书馆、美术馆、文化馆（站）免费开放补助资金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通过标准化文化站管理，提升文化站免费开放服务水平</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1.通过标准化文化站管理，提升文化站免费开放服务水平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≥10万人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中央“三馆一站”文化站免费开放资金成本</w:t>
            </w:r>
          </w:p>
        </w:tc>
        <w:tc>
          <w:tcPr>
            <w:tcW w:w="5386" w:type="dxa"/>
            <w:tcBorders>
              <w:top w:val="single" w:sz="6" w:space="0" w:color="auto"/>
              <w:left w:val="single" w:sz="6" w:space="0" w:color="auto"/>
              <w:right w:val="single" w:sz="6" w:space="0" w:color="auto"/>
            </w:tcBorders>
            <w:vAlign w:val="center"/>
          </w:tcPr>
          <w:p>
            <w:pPr>
              <w:pStyle w:val="20"/>
            </w:pPr>
            <w:r>
              <w:t>文化站免费开放中央配套资金成本</w:t>
            </w:r>
          </w:p>
        </w:tc>
        <w:tc>
          <w:tcPr>
            <w:tcW w:w="2268" w:type="dxa"/>
            <w:tcBorders>
              <w:top w:val="single" w:sz="6" w:space="0" w:color="auto"/>
              <w:left w:val="single" w:sz="6" w:space="0" w:color="auto"/>
              <w:right w:val="single" w:sz="6" w:space="0" w:color="auto"/>
            </w:tcBorders>
            <w:vAlign w:val="center"/>
          </w:tcPr>
          <w:p>
            <w:pPr>
              <w:pStyle w:val="20"/>
            </w:pPr>
            <w:r>
              <w:t>≤43万元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7、冀财教[2024]113号关于提前下达2025年中央支持地方公共文化服务体系建设补助资金绩效目标表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13032225P00217710005T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冀财教[2024]113号关于提前下达2025年中央支持地方公共文化服务体系建设补助资金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228.29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228.29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提升县乡村三级文化设施免费开放服务水平，开展群众文化活动，服务群众</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1.提升县乡村三级文化设施免费开放服务水平，开展群众文化活动，服务群众。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惠及群众数量</w:t>
            </w:r>
          </w:p>
        </w:tc>
        <w:tc>
          <w:tcPr>
            <w:tcW w:w="2268" w:type="dxa"/>
            <w:tcBorders>
              <w:top w:val="single" w:sz="6" w:space="0" w:color="auto"/>
              <w:left w:val="single" w:sz="6" w:space="0" w:color="auto"/>
              <w:right w:val="single" w:sz="6" w:space="0" w:color="auto"/>
            </w:tcBorders>
            <w:vAlign w:val="center"/>
          </w:tcPr>
          <w:p>
            <w:pPr>
              <w:pStyle w:val="20"/>
            </w:pPr>
            <w:r>
              <w:t>≥12万人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≥0.4%</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≤228.29万元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≥12万元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≥2.5%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8、冀财教[2024]145号关于提前下达2025年省级非物质文化遗产保护专项资金绩效目标表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13032225P00217610002A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冀财教[2024]145号关于提前下达2025年省级非物质文化遗产保护专项资金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为了更好地保护和传承昌黎民间艺术，使昌黎传统文化得到有效地推广和传播，继承和弘扬昌黎非物质文化遗产。</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1.为了更好地保护和传承昌黎民间艺术，使昌黎传统文化得到有效地推广和传播，继承和弘扬昌黎非物质文化遗产。</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省级传承人数量</w:t>
            </w:r>
          </w:p>
        </w:tc>
        <w:tc>
          <w:tcPr>
            <w:tcW w:w="5386" w:type="dxa"/>
            <w:tcBorders>
              <w:top w:val="single" w:sz="6" w:space="0" w:color="auto"/>
              <w:left w:val="single" w:sz="6" w:space="0" w:color="auto"/>
              <w:right w:val="single" w:sz="6" w:space="0" w:color="auto"/>
            </w:tcBorders>
            <w:vAlign w:val="center"/>
          </w:tcPr>
          <w:p>
            <w:pPr>
              <w:pStyle w:val="20"/>
            </w:pPr>
            <w:r>
              <w:t>各项昌黎非遗项目省级传承人数量</w:t>
            </w:r>
          </w:p>
        </w:tc>
        <w:tc>
          <w:tcPr>
            <w:tcW w:w="2268" w:type="dxa"/>
            <w:tcBorders>
              <w:top w:val="single" w:sz="6" w:space="0" w:color="auto"/>
              <w:left w:val="single" w:sz="6" w:space="0" w:color="auto"/>
              <w:right w:val="single" w:sz="6" w:space="0" w:color="auto"/>
            </w:tcBorders>
            <w:vAlign w:val="center"/>
          </w:tcPr>
          <w:p>
            <w:pPr>
              <w:pStyle w:val="20"/>
            </w:pPr>
            <w:r>
              <w:t>≤15人</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传承推广服务人次</w:t>
            </w:r>
          </w:p>
        </w:tc>
        <w:tc>
          <w:tcPr>
            <w:tcW w:w="5386" w:type="dxa"/>
            <w:tcBorders>
              <w:top w:val="single" w:sz="6" w:space="0" w:color="auto"/>
              <w:left w:val="single" w:sz="6" w:space="0" w:color="auto"/>
              <w:right w:val="single" w:sz="6" w:space="0" w:color="auto"/>
            </w:tcBorders>
            <w:vAlign w:val="center"/>
          </w:tcPr>
          <w:p>
            <w:pPr>
              <w:pStyle w:val="20"/>
            </w:pPr>
            <w:r>
              <w:t>全年开展昌黎非遗项目传承宣传推广活动服务人次</w:t>
            </w:r>
          </w:p>
        </w:tc>
        <w:tc>
          <w:tcPr>
            <w:tcW w:w="2268" w:type="dxa"/>
            <w:tcBorders>
              <w:top w:val="single" w:sz="6" w:space="0" w:color="auto"/>
              <w:left w:val="single" w:sz="6" w:space="0" w:color="auto"/>
              <w:right w:val="single" w:sz="6" w:space="0" w:color="auto"/>
            </w:tcBorders>
            <w:vAlign w:val="center"/>
          </w:tcPr>
          <w:p>
            <w:pPr>
              <w:pStyle w:val="20"/>
            </w:pPr>
            <w:r>
              <w:t>≥5万人次</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开展宣传推广活动及时率</w:t>
            </w:r>
          </w:p>
        </w:tc>
        <w:tc>
          <w:tcPr>
            <w:tcW w:w="5386" w:type="dxa"/>
            <w:tcBorders>
              <w:top w:val="single" w:sz="6" w:space="0" w:color="auto"/>
              <w:left w:val="single" w:sz="6" w:space="0" w:color="auto"/>
              <w:right w:val="single" w:sz="6" w:space="0" w:color="auto"/>
            </w:tcBorders>
            <w:vAlign w:val="center"/>
          </w:tcPr>
          <w:p>
            <w:pPr>
              <w:pStyle w:val="20"/>
            </w:pPr>
            <w:r>
              <w:t>开展活动及时率=及时开展活动次数/全年计划开展活动次数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开展传承活动成本</w:t>
            </w:r>
          </w:p>
        </w:tc>
        <w:tc>
          <w:tcPr>
            <w:tcW w:w="5386" w:type="dxa"/>
            <w:tcBorders>
              <w:top w:val="single" w:sz="6" w:space="0" w:color="auto"/>
              <w:left w:val="single" w:sz="6" w:space="0" w:color="auto"/>
              <w:right w:val="single" w:sz="6" w:space="0" w:color="auto"/>
            </w:tcBorders>
            <w:vAlign w:val="center"/>
          </w:tcPr>
          <w:p>
            <w:pPr>
              <w:pStyle w:val="20"/>
            </w:pPr>
            <w:r>
              <w:t>开展昌黎非遗项目传承传承推广活动费用</w:t>
            </w:r>
          </w:p>
        </w:tc>
        <w:tc>
          <w:tcPr>
            <w:tcW w:w="2268" w:type="dxa"/>
            <w:tcBorders>
              <w:top w:val="single" w:sz="6" w:space="0" w:color="auto"/>
              <w:left w:val="single" w:sz="6" w:space="0" w:color="auto"/>
              <w:right w:val="single" w:sz="6" w:space="0" w:color="auto"/>
            </w:tcBorders>
            <w:vAlign w:val="center"/>
          </w:tcPr>
          <w:p>
            <w:pPr>
              <w:pStyle w:val="20"/>
            </w:pPr>
            <w:r>
              <w:t>≤9万元</w:t>
            </w:r>
          </w:p>
        </w:tc>
        <w:tc>
          <w:tcPr>
            <w:tcW w:w="1276" w:type="dxa"/>
            <w:vAlign w:val="center"/>
          </w:tcPr>
          <w:p>
            <w:pPr>
              <w:pStyle w:val="20"/>
            </w:pPr>
            <w:r>
              <w:t>河北省非物质文化遗产保护专项资金管理办法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推动非遗文化传承发展</w:t>
            </w:r>
          </w:p>
        </w:tc>
        <w:tc>
          <w:tcPr>
            <w:tcW w:w="5386" w:type="dxa"/>
            <w:tcBorders>
              <w:top w:val="single" w:sz="6" w:space="0" w:color="auto"/>
              <w:left w:val="single" w:sz="6" w:space="0" w:color="auto"/>
              <w:right w:val="single" w:sz="6" w:space="0" w:color="auto"/>
            </w:tcBorders>
            <w:vAlign w:val="center"/>
          </w:tcPr>
          <w:p>
            <w:pPr>
              <w:pStyle w:val="20"/>
            </w:pPr>
            <w:r>
              <w:t>开展昌黎非遗项目传承推广活动，进一步推动非遗文化传承发展</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进一步改善非遗文化传承生态环境</w:t>
            </w:r>
          </w:p>
        </w:tc>
        <w:tc>
          <w:tcPr>
            <w:tcW w:w="5386" w:type="dxa"/>
            <w:tcBorders>
              <w:top w:val="single" w:sz="6" w:space="0" w:color="auto"/>
              <w:left w:val="single" w:sz="6" w:space="0" w:color="auto"/>
              <w:right w:val="single" w:sz="6" w:space="0" w:color="auto"/>
            </w:tcBorders>
            <w:vAlign w:val="center"/>
          </w:tcPr>
          <w:p>
            <w:pPr>
              <w:pStyle w:val="20"/>
            </w:pPr>
            <w:r>
              <w:t>开展昌黎非遗项目传承推广活动，进一步改善非遗文化传承生态环境</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持续扩大传承影响人群</w:t>
            </w:r>
          </w:p>
        </w:tc>
        <w:tc>
          <w:tcPr>
            <w:tcW w:w="5386" w:type="dxa"/>
            <w:tcBorders>
              <w:top w:val="single" w:sz="6" w:space="0" w:color="auto"/>
              <w:left w:val="single" w:sz="6" w:space="0" w:color="auto"/>
              <w:right w:val="single" w:sz="6" w:space="0" w:color="auto"/>
            </w:tcBorders>
            <w:vAlign w:val="center"/>
          </w:tcPr>
          <w:p>
            <w:pPr>
              <w:pStyle w:val="20"/>
            </w:pPr>
            <w:r>
              <w:t>通过开展昌黎非遗项目传承推广活动，持续扩大传承影响人群</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问卷调查社会群众对非遗项目传承推广活动满意度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9、冀财教[2024]149号关于提前下达2025年省级公共图书馆、美术馆、文化馆（站）免费开放补助资金绩效目标表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冀财教[2024]149号关于提前下达2025年省级公共图书馆、美术馆、文化馆（站）免费开放补助资金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通过标准化文化站管理，提升文化站免费开放服务水平</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1.通过标准化文化站管理，提升文化站免费开放服务水平</w:t>
              <w:tab/>
              <w:tab/>
              <w:tab/>
              <w:tab/>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≥10万人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省级“三馆一站”文化站免费开放资金成本</w:t>
            </w:r>
          </w:p>
        </w:tc>
        <w:tc>
          <w:tcPr>
            <w:tcW w:w="5386" w:type="dxa"/>
            <w:tcBorders>
              <w:top w:val="single" w:sz="6" w:space="0" w:color="auto"/>
              <w:left w:val="single" w:sz="6" w:space="0" w:color="auto"/>
              <w:right w:val="single" w:sz="6" w:space="0" w:color="auto"/>
            </w:tcBorders>
            <w:vAlign w:val="center"/>
          </w:tcPr>
          <w:p>
            <w:pPr>
              <w:pStyle w:val="20"/>
            </w:pPr>
            <w:r>
              <w:t>文化站免费开放省级配套资金成本</w:t>
            </w:r>
          </w:p>
        </w:tc>
        <w:tc>
          <w:tcPr>
            <w:tcW w:w="2268" w:type="dxa"/>
            <w:tcBorders>
              <w:top w:val="single" w:sz="6" w:space="0" w:color="auto"/>
              <w:left w:val="single" w:sz="6" w:space="0" w:color="auto"/>
              <w:right w:val="single" w:sz="6" w:space="0" w:color="auto"/>
            </w:tcBorders>
            <w:vAlign w:val="center"/>
          </w:tcPr>
          <w:p>
            <w:pPr>
              <w:pStyle w:val="20"/>
            </w:pPr>
            <w:r>
              <w:t>≤8.5万元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≥2年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10、冀财教[2024]152号关于提前下达2025年省级公共文化服务体系建设补助资金绩效目标表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13032225P00217710001C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冀财教[2024]152号关于提前下达2025年省级公共文化服务体系建设补助资金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通过群众文化活动开展，达到文化惠民工程工作目标、服务群众</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1.通过群众文化活动开展，达到文化惠民工程工作目标、服务群众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≥3万人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≥0.3%</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≥8万元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11、冀财教[2024]55号关于下达2024年国家非物质文化遗产保护资金绩效目标表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13032224P008JC4101048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冀财教[2024]55号关于下达2024年国家非物质文化遗产保护资金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举办推广交流活动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12、冀财教[2024]56号关于下达2024年中央支持地方公共文化服务体系建设补助资金绩效目标表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13032224P008JC410105U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冀财教[2024]56号关于下达2024年中央支持地方公共文化服务体系建设补助资金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3.80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3.80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举办文化惠民演出活动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1.举办文化惠民演出2场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≥2000人次</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≥0.3%</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公共文化服务体系建设补助资金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≤3.8万元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惠民数量较上年增长</w:t>
            </w:r>
          </w:p>
        </w:tc>
        <w:tc>
          <w:tcPr>
            <w:tcW w:w="5386" w:type="dxa"/>
            <w:tcBorders>
              <w:top w:val="single" w:sz="6" w:space="0" w:color="auto"/>
              <w:left w:val="single" w:sz="6" w:space="0" w:color="auto"/>
              <w:right w:val="single" w:sz="6" w:space="0" w:color="auto"/>
            </w:tcBorders>
            <w:vAlign w:val="center"/>
          </w:tcPr>
          <w:p>
            <w:pPr>
              <w:pStyle w:val="20"/>
            </w:pPr>
            <w:r>
              <w:t>2024年惠民数量比2023年增加的数量占2023年惠民数量的比例</w:t>
            </w:r>
          </w:p>
        </w:tc>
        <w:tc>
          <w:tcPr>
            <w:tcW w:w="2268" w:type="dxa"/>
            <w:tcBorders>
              <w:top w:val="single" w:sz="6" w:space="0" w:color="auto"/>
              <w:left w:val="single" w:sz="6" w:space="0" w:color="auto"/>
              <w:right w:val="single" w:sz="6" w:space="0" w:color="auto"/>
            </w:tcBorders>
            <w:vAlign w:val="center"/>
          </w:tcPr>
          <w:p>
            <w:pPr>
              <w:pStyle w:val="20"/>
            </w:pPr>
            <w:r>
              <w:t>≥2%</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文化惠民演出的可持续影响</w:t>
            </w:r>
          </w:p>
        </w:tc>
        <w:tc>
          <w:tcPr>
            <w:tcW w:w="5386" w:type="dxa"/>
            <w:tcBorders>
              <w:top w:val="single" w:sz="6" w:space="0" w:color="auto"/>
              <w:left w:val="single" w:sz="6" w:space="0" w:color="auto"/>
              <w:right w:val="single" w:sz="6" w:space="0" w:color="auto"/>
            </w:tcBorders>
            <w:vAlign w:val="center"/>
          </w:tcPr>
          <w:p>
            <w:pPr>
              <w:pStyle w:val="20"/>
            </w:pPr>
            <w:r>
              <w:t>文化惠民演出产生的可持续影响时限</w:t>
            </w:r>
          </w:p>
        </w:tc>
        <w:tc>
          <w:tcPr>
            <w:tcW w:w="2268" w:type="dxa"/>
            <w:tcBorders>
              <w:top w:val="single" w:sz="6" w:space="0" w:color="auto"/>
              <w:left w:val="single" w:sz="6" w:space="0" w:color="auto"/>
              <w:right w:val="single" w:sz="6" w:space="0" w:color="auto"/>
            </w:tcBorders>
            <w:vAlign w:val="center"/>
          </w:tcPr>
          <w:p>
            <w:pPr>
              <w:pStyle w:val="20"/>
            </w:pPr>
            <w:r>
              <w:t>≥0.5年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13、企业人员补助绩效目标表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13032225P00233310042B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企业人员补助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保证人员工资按时发放，确保单位正常运转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1.保证人员工资按时发放，确保单位正常运转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工资保险人数</w:t>
            </w:r>
          </w:p>
        </w:tc>
        <w:tc>
          <w:tcPr>
            <w:tcW w:w="5386" w:type="dxa"/>
            <w:tcBorders>
              <w:top w:val="single" w:sz="6" w:space="0" w:color="auto"/>
              <w:left w:val="single" w:sz="6" w:space="0" w:color="auto"/>
              <w:right w:val="single" w:sz="6" w:space="0" w:color="auto"/>
            </w:tcBorders>
            <w:vAlign w:val="center"/>
          </w:tcPr>
          <w:p>
            <w:pPr>
              <w:pStyle w:val="20"/>
            </w:pPr>
            <w:r>
              <w:t>领取工资保险人数</w:t>
            </w:r>
          </w:p>
        </w:tc>
        <w:tc>
          <w:tcPr>
            <w:tcW w:w="2268" w:type="dxa"/>
            <w:tcBorders>
              <w:top w:val="single" w:sz="6" w:space="0" w:color="auto"/>
              <w:left w:val="single" w:sz="6" w:space="0" w:color="auto"/>
              <w:right w:val="single" w:sz="6" w:space="0" w:color="auto"/>
            </w:tcBorders>
            <w:vAlign w:val="center"/>
          </w:tcPr>
          <w:p>
            <w:pPr>
              <w:pStyle w:val="20"/>
            </w:pPr>
            <w:r>
              <w:t>≥27人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人员经费发放及时率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工资保险等经费</w:t>
            </w:r>
          </w:p>
        </w:tc>
        <w:tc>
          <w:tcPr>
            <w:tcW w:w="5386" w:type="dxa"/>
            <w:tcBorders>
              <w:top w:val="single" w:sz="6" w:space="0" w:color="auto"/>
              <w:left w:val="single" w:sz="6" w:space="0" w:color="auto"/>
              <w:right w:val="single" w:sz="6" w:space="0" w:color="auto"/>
            </w:tcBorders>
            <w:vAlign w:val="center"/>
          </w:tcPr>
          <w:p>
            <w:pPr>
              <w:pStyle w:val="20"/>
            </w:pPr>
            <w:r>
              <w:t>经费总额</w:t>
            </w:r>
          </w:p>
        </w:tc>
        <w:tc>
          <w:tcPr>
            <w:tcW w:w="2268" w:type="dxa"/>
            <w:tcBorders>
              <w:top w:val="single" w:sz="6" w:space="0" w:color="auto"/>
              <w:left w:val="single" w:sz="6" w:space="0" w:color="auto"/>
              <w:right w:val="single" w:sz="6" w:space="0" w:color="auto"/>
            </w:tcBorders>
            <w:vAlign w:val="center"/>
          </w:tcPr>
          <w:p>
            <w:pPr>
              <w:pStyle w:val="20"/>
            </w:pPr>
            <w:r>
              <w:t>140万元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较上一年提高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较上年有效保证业务工作顺利开展</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14、2025年度县级图书馆免费开放资金绩效目标表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13032225P00217210002K</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2025年度县级图书馆免费开放资金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开展各类公益活动，业务活动用房小型修缮等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1.提供基本公共文化服务，开展业务活动，改善业务活动用房等，确保图书馆免费开放正常运转。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开展各类活动次数</w:t>
            </w:r>
          </w:p>
        </w:tc>
        <w:tc>
          <w:tcPr>
            <w:tcW w:w="5386" w:type="dxa"/>
            <w:tcBorders>
              <w:top w:val="single" w:sz="6" w:space="0" w:color="auto"/>
              <w:left w:val="single" w:sz="6" w:space="0" w:color="auto"/>
              <w:right w:val="single" w:sz="6" w:space="0" w:color="auto"/>
            </w:tcBorders>
            <w:vAlign w:val="center"/>
          </w:tcPr>
          <w:p>
            <w:pPr>
              <w:pStyle w:val="20"/>
            </w:pPr>
            <w:r>
              <w:t>本项次数统计为图书馆开展各类活动次数。</w:t>
            </w:r>
          </w:p>
        </w:tc>
        <w:tc>
          <w:tcPr>
            <w:tcW w:w="2268" w:type="dxa"/>
            <w:tcBorders>
              <w:top w:val="single" w:sz="6" w:space="0" w:color="auto"/>
              <w:left w:val="single" w:sz="6" w:space="0" w:color="auto"/>
              <w:right w:val="single" w:sz="6" w:space="0" w:color="auto"/>
            </w:tcBorders>
            <w:vAlign w:val="center"/>
          </w:tcPr>
          <w:p>
            <w:pPr>
              <w:pStyle w:val="20"/>
            </w:pPr>
            <w:r>
              <w:t>≥4场次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全年活动参与人数与上年度活动参与人数对比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开展活动需费用</w:t>
            </w:r>
          </w:p>
        </w:tc>
        <w:tc>
          <w:tcPr>
            <w:tcW w:w="5386" w:type="dxa"/>
            <w:tcBorders>
              <w:top w:val="single" w:sz="6" w:space="0" w:color="auto"/>
              <w:left w:val="single" w:sz="6" w:space="0" w:color="auto"/>
              <w:right w:val="single" w:sz="6" w:space="0" w:color="auto"/>
            </w:tcBorders>
            <w:vAlign w:val="center"/>
          </w:tcPr>
          <w:p>
            <w:pPr>
              <w:pStyle w:val="20"/>
            </w:pPr>
            <w:r>
              <w:t>开展各类书画艺术讲座、图书分享会，公益讲座等所需费用</w:t>
            </w:r>
          </w:p>
        </w:tc>
        <w:tc>
          <w:tcPr>
            <w:tcW w:w="2268" w:type="dxa"/>
            <w:tcBorders>
              <w:top w:val="single" w:sz="6" w:space="0" w:color="auto"/>
              <w:left w:val="single" w:sz="6" w:space="0" w:color="auto"/>
              <w:right w:val="single" w:sz="6" w:space="0" w:color="auto"/>
            </w:tcBorders>
            <w:vAlign w:val="center"/>
          </w:tcPr>
          <w:p>
            <w:pPr>
              <w:pStyle w:val="20"/>
            </w:pPr>
            <w:r>
              <w:t>≤3万元</w:t>
            </w:r>
          </w:p>
        </w:tc>
        <w:tc>
          <w:tcPr>
            <w:tcW w:w="1276" w:type="dxa"/>
            <w:vAlign w:val="center"/>
          </w:tcPr>
          <w:p>
            <w:pPr>
              <w:pStyle w:val="20"/>
            </w:pPr>
            <w:r>
              <w:t>第1-4季度活动预算方案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通过活动开展、数字化全馆覆盖、业务用房修缮等产生的费用，提升本地供应商收入</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对阅读推广宣传影响程度</w:t>
            </w:r>
          </w:p>
        </w:tc>
        <w:tc>
          <w:tcPr>
            <w:tcW w:w="5386" w:type="dxa"/>
            <w:tcBorders>
              <w:top w:val="single" w:sz="6" w:space="0" w:color="auto"/>
              <w:left w:val="single" w:sz="6" w:space="0" w:color="auto"/>
              <w:right w:val="single" w:sz="6" w:space="0" w:color="auto"/>
            </w:tcBorders>
            <w:vAlign w:val="center"/>
          </w:tcPr>
          <w:p>
            <w:pPr>
              <w:pStyle w:val="20"/>
            </w:pPr>
            <w:r>
              <w:t>通过开展讲座、展览、公益培训、读书分享会等系列活动，培养公众阅读习惯。</w:t>
            </w:r>
          </w:p>
        </w:tc>
        <w:tc>
          <w:tcPr>
            <w:tcW w:w="2268" w:type="dxa"/>
            <w:tcBorders>
              <w:top w:val="single" w:sz="6" w:space="0" w:color="auto"/>
              <w:left w:val="single" w:sz="6" w:space="0" w:color="auto"/>
              <w:right w:val="single" w:sz="6" w:space="0" w:color="auto"/>
            </w:tcBorders>
            <w:vAlign w:val="center"/>
          </w:tcPr>
          <w:p>
            <w:pPr>
              <w:pStyle w:val="20"/>
            </w:pPr>
            <w:r>
              <w:t>活动参与人数和受益群众较上年增加。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节约资源</w:t>
            </w:r>
          </w:p>
        </w:tc>
        <w:tc>
          <w:tcPr>
            <w:tcW w:w="5386" w:type="dxa"/>
            <w:tcBorders>
              <w:top w:val="single" w:sz="6" w:space="0" w:color="auto"/>
              <w:left w:val="single" w:sz="6" w:space="0" w:color="auto"/>
              <w:right w:val="single" w:sz="6" w:space="0" w:color="auto"/>
            </w:tcBorders>
            <w:vAlign w:val="center"/>
          </w:tcPr>
          <w:p>
            <w:pPr>
              <w:pStyle w:val="20"/>
            </w:pPr>
            <w:r>
              <w:t>节约水、电资源，降低耗能，实现绿色办公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水费、电费单据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15、冀财教[2023]134号提前下达2024年中央支持地方公共文化服务体系建设补助资金绩效目标表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13032224P008JC410092J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冀财教[2023]134号提前下达2024年中央支持地方公共文化服务体系建设补助资金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36.82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36.82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用于更新馆藏资源，为读者提供免费借阅服务。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1.丰富馆藏文献，优化馆藏结构，购置中外图书报刊、电子图书等，满足读者多元化需求。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馆藏更新册数</w:t>
            </w:r>
          </w:p>
        </w:tc>
        <w:tc>
          <w:tcPr>
            <w:tcW w:w="5386" w:type="dxa"/>
            <w:tcBorders>
              <w:top w:val="single" w:sz="6" w:space="0" w:color="auto"/>
              <w:left w:val="single" w:sz="6" w:space="0" w:color="auto"/>
              <w:right w:val="single" w:sz="6" w:space="0" w:color="auto"/>
            </w:tcBorders>
            <w:vAlign w:val="center"/>
          </w:tcPr>
          <w:p>
            <w:pPr>
              <w:pStyle w:val="20"/>
            </w:pPr>
            <w:r>
              <w:t>本年的新增藏书量</w:t>
            </w:r>
          </w:p>
        </w:tc>
        <w:tc>
          <w:tcPr>
            <w:tcW w:w="2268" w:type="dxa"/>
            <w:tcBorders>
              <w:top w:val="single" w:sz="6" w:space="0" w:color="auto"/>
              <w:left w:val="single" w:sz="6" w:space="0" w:color="auto"/>
              <w:right w:val="single" w:sz="6" w:space="0" w:color="auto"/>
            </w:tcBorders>
            <w:vAlign w:val="center"/>
          </w:tcPr>
          <w:p>
            <w:pPr>
              <w:pStyle w:val="20"/>
            </w:pPr>
            <w:r>
              <w:t>≥5000册</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本项统计全年活动参与人数与上年度活动参与人数作对比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项目完成情况</w:t>
            </w:r>
          </w:p>
        </w:tc>
        <w:tc>
          <w:tcPr>
            <w:tcW w:w="5386" w:type="dxa"/>
            <w:tcBorders>
              <w:top w:val="single" w:sz="6" w:space="0" w:color="auto"/>
              <w:left w:val="single" w:sz="6" w:space="0" w:color="auto"/>
              <w:right w:val="single" w:sz="6" w:space="0" w:color="auto"/>
            </w:tcBorders>
            <w:vAlign w:val="center"/>
          </w:tcPr>
          <w:p>
            <w:pPr>
              <w:pStyle w:val="20"/>
            </w:pPr>
            <w:r>
              <w:t>项目建设完成实际时间</w:t>
            </w:r>
          </w:p>
        </w:tc>
        <w:tc>
          <w:tcPr>
            <w:tcW w:w="2268" w:type="dxa"/>
            <w:tcBorders>
              <w:top w:val="single" w:sz="6" w:space="0" w:color="auto"/>
              <w:left w:val="single" w:sz="6" w:space="0" w:color="auto"/>
              <w:right w:val="single" w:sz="6" w:space="0" w:color="auto"/>
            </w:tcBorders>
            <w:vAlign w:val="center"/>
          </w:tcPr>
          <w:p>
            <w:pPr>
              <w:pStyle w:val="20"/>
            </w:pPr>
            <w:r>
              <w:t>12月31日前</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图书采购成本</w:t>
            </w:r>
          </w:p>
        </w:tc>
        <w:tc>
          <w:tcPr>
            <w:tcW w:w="5386" w:type="dxa"/>
            <w:tcBorders>
              <w:top w:val="single" w:sz="6" w:space="0" w:color="auto"/>
              <w:left w:val="single" w:sz="6" w:space="0" w:color="auto"/>
              <w:right w:val="single" w:sz="6" w:space="0" w:color="auto"/>
            </w:tcBorders>
            <w:vAlign w:val="center"/>
          </w:tcPr>
          <w:p>
            <w:pPr>
              <w:pStyle w:val="20"/>
            </w:pPr>
            <w:r>
              <w:t>实际购书成本控制数</w:t>
            </w:r>
          </w:p>
        </w:tc>
        <w:tc>
          <w:tcPr>
            <w:tcW w:w="2268" w:type="dxa"/>
            <w:tcBorders>
              <w:top w:val="single" w:sz="6" w:space="0" w:color="auto"/>
              <w:left w:val="single" w:sz="6" w:space="0" w:color="auto"/>
              <w:right w:val="single" w:sz="6" w:space="0" w:color="auto"/>
            </w:tcBorders>
            <w:vAlign w:val="center"/>
          </w:tcPr>
          <w:p>
            <w:pPr>
              <w:pStyle w:val="20"/>
            </w:pPr>
            <w:r>
              <w:t>≤25万元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通过购买图书、报刊征订等</w:t>
            </w:r>
          </w:p>
          <w:p>
            <w:pPr>
              <w:pStyle w:val="20"/>
            </w:pPr>
            <w:r>
              <w:t>，带动本地经济增收</w:t>
            </w:r>
          </w:p>
        </w:tc>
        <w:tc>
          <w:tcPr>
            <w:tcW w:w="2268" w:type="dxa"/>
            <w:tcBorders>
              <w:top w:val="single" w:sz="6" w:space="0" w:color="auto"/>
              <w:left w:val="single" w:sz="6" w:space="0" w:color="auto"/>
              <w:right w:val="single" w:sz="6" w:space="0" w:color="auto"/>
            </w:tcBorders>
            <w:vAlign w:val="center"/>
          </w:tcPr>
          <w:p>
            <w:pPr>
              <w:pStyle w:val="20"/>
            </w:pPr>
            <w:r>
              <w:t>≥25万元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 程度</w:t>
            </w:r>
          </w:p>
        </w:tc>
        <w:tc>
          <w:tcPr>
            <w:tcW w:w="5386" w:type="dxa"/>
            <w:tcBorders>
              <w:top w:val="single" w:sz="6" w:space="0" w:color="auto"/>
              <w:left w:val="single" w:sz="6" w:space="0" w:color="auto"/>
              <w:right w:val="single" w:sz="6" w:space="0" w:color="auto"/>
            </w:tcBorders>
            <w:vAlign w:val="center"/>
          </w:tcPr>
          <w:p>
            <w:pPr>
              <w:pStyle w:val="20"/>
            </w:pPr>
            <w:r>
              <w:t>对推进全民阅读、培养阅读习惯的影响程度</w:t>
            </w:r>
          </w:p>
        </w:tc>
        <w:tc>
          <w:tcPr>
            <w:tcW w:w="2268" w:type="dxa"/>
            <w:tcBorders>
              <w:top w:val="single" w:sz="6" w:space="0" w:color="auto"/>
              <w:left w:val="single" w:sz="6" w:space="0" w:color="auto"/>
              <w:right w:val="single" w:sz="6" w:space="0" w:color="auto"/>
            </w:tcBorders>
            <w:vAlign w:val="center"/>
          </w:tcPr>
          <w:p>
            <w:pPr>
              <w:pStyle w:val="20"/>
            </w:pPr>
            <w:r>
              <w:t>活动参与人数和受益群众较上年增加。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提升文化服务水平</w:t>
            </w:r>
          </w:p>
        </w:tc>
        <w:tc>
          <w:tcPr>
            <w:tcW w:w="5386" w:type="dxa"/>
            <w:tcBorders>
              <w:top w:val="single" w:sz="6" w:space="0" w:color="auto"/>
              <w:left w:val="single" w:sz="6" w:space="0" w:color="auto"/>
              <w:right w:val="single" w:sz="6" w:space="0" w:color="auto"/>
            </w:tcBorders>
            <w:vAlign w:val="center"/>
          </w:tcPr>
          <w:p>
            <w:pPr>
              <w:pStyle w:val="20"/>
            </w:pPr>
            <w:r>
              <w:t>免费开放服务水平稳步提升</w:t>
            </w:r>
          </w:p>
        </w:tc>
        <w:tc>
          <w:tcPr>
            <w:tcW w:w="2268" w:type="dxa"/>
            <w:tcBorders>
              <w:top w:val="single" w:sz="6" w:space="0" w:color="auto"/>
              <w:left w:val="single" w:sz="6" w:space="0" w:color="auto"/>
              <w:right w:val="single" w:sz="6" w:space="0" w:color="auto"/>
            </w:tcBorders>
            <w:vAlign w:val="center"/>
          </w:tcPr>
          <w:p>
            <w:pPr>
              <w:pStyle w:val="20"/>
            </w:pPr>
            <w:r>
              <w:t>文化服务水平较上年提升</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16、冀财教[2024]109号关于提前下达2025年公共图书馆、美术馆、文化馆（站）免费开放补助资金绩效目标表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13032225P00217210005E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冀财教[2024]109号关于提前下达2025年公共图书馆、美术馆、文化馆（站）免费开放补助资金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举办公益性讲座、开展阅读推广、宣传活动，开展送书下乡服务，改善业务活动用房等。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1.提供基本公共文化服务，开展业务活动，改善业务活动用房等，确保图书馆免费开放正常运转。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服务读者人次</w:t>
            </w:r>
          </w:p>
        </w:tc>
        <w:tc>
          <w:tcPr>
            <w:tcW w:w="5386" w:type="dxa"/>
            <w:tcBorders>
              <w:top w:val="single" w:sz="6" w:space="0" w:color="auto"/>
              <w:left w:val="single" w:sz="6" w:space="0" w:color="auto"/>
              <w:right w:val="single" w:sz="6" w:space="0" w:color="auto"/>
            </w:tcBorders>
            <w:vAlign w:val="center"/>
          </w:tcPr>
          <w:p>
            <w:pPr>
              <w:pStyle w:val="20"/>
            </w:pPr>
            <w:r>
              <w:t>图书馆开展各类公益讲座、阅读推广活动、公益展览等，服务人次。</w:t>
            </w:r>
          </w:p>
        </w:tc>
        <w:tc>
          <w:tcPr>
            <w:tcW w:w="2268" w:type="dxa"/>
            <w:tcBorders>
              <w:top w:val="single" w:sz="6" w:space="0" w:color="auto"/>
              <w:left w:val="single" w:sz="6" w:space="0" w:color="auto"/>
              <w:right w:val="single" w:sz="6" w:space="0" w:color="auto"/>
            </w:tcBorders>
            <w:vAlign w:val="center"/>
          </w:tcPr>
          <w:p>
            <w:pPr>
              <w:pStyle w:val="20"/>
            </w:pPr>
            <w:r>
              <w:t>≥50000人次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全年活动参与人数与上年度活动参与人数对比。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开展活动需费用</w:t>
            </w:r>
          </w:p>
        </w:tc>
        <w:tc>
          <w:tcPr>
            <w:tcW w:w="5386" w:type="dxa"/>
            <w:tcBorders>
              <w:top w:val="single" w:sz="6" w:space="0" w:color="auto"/>
              <w:left w:val="single" w:sz="6" w:space="0" w:color="auto"/>
              <w:right w:val="single" w:sz="6" w:space="0" w:color="auto"/>
            </w:tcBorders>
            <w:vAlign w:val="center"/>
          </w:tcPr>
          <w:p>
            <w:pPr>
              <w:pStyle w:val="20"/>
            </w:pPr>
            <w:r>
              <w:t>开展各类公益讲座、阅读推广等活动所需费用。</w:t>
            </w:r>
          </w:p>
        </w:tc>
        <w:tc>
          <w:tcPr>
            <w:tcW w:w="2268" w:type="dxa"/>
            <w:tcBorders>
              <w:top w:val="single" w:sz="6" w:space="0" w:color="auto"/>
              <w:left w:val="single" w:sz="6" w:space="0" w:color="auto"/>
              <w:right w:val="single" w:sz="6" w:space="0" w:color="auto"/>
            </w:tcBorders>
            <w:vAlign w:val="center"/>
          </w:tcPr>
          <w:p>
            <w:pPr>
              <w:pStyle w:val="20"/>
            </w:pPr>
            <w:r>
              <w:t>≤9万元</w:t>
            </w:r>
          </w:p>
        </w:tc>
        <w:tc>
          <w:tcPr>
            <w:tcW w:w="1276" w:type="dxa"/>
            <w:vAlign w:val="center"/>
          </w:tcPr>
          <w:p>
            <w:pPr>
              <w:pStyle w:val="20"/>
            </w:pPr>
            <w:r>
              <w:t>第1-4季度活动预算方案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通过开展各类公益活动，带动本地供应商增收。</w:t>
            </w:r>
          </w:p>
        </w:tc>
        <w:tc>
          <w:tcPr>
            <w:tcW w:w="2268" w:type="dxa"/>
            <w:tcBorders>
              <w:top w:val="single" w:sz="6" w:space="0" w:color="auto"/>
              <w:left w:val="single" w:sz="6" w:space="0" w:color="auto"/>
              <w:right w:val="single" w:sz="6" w:space="0" w:color="auto"/>
            </w:tcBorders>
            <w:vAlign w:val="center"/>
          </w:tcPr>
          <w:p>
            <w:pPr>
              <w:pStyle w:val="20"/>
            </w:pPr>
            <w:r>
              <w:t>≤3万元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对阅读推广宣传影响程度</w:t>
            </w:r>
          </w:p>
        </w:tc>
        <w:tc>
          <w:tcPr>
            <w:tcW w:w="5386" w:type="dxa"/>
            <w:tcBorders>
              <w:top w:val="single" w:sz="6" w:space="0" w:color="auto"/>
              <w:left w:val="single" w:sz="6" w:space="0" w:color="auto"/>
              <w:right w:val="single" w:sz="6" w:space="0" w:color="auto"/>
            </w:tcBorders>
            <w:vAlign w:val="center"/>
          </w:tcPr>
          <w:p>
            <w:pPr>
              <w:pStyle w:val="20"/>
            </w:pPr>
            <w:r>
              <w:t>通过开展讲座、展览、公益培训、阅读推广等系列活动，培养公众阅读习惯。</w:t>
            </w:r>
          </w:p>
        </w:tc>
        <w:tc>
          <w:tcPr>
            <w:tcW w:w="2268" w:type="dxa"/>
            <w:tcBorders>
              <w:top w:val="single" w:sz="6" w:space="0" w:color="auto"/>
              <w:left w:val="single" w:sz="6" w:space="0" w:color="auto"/>
              <w:right w:val="single" w:sz="6" w:space="0" w:color="auto"/>
            </w:tcBorders>
            <w:vAlign w:val="center"/>
          </w:tcPr>
          <w:p>
            <w:pPr>
              <w:pStyle w:val="20"/>
            </w:pPr>
            <w:r>
              <w:t>活动参与人数和受益群众较上年增加。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提升文化服务水平</w:t>
            </w:r>
          </w:p>
        </w:tc>
        <w:tc>
          <w:tcPr>
            <w:tcW w:w="5386" w:type="dxa"/>
            <w:tcBorders>
              <w:top w:val="single" w:sz="6" w:space="0" w:color="auto"/>
              <w:left w:val="single" w:sz="6" w:space="0" w:color="auto"/>
              <w:right w:val="single" w:sz="6" w:space="0" w:color="auto"/>
            </w:tcBorders>
            <w:vAlign w:val="center"/>
          </w:tcPr>
          <w:p>
            <w:pPr>
              <w:pStyle w:val="20"/>
            </w:pPr>
            <w:r>
              <w:t>免费开放服务水平稳步提升</w:t>
            </w:r>
          </w:p>
        </w:tc>
        <w:tc>
          <w:tcPr>
            <w:tcW w:w="2268" w:type="dxa"/>
            <w:tcBorders>
              <w:top w:val="single" w:sz="6" w:space="0" w:color="auto"/>
              <w:left w:val="single" w:sz="6" w:space="0" w:color="auto"/>
              <w:right w:val="single" w:sz="6" w:space="0" w:color="auto"/>
            </w:tcBorders>
            <w:vAlign w:val="center"/>
          </w:tcPr>
          <w:p>
            <w:pPr>
              <w:pStyle w:val="20"/>
            </w:pPr>
            <w:r>
              <w:t>文化服务水平较上年提升</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图书馆免费开放各项服务正常运转</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17、冀财教[2024]113号关于提前下达2025年中央支持地方公共文化服务体系建设补助资金绩效目标表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13032225P00217710006E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冀财教[2024]113号关于提前下达2025年中央支持地方公共文化服务体系建设补助资金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公共数字文化软硬件平台建设，配备图书、报刊并免费提供借阅服务等，提供基本公共文化服务等。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1.订购报刊、图书，搭建数字化服务平台，满足读者的文化需求，吸引更多市民走进图书馆，提高图书馆的利用率。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公共数字文化平台建设数量</w:t>
            </w:r>
          </w:p>
        </w:tc>
        <w:tc>
          <w:tcPr>
            <w:tcW w:w="5386" w:type="dxa"/>
            <w:tcBorders>
              <w:top w:val="single" w:sz="6" w:space="0" w:color="auto"/>
              <w:left w:val="single" w:sz="6" w:space="0" w:color="auto"/>
              <w:right w:val="single" w:sz="6" w:space="0" w:color="auto"/>
            </w:tcBorders>
            <w:vAlign w:val="center"/>
          </w:tcPr>
          <w:p>
            <w:pPr>
              <w:pStyle w:val="20"/>
            </w:pPr>
            <w:r>
              <w:t>超星移动图书馆平台更新服务费</w:t>
            </w:r>
          </w:p>
        </w:tc>
        <w:tc>
          <w:tcPr>
            <w:tcW w:w="2268" w:type="dxa"/>
            <w:tcBorders>
              <w:top w:val="single" w:sz="6" w:space="0" w:color="auto"/>
              <w:left w:val="single" w:sz="6" w:space="0" w:color="auto"/>
              <w:right w:val="single" w:sz="6" w:space="0" w:color="auto"/>
            </w:tcBorders>
            <w:vAlign w:val="center"/>
          </w:tcPr>
          <w:p>
            <w:pPr>
              <w:pStyle w:val="20"/>
            </w:pPr>
            <w:r>
              <w:t>1项</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验收合格率</w:t>
            </w:r>
          </w:p>
        </w:tc>
        <w:tc>
          <w:tcPr>
            <w:tcW w:w="5386" w:type="dxa"/>
            <w:tcBorders>
              <w:top w:val="single" w:sz="6" w:space="0" w:color="auto"/>
              <w:left w:val="single" w:sz="6" w:space="0" w:color="auto"/>
              <w:right w:val="single" w:sz="6" w:space="0" w:color="auto"/>
            </w:tcBorders>
            <w:vAlign w:val="center"/>
          </w:tcPr>
          <w:p>
            <w:pPr>
              <w:pStyle w:val="20"/>
            </w:pPr>
            <w:r>
              <w:t>图书、报刊验收合格率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服务费成本</w:t>
            </w:r>
          </w:p>
        </w:tc>
        <w:tc>
          <w:tcPr>
            <w:tcW w:w="5386" w:type="dxa"/>
            <w:tcBorders>
              <w:top w:val="single" w:sz="6" w:space="0" w:color="auto"/>
              <w:left w:val="single" w:sz="6" w:space="0" w:color="auto"/>
              <w:right w:val="single" w:sz="6" w:space="0" w:color="auto"/>
            </w:tcBorders>
            <w:vAlign w:val="center"/>
          </w:tcPr>
          <w:p>
            <w:pPr>
              <w:pStyle w:val="20"/>
            </w:pPr>
            <w:r>
              <w:t>实际软件更新服务费成本控制数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通过购买图书、报刊等</w:t>
            </w:r>
          </w:p>
          <w:p>
            <w:pPr>
              <w:pStyle w:val="20"/>
            </w:pPr>
            <w:r>
              <w:t>，带动本地经济增收</w:t>
            </w:r>
          </w:p>
        </w:tc>
        <w:tc>
          <w:tcPr>
            <w:tcW w:w="2268" w:type="dxa"/>
            <w:tcBorders>
              <w:top w:val="single" w:sz="6" w:space="0" w:color="auto"/>
              <w:left w:val="single" w:sz="6" w:space="0" w:color="auto"/>
              <w:right w:val="single" w:sz="6" w:space="0" w:color="auto"/>
            </w:tcBorders>
            <w:vAlign w:val="center"/>
          </w:tcPr>
          <w:p>
            <w:pPr>
              <w:pStyle w:val="20"/>
            </w:pPr>
            <w:r>
              <w:t>≥15万元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对阅读推广宣传影响程度</w:t>
            </w:r>
          </w:p>
        </w:tc>
        <w:tc>
          <w:tcPr>
            <w:tcW w:w="5386" w:type="dxa"/>
            <w:tcBorders>
              <w:top w:val="single" w:sz="6" w:space="0" w:color="auto"/>
              <w:left w:val="single" w:sz="6" w:space="0" w:color="auto"/>
              <w:right w:val="single" w:sz="6" w:space="0" w:color="auto"/>
            </w:tcBorders>
            <w:vAlign w:val="center"/>
          </w:tcPr>
          <w:p>
            <w:pPr>
              <w:pStyle w:val="20"/>
            </w:pPr>
            <w:r>
              <w:t>对推进全民阅读、培养阅读习惯的影响程度</w:t>
            </w:r>
          </w:p>
        </w:tc>
        <w:tc>
          <w:tcPr>
            <w:tcW w:w="2268" w:type="dxa"/>
            <w:tcBorders>
              <w:top w:val="single" w:sz="6" w:space="0" w:color="auto"/>
              <w:left w:val="single" w:sz="6" w:space="0" w:color="auto"/>
              <w:right w:val="single" w:sz="6" w:space="0" w:color="auto"/>
            </w:tcBorders>
            <w:vAlign w:val="center"/>
          </w:tcPr>
          <w:p>
            <w:pPr>
              <w:pStyle w:val="20"/>
            </w:pPr>
            <w:r>
              <w:t>全民阅读受益群众较上年增加。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提升文化服务水平</w:t>
            </w:r>
          </w:p>
        </w:tc>
        <w:tc>
          <w:tcPr>
            <w:tcW w:w="5386" w:type="dxa"/>
            <w:tcBorders>
              <w:top w:val="single" w:sz="6" w:space="0" w:color="auto"/>
              <w:left w:val="single" w:sz="6" w:space="0" w:color="auto"/>
              <w:right w:val="single" w:sz="6" w:space="0" w:color="auto"/>
            </w:tcBorders>
            <w:vAlign w:val="center"/>
          </w:tcPr>
          <w:p>
            <w:pPr>
              <w:pStyle w:val="20"/>
            </w:pPr>
            <w:r>
              <w:t>促进全民阅读，提升公共文化服务均等化，促进我馆各项事业稳步发展</w:t>
            </w:r>
          </w:p>
        </w:tc>
        <w:tc>
          <w:tcPr>
            <w:tcW w:w="2268" w:type="dxa"/>
            <w:tcBorders>
              <w:top w:val="single" w:sz="6" w:space="0" w:color="auto"/>
              <w:left w:val="single" w:sz="6" w:space="0" w:color="auto"/>
              <w:right w:val="single" w:sz="6" w:space="0" w:color="auto"/>
            </w:tcBorders>
            <w:vAlign w:val="center"/>
          </w:tcPr>
          <w:p>
            <w:pPr>
              <w:pStyle w:val="20"/>
            </w:pPr>
            <w:r>
              <w:t>文化服务水平较上年提升。</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图书馆免费开放各项服务正常运转</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18、冀财教[2024]149号关于提前下达2025年省级公共图书馆、美术馆、文化馆（站）免费开放补助资金绩效目标表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冀财教[2024]149号关于提前下达2025年省级公共图书馆、美术馆、文化馆（站）免费开放补助资金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馆内wifi全覆盖，改善业务活动用房等。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1.提供基本公共文化服务，开展业务活动，改善业务活动用房等，确保图书馆免费开放正常运转。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移动、联通通信服务费</w:t>
            </w:r>
          </w:p>
        </w:tc>
        <w:tc>
          <w:tcPr>
            <w:tcW w:w="5386" w:type="dxa"/>
            <w:tcBorders>
              <w:top w:val="single" w:sz="6" w:space="0" w:color="auto"/>
              <w:left w:val="single" w:sz="6" w:space="0" w:color="auto"/>
              <w:right w:val="single" w:sz="6" w:space="0" w:color="auto"/>
            </w:tcBorders>
            <w:vAlign w:val="center"/>
          </w:tcPr>
          <w:p>
            <w:pPr>
              <w:pStyle w:val="20"/>
            </w:pPr>
            <w:r>
              <w:t>每年固定使用移动、联通网络线路</w:t>
            </w:r>
          </w:p>
        </w:tc>
        <w:tc>
          <w:tcPr>
            <w:tcW w:w="2268" w:type="dxa"/>
            <w:tcBorders>
              <w:top w:val="single" w:sz="6" w:space="0" w:color="auto"/>
              <w:left w:val="single" w:sz="6" w:space="0" w:color="auto"/>
              <w:right w:val="single" w:sz="6" w:space="0" w:color="auto"/>
            </w:tcBorders>
            <w:vAlign w:val="center"/>
          </w:tcPr>
          <w:p>
            <w:pPr>
              <w:pStyle w:val="20"/>
            </w:pPr>
            <w:r>
              <w:t>1项</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全年活动参与人数与上年度活动参与人数对比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开展活动需费用</w:t>
            </w:r>
          </w:p>
        </w:tc>
        <w:tc>
          <w:tcPr>
            <w:tcW w:w="5386" w:type="dxa"/>
            <w:tcBorders>
              <w:top w:val="single" w:sz="6" w:space="0" w:color="auto"/>
              <w:left w:val="single" w:sz="6" w:space="0" w:color="auto"/>
              <w:right w:val="single" w:sz="6" w:space="0" w:color="auto"/>
            </w:tcBorders>
            <w:vAlign w:val="center"/>
          </w:tcPr>
          <w:p>
            <w:pPr>
              <w:pStyle w:val="20"/>
            </w:pPr>
            <w:r>
              <w:t>开展送书下乡活动所需费用</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带动本地通信服务行业增收</w:t>
            </w:r>
          </w:p>
        </w:tc>
        <w:tc>
          <w:tcPr>
            <w:tcW w:w="2268" w:type="dxa"/>
            <w:tcBorders>
              <w:top w:val="single" w:sz="6" w:space="0" w:color="auto"/>
              <w:left w:val="single" w:sz="6" w:space="0" w:color="auto"/>
              <w:right w:val="single" w:sz="6" w:space="0" w:color="auto"/>
            </w:tcBorders>
            <w:vAlign w:val="center"/>
          </w:tcPr>
          <w:p>
            <w:pPr>
              <w:pStyle w:val="20"/>
            </w:pPr>
            <w:r>
              <w:t>≥0.5万元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提升公共数字文化服务水平</w:t>
            </w:r>
          </w:p>
        </w:tc>
        <w:tc>
          <w:tcPr>
            <w:tcW w:w="5386" w:type="dxa"/>
            <w:tcBorders>
              <w:top w:val="single" w:sz="6" w:space="0" w:color="auto"/>
              <w:left w:val="single" w:sz="6" w:space="0" w:color="auto"/>
              <w:right w:val="single" w:sz="6" w:space="0" w:color="auto"/>
            </w:tcBorders>
            <w:vAlign w:val="center"/>
          </w:tcPr>
          <w:p>
            <w:pPr>
              <w:pStyle w:val="20"/>
            </w:pPr>
            <w:r>
              <w:t>读者可在任何角落畅享高速上网服务，查阅资料等，实现WIFI服务全覆盖</w:t>
            </w:r>
          </w:p>
        </w:tc>
        <w:tc>
          <w:tcPr>
            <w:tcW w:w="2268" w:type="dxa"/>
            <w:tcBorders>
              <w:top w:val="single" w:sz="6" w:space="0" w:color="auto"/>
              <w:left w:val="single" w:sz="6" w:space="0" w:color="auto"/>
              <w:right w:val="single" w:sz="6" w:space="0" w:color="auto"/>
            </w:tcBorders>
            <w:vAlign w:val="center"/>
          </w:tcPr>
          <w:p>
            <w:pPr>
              <w:pStyle w:val="20"/>
            </w:pPr>
            <w:r>
              <w:t>数字文化服务水平较上年提高。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提升免费开放服务水平</w:t>
            </w:r>
          </w:p>
        </w:tc>
        <w:tc>
          <w:tcPr>
            <w:tcW w:w="5386" w:type="dxa"/>
            <w:tcBorders>
              <w:top w:val="single" w:sz="6" w:space="0" w:color="auto"/>
              <w:left w:val="single" w:sz="6" w:space="0" w:color="auto"/>
              <w:right w:val="single" w:sz="6" w:space="0" w:color="auto"/>
            </w:tcBorders>
            <w:vAlign w:val="center"/>
          </w:tcPr>
          <w:p>
            <w:pPr>
              <w:pStyle w:val="20"/>
            </w:pPr>
            <w:r>
              <w:t>免费开放服务水平稳步提升</w:t>
            </w:r>
          </w:p>
        </w:tc>
        <w:tc>
          <w:tcPr>
            <w:tcW w:w="2268" w:type="dxa"/>
            <w:tcBorders>
              <w:top w:val="single" w:sz="6" w:space="0" w:color="auto"/>
              <w:left w:val="single" w:sz="6" w:space="0" w:color="auto"/>
              <w:right w:val="single" w:sz="6" w:space="0" w:color="auto"/>
            </w:tcBorders>
            <w:vAlign w:val="center"/>
          </w:tcPr>
          <w:p>
            <w:pPr>
              <w:pStyle w:val="20"/>
            </w:pPr>
            <w:r>
              <w:t>免费开放服务水平较上年提高。</w:t>
            </w:r>
          </w:p>
        </w:tc>
        <w:tc>
          <w:tcPr>
            <w:tcW w:w="1276" w:type="dxa"/>
            <w:vAlign w:val="center"/>
          </w:tcPr>
          <w:p>
            <w:pPr>
              <w:pStyle w:val="20"/>
            </w:pPr>
            <w:r>
              <w:t>水费、电费单据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图书馆免费开放各项服务正常运转</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19、2025年度县级文化馆免费开放资金绩效目标表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13032225P002172100037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2025年度县级文化馆免费开放资金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开展丰富多彩文化（非遗）演出活动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51%</w:t>
            </w:r>
          </w:p>
        </w:tc>
        <w:tc>
          <w:tcPr>
            <w:tcW w:w="2551" w:type="dxa"/>
            <w:tcBorders>
              <w:top w:val="single" w:sz="6" w:space="0" w:color="auto"/>
              <w:left w:val="single" w:sz="6" w:space="0" w:color="auto"/>
              <w:right w:val="single" w:sz="6" w:space="0" w:color="auto"/>
            </w:tcBorders>
            <w:vAlign w:val="center"/>
          </w:tcPr>
          <w:p>
            <w:pPr>
              <w:pStyle w:val="21"/>
            </w:pPr>
            <w:r>
              <w:t>78%</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1.通过开展丰富多彩文化活动营造文化氛围和开展宣传普及传统文化（非遗）演出活动提升群众自我文化底蕴。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免费开放补助资金到位率</w:t>
            </w:r>
          </w:p>
        </w:tc>
        <w:tc>
          <w:tcPr>
            <w:tcW w:w="5386" w:type="dxa"/>
            <w:tcBorders>
              <w:top w:val="single" w:sz="6" w:space="0" w:color="auto"/>
              <w:left w:val="single" w:sz="6" w:space="0" w:color="auto"/>
              <w:right w:val="single" w:sz="6" w:space="0" w:color="auto"/>
            </w:tcBorders>
            <w:vAlign w:val="center"/>
          </w:tcPr>
          <w:p>
            <w:pPr>
              <w:pStyle w:val="20"/>
            </w:pPr>
            <w:r>
              <w:t>免费开放县级配套补助资金到位率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经费支出及时率=支出金额/补助金额</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免费开放成本</w:t>
            </w:r>
          </w:p>
        </w:tc>
        <w:tc>
          <w:tcPr>
            <w:tcW w:w="5386" w:type="dxa"/>
            <w:tcBorders>
              <w:top w:val="single" w:sz="6" w:space="0" w:color="auto"/>
              <w:left w:val="single" w:sz="6" w:space="0" w:color="auto"/>
              <w:right w:val="single" w:sz="6" w:space="0" w:color="auto"/>
            </w:tcBorders>
            <w:vAlign w:val="center"/>
          </w:tcPr>
          <w:p>
            <w:pPr>
              <w:pStyle w:val="20"/>
            </w:pPr>
            <w:r>
              <w:t>免费开放开展活动所需费用</w:t>
            </w:r>
          </w:p>
        </w:tc>
        <w:tc>
          <w:tcPr>
            <w:tcW w:w="2268" w:type="dxa"/>
            <w:tcBorders>
              <w:top w:val="single" w:sz="6" w:space="0" w:color="auto"/>
              <w:left w:val="single" w:sz="6" w:space="0" w:color="auto"/>
              <w:right w:val="single" w:sz="6" w:space="0" w:color="auto"/>
            </w:tcBorders>
            <w:vAlign w:val="center"/>
          </w:tcPr>
          <w:p>
            <w:pPr>
              <w:pStyle w:val="20"/>
            </w:pPr>
            <w:r>
              <w:t>≤6万元</w:t>
            </w:r>
          </w:p>
        </w:tc>
        <w:tc>
          <w:tcPr>
            <w:tcW w:w="1276" w:type="dxa"/>
            <w:vAlign w:val="center"/>
          </w:tcPr>
          <w:p>
            <w:pPr>
              <w:pStyle w:val="20"/>
            </w:pPr>
            <w:r>
              <w:t>根据文化馆（站）免费开放管理意见</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带动其它相关消费项目增收情况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带动其它相关消费项目增收较上年增长</w:t>
            </w:r>
          </w:p>
        </w:tc>
        <w:tc>
          <w:tcPr>
            <w:tcW w:w="2268" w:type="dxa"/>
            <w:tcBorders>
              <w:top w:val="single" w:sz="6" w:space="0" w:color="auto"/>
              <w:left w:val="single" w:sz="6" w:space="0" w:color="auto"/>
              <w:right w:val="single" w:sz="6" w:space="0" w:color="auto"/>
            </w:tcBorders>
            <w:vAlign w:val="center"/>
          </w:tcPr>
          <w:p>
            <w:pPr>
              <w:pStyle w:val="20"/>
            </w:pPr>
            <w:r>
              <w:t>较上年增长</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免费开放服务水平稳步提升</w:t>
            </w:r>
          </w:p>
        </w:tc>
        <w:tc>
          <w:tcPr>
            <w:tcW w:w="5386" w:type="dxa"/>
            <w:tcBorders>
              <w:top w:val="single" w:sz="6" w:space="0" w:color="auto"/>
              <w:left w:val="single" w:sz="6" w:space="0" w:color="auto"/>
              <w:right w:val="single" w:sz="6" w:space="0" w:color="auto"/>
            </w:tcBorders>
            <w:vAlign w:val="center"/>
          </w:tcPr>
          <w:p>
            <w:pPr>
              <w:pStyle w:val="20"/>
            </w:pPr>
            <w:r>
              <w:t>免费开放服务水平较上年稳步提升</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免费开放文化馆正常运转</w:t>
            </w:r>
          </w:p>
        </w:tc>
        <w:tc>
          <w:tcPr>
            <w:tcW w:w="5386" w:type="dxa"/>
            <w:tcBorders>
              <w:top w:val="single" w:sz="6" w:space="0" w:color="auto"/>
              <w:left w:val="single" w:sz="6" w:space="0" w:color="auto"/>
              <w:right w:val="single" w:sz="6" w:space="0" w:color="auto"/>
            </w:tcBorders>
            <w:vAlign w:val="center"/>
          </w:tcPr>
          <w:p>
            <w:pPr>
              <w:pStyle w:val="20"/>
            </w:pPr>
            <w:r>
              <w:t>免费开放文化馆持续正常运转</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社会群众满意度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问卷调查社会群众对免费开放满意度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测评</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20、冀财教[2024]109号关于提前下达2025年公共图书馆、美术馆、文化馆（站）免费开放补助资金绩效目标表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13032225P00217210005E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冀财教[2024]109号关于提前下达2025年公共图书馆、美术馆、文化馆（站）免费开放补助资金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用于开展丰富多彩文化活动营造文化氛围和开展宣传普及传统文化（非遗）演出活动的支出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78%</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1.通过开展丰富多彩文化活动营造文化氛围和开展宣传普及传统文化（非遗）演出活动提升群众自我文化底蕴。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免费开放专项资金到位率</w:t>
            </w:r>
          </w:p>
        </w:tc>
        <w:tc>
          <w:tcPr>
            <w:tcW w:w="5386" w:type="dxa"/>
            <w:tcBorders>
              <w:top w:val="single" w:sz="6" w:space="0" w:color="auto"/>
              <w:left w:val="single" w:sz="6" w:space="0" w:color="auto"/>
              <w:right w:val="single" w:sz="6" w:space="0" w:color="auto"/>
            </w:tcBorders>
            <w:vAlign w:val="center"/>
          </w:tcPr>
          <w:p>
            <w:pPr>
              <w:pStyle w:val="20"/>
            </w:pPr>
            <w:r>
              <w:t>免费开放中央专项补助资金到位率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≥4%</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经费支出及时率=支出金额/补助金额</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文艺惠民演出成本</w:t>
            </w:r>
          </w:p>
        </w:tc>
        <w:tc>
          <w:tcPr>
            <w:tcW w:w="5386" w:type="dxa"/>
            <w:tcBorders>
              <w:top w:val="single" w:sz="6" w:space="0" w:color="auto"/>
              <w:left w:val="single" w:sz="6" w:space="0" w:color="auto"/>
              <w:right w:val="single" w:sz="6" w:space="0" w:color="auto"/>
            </w:tcBorders>
            <w:vAlign w:val="center"/>
          </w:tcPr>
          <w:p>
            <w:pPr>
              <w:pStyle w:val="20"/>
            </w:pPr>
            <w:r>
              <w:t>开展文艺惠民演出所需费用</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根据文化馆（站）免费开放管理意见</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带动其它相关消费项目增收情况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带动其它相关消费项目增收较上年增长</w:t>
            </w:r>
          </w:p>
        </w:tc>
        <w:tc>
          <w:tcPr>
            <w:tcW w:w="2268" w:type="dxa"/>
            <w:tcBorders>
              <w:top w:val="single" w:sz="6" w:space="0" w:color="auto"/>
              <w:left w:val="single" w:sz="6" w:space="0" w:color="auto"/>
              <w:right w:val="single" w:sz="6" w:space="0" w:color="auto"/>
            </w:tcBorders>
            <w:vAlign w:val="center"/>
          </w:tcPr>
          <w:p>
            <w:pPr>
              <w:pStyle w:val="20"/>
            </w:pPr>
            <w:r>
              <w:t>较上年增长</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免费开放服务水平稳步提升</w:t>
            </w:r>
          </w:p>
        </w:tc>
        <w:tc>
          <w:tcPr>
            <w:tcW w:w="5386" w:type="dxa"/>
            <w:tcBorders>
              <w:top w:val="single" w:sz="6" w:space="0" w:color="auto"/>
              <w:left w:val="single" w:sz="6" w:space="0" w:color="auto"/>
              <w:right w:val="single" w:sz="6" w:space="0" w:color="auto"/>
            </w:tcBorders>
            <w:vAlign w:val="center"/>
          </w:tcPr>
          <w:p>
            <w:pPr>
              <w:pStyle w:val="20"/>
            </w:pPr>
            <w:r>
              <w:t>免费开放服务水平较上年稳步提升</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免费开放文化馆正常运转</w:t>
            </w:r>
          </w:p>
        </w:tc>
        <w:tc>
          <w:tcPr>
            <w:tcW w:w="5386" w:type="dxa"/>
            <w:tcBorders>
              <w:top w:val="single" w:sz="6" w:space="0" w:color="auto"/>
              <w:left w:val="single" w:sz="6" w:space="0" w:color="auto"/>
              <w:right w:val="single" w:sz="6" w:space="0" w:color="auto"/>
            </w:tcBorders>
            <w:vAlign w:val="center"/>
          </w:tcPr>
          <w:p>
            <w:pPr>
              <w:pStyle w:val="20"/>
            </w:pPr>
            <w:r>
              <w:t>免费开放文化馆持续正常运转</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社会群众满意度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问卷调查社会群众对免费开放满意度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测评</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21、冀财教[2024]149号关于提前下达2025年省级公共图书馆、美术馆、文化馆（站）免费开放补助资金绩效目标表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冀财教[2024]149号关于提前下达2025年省级公共图书馆、美术馆、文化馆（站）免费开放补助资金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用于开展丰富多彩文化活动营造文化氛围和开展宣传普及传统文化（非遗）演出活动的支出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78%</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1.通过开展丰富多彩文化活动营造文化氛围和开展宣传普及传统文化（非遗）演出活动提升群众自我文化底蕴。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免费开放专项资金到位率</w:t>
            </w:r>
          </w:p>
        </w:tc>
        <w:tc>
          <w:tcPr>
            <w:tcW w:w="5386" w:type="dxa"/>
            <w:tcBorders>
              <w:top w:val="single" w:sz="6" w:space="0" w:color="auto"/>
              <w:left w:val="single" w:sz="6" w:space="0" w:color="auto"/>
              <w:right w:val="single" w:sz="6" w:space="0" w:color="auto"/>
            </w:tcBorders>
            <w:vAlign w:val="center"/>
          </w:tcPr>
          <w:p>
            <w:pPr>
              <w:pStyle w:val="20"/>
            </w:pPr>
            <w:r>
              <w:t>免费开放省级专项补助资金到位率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经费支出及时率=支出金额/补助金额</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传统文化（非遗）演出</w:t>
            </w:r>
          </w:p>
        </w:tc>
        <w:tc>
          <w:tcPr>
            <w:tcW w:w="5386" w:type="dxa"/>
            <w:tcBorders>
              <w:top w:val="single" w:sz="6" w:space="0" w:color="auto"/>
              <w:left w:val="single" w:sz="6" w:space="0" w:color="auto"/>
              <w:right w:val="single" w:sz="6" w:space="0" w:color="auto"/>
            </w:tcBorders>
            <w:vAlign w:val="center"/>
          </w:tcPr>
          <w:p>
            <w:pPr>
              <w:pStyle w:val="20"/>
            </w:pPr>
            <w:r>
              <w:t>开展传统文化（非遗）惠民演出所需费用</w:t>
            </w:r>
          </w:p>
        </w:tc>
        <w:tc>
          <w:tcPr>
            <w:tcW w:w="2268" w:type="dxa"/>
            <w:tcBorders>
              <w:top w:val="single" w:sz="6" w:space="0" w:color="auto"/>
              <w:left w:val="single" w:sz="6" w:space="0" w:color="auto"/>
              <w:right w:val="single" w:sz="6" w:space="0" w:color="auto"/>
            </w:tcBorders>
            <w:vAlign w:val="center"/>
          </w:tcPr>
          <w:p>
            <w:pPr>
              <w:pStyle w:val="20"/>
            </w:pPr>
            <w:r>
              <w:t>≤2元</w:t>
            </w:r>
          </w:p>
        </w:tc>
        <w:tc>
          <w:tcPr>
            <w:tcW w:w="1276" w:type="dxa"/>
            <w:vAlign w:val="center"/>
          </w:tcPr>
          <w:p>
            <w:pPr>
              <w:pStyle w:val="20"/>
            </w:pPr>
            <w:r>
              <w:t>根据文化馆（站）免费开放管理意见</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带动其它相关消费项目增收情况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带动其它相关消费项目增收较上年增长</w:t>
            </w:r>
          </w:p>
        </w:tc>
        <w:tc>
          <w:tcPr>
            <w:tcW w:w="2268" w:type="dxa"/>
            <w:tcBorders>
              <w:top w:val="single" w:sz="6" w:space="0" w:color="auto"/>
              <w:left w:val="single" w:sz="6" w:space="0" w:color="auto"/>
              <w:right w:val="single" w:sz="6" w:space="0" w:color="auto"/>
            </w:tcBorders>
            <w:vAlign w:val="center"/>
          </w:tcPr>
          <w:p>
            <w:pPr>
              <w:pStyle w:val="20"/>
            </w:pPr>
            <w:r>
              <w:t>较上年增长</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免费开放服务水平稳步提升</w:t>
            </w:r>
          </w:p>
        </w:tc>
        <w:tc>
          <w:tcPr>
            <w:tcW w:w="5386" w:type="dxa"/>
            <w:tcBorders>
              <w:top w:val="single" w:sz="6" w:space="0" w:color="auto"/>
              <w:left w:val="single" w:sz="6" w:space="0" w:color="auto"/>
              <w:right w:val="single" w:sz="6" w:space="0" w:color="auto"/>
            </w:tcBorders>
            <w:vAlign w:val="center"/>
          </w:tcPr>
          <w:p>
            <w:pPr>
              <w:pStyle w:val="20"/>
            </w:pPr>
            <w:r>
              <w:t>免费开放服务水平较上年稳步提升</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免费开放文化馆正常运转</w:t>
            </w:r>
          </w:p>
        </w:tc>
        <w:tc>
          <w:tcPr>
            <w:tcW w:w="5386" w:type="dxa"/>
            <w:tcBorders>
              <w:top w:val="single" w:sz="6" w:space="0" w:color="auto"/>
              <w:left w:val="single" w:sz="6" w:space="0" w:color="auto"/>
              <w:right w:val="single" w:sz="6" w:space="0" w:color="auto"/>
            </w:tcBorders>
            <w:vAlign w:val="center"/>
          </w:tcPr>
          <w:p>
            <w:pPr>
              <w:pStyle w:val="20"/>
            </w:pPr>
            <w:r>
              <w:t>免费开放文化馆持续正常运转</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社会群众满意度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问卷调查社会群众对免费开放满意度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测评</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357昌黎县旅游和文化广电局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昌黎县旅游和文化广电局（含所属单位）上年末固定资产金额为733.33万元（详见下表）。本年度拟购置固定资产总额为0.00万元，已按要求列入政府采购预算，详见政府采购预算表。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357昌黎县旅游和文化广电局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733.33</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1660.65</w:t>
            </w:r>
          </w:p>
        </w:tc>
        <w:tc>
          <w:tcPr>
            <w:tcW w:w="2835" w:type="dxa"/>
            <w:vAlign w:val="center"/>
          </w:tcPr>
          <w:p>
            <w:pPr>
              <w:pStyle w:val="19"/>
            </w:pPr>
            <w:r>
              <w:t>99.83</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7</w:t>
            </w:r>
          </w:p>
        </w:tc>
        <w:tc>
          <w:tcPr>
            <w:tcW w:w="2835" w:type="dxa"/>
            <w:vAlign w:val="center"/>
          </w:tcPr>
          <w:p>
            <w:pPr>
              <w:pStyle w:val="19"/>
            </w:pPr>
            <w:r>
              <w:t>57.31</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3024</w:t>
            </w:r>
          </w:p>
        </w:tc>
        <w:tc>
          <w:tcPr>
            <w:tcW w:w="2835" w:type="dxa"/>
            <w:vAlign w:val="center"/>
          </w:tcPr>
          <w:p>
            <w:pPr>
              <w:pStyle w:val="19"/>
            </w:pPr>
            <w:r>
              <w:t>576.19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55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54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D8152ED-6B10-4816-AD63-71217BAF892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0</Pages>
  <Words>0</Words>
  <Characters>22980</Characters>
  <Lines>0</Lines>
  <Paragraphs>257</Paragraphs>
  <CharactersWithSpaces>30640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2025-01-19T11:56:38Z</dcterms:created>
  <dcterms:modified xsi:type="dcterms:W3CDTF">2025-01-24T02:23:37Z</dcterms:modified>
</cp:coreProperties>
</file>