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1952.55</w:t>
            </w:r>
          </w:p>
        </w:tc>
        <w:tc>
          <w:tcPr>
            <w:tcW w:w="4535" w:type="dxa"/>
            <w:vAlign w:val="center"/>
          </w:tcPr>
          <w:p>
            <w:pPr>
              <w:pStyle w:val="13"/>
            </w:pPr>
            <w:r>
              <w:t>一、一般公共服务支出</w:t>
            </w:r>
          </w:p>
        </w:tc>
        <w:tc>
          <w:tcPr>
            <w:tcW w:w="2126" w:type="dxa"/>
            <w:vAlign w:val="center"/>
          </w:tcPr>
          <w:p>
            <w:pPr>
              <w:pStyle w:val="12"/>
            </w:pPr>
            <w:r>
              <w:t>1863.41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1952.55</w:t>
            </w:r>
          </w:p>
        </w:tc>
        <w:tc>
          <w:tcPr>
            <w:tcW w:w="4535" w:type="dxa"/>
            <w:vAlign w:val="center"/>
          </w:tcPr>
          <w:p>
            <w:pPr>
              <w:pStyle w:val="15"/>
            </w:pPr>
            <w:r>
              <w:t>本年支出合计</w:t>
            </w:r>
          </w:p>
        </w:tc>
        <w:tc>
          <w:tcPr>
            <w:tcW w:w="2126" w:type="dxa"/>
            <w:vAlign w:val="center"/>
          </w:tcPr>
          <w:p>
            <w:pPr>
              <w:pStyle w:val="16"/>
            </w:pPr>
            <w:r>
              <w:t>3952.55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2000.00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3952.55</w:t>
            </w:r>
          </w:p>
        </w:tc>
        <w:tc>
          <w:tcPr>
            <w:tcW w:w="4535" w:type="dxa"/>
            <w:vAlign w:val="center"/>
          </w:tcPr>
          <w:p>
            <w:pPr>
              <w:pStyle w:val="15"/>
            </w:pPr>
            <w:r>
              <w:t>支出总计</w:t>
            </w:r>
          </w:p>
        </w:tc>
        <w:tc>
          <w:tcPr>
            <w:tcW w:w="2126" w:type="dxa"/>
            <w:vAlign w:val="center"/>
          </w:tcPr>
          <w:p>
            <w:pPr>
              <w:pStyle w:val="16"/>
            </w:pPr>
            <w:r>
              <w:t>3952.55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3952.55</w:t>
            </w:r>
          </w:p>
        </w:tc>
        <w:tc>
          <w:tcPr>
            <w:tcW w:w="1134" w:type="dxa"/>
            <w:vAlign w:val="center"/>
          </w:tcPr>
          <w:p>
            <w:pPr>
              <w:pStyle w:val="16"/>
            </w:pPr>
            <w:r>
              <w:t>1952.55</w:t>
            </w:r>
          </w:p>
        </w:tc>
        <w:tc>
          <w:tcPr>
            <w:tcW w:w="1134" w:type="dxa"/>
            <w:vAlign w:val="center"/>
          </w:tcPr>
          <w:p>
            <w:pPr>
              <w:pStyle w:val="16"/>
            </w:pPr>
            <w:r>
              <w:t>1952.55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1863.41</w:t>
            </w:r>
          </w:p>
        </w:tc>
        <w:tc>
          <w:tcPr>
            <w:tcW w:w="1134" w:type="dxa"/>
            <w:vAlign w:val="center"/>
          </w:tcPr>
          <w:p>
            <w:pPr>
              <w:pStyle w:val="12"/>
            </w:pPr>
            <w:r>
              <w:t>1863.41</w:t>
            </w:r>
          </w:p>
        </w:tc>
        <w:tc>
          <w:tcPr>
            <w:tcW w:w="1134" w:type="dxa"/>
            <w:vAlign w:val="center"/>
          </w:tcPr>
          <w:p>
            <w:pPr>
              <w:pStyle w:val="12"/>
            </w:pPr>
            <w:r>
              <w:t>1863.41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863.41</w:t>
            </w:r>
          </w:p>
        </w:tc>
        <w:tc>
          <w:tcPr>
            <w:tcW w:w="1134" w:type="dxa"/>
            <w:vAlign w:val="center"/>
          </w:tcPr>
          <w:p>
            <w:pPr>
              <w:pStyle w:val="12"/>
            </w:pPr>
            <w:r>
              <w:t>863.41</w:t>
            </w:r>
          </w:p>
        </w:tc>
        <w:tc>
          <w:tcPr>
            <w:tcW w:w="1134" w:type="dxa"/>
            <w:vAlign w:val="center"/>
          </w:tcPr>
          <w:p>
            <w:pPr>
              <w:pStyle w:val="12"/>
            </w:pPr>
            <w:r>
              <w:t>863.41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118.91</w:t>
            </w:r>
          </w:p>
        </w:tc>
        <w:tc>
          <w:tcPr>
            <w:tcW w:w="1134" w:type="dxa"/>
            <w:vAlign w:val="center"/>
          </w:tcPr>
          <w:p>
            <w:pPr>
              <w:pStyle w:val="12"/>
            </w:pPr>
            <w:r>
              <w:t>118.91</w:t>
            </w:r>
          </w:p>
        </w:tc>
        <w:tc>
          <w:tcPr>
            <w:tcW w:w="1134" w:type="dxa"/>
            <w:vAlign w:val="center"/>
          </w:tcPr>
          <w:p>
            <w:pPr>
              <w:pStyle w:val="12"/>
            </w:pPr>
            <w:r>
              <w:t>118.91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583.61</w:t>
            </w:r>
          </w:p>
        </w:tc>
        <w:tc>
          <w:tcPr>
            <w:tcW w:w="1134" w:type="dxa"/>
            <w:vAlign w:val="center"/>
          </w:tcPr>
          <w:p>
            <w:pPr>
              <w:pStyle w:val="12"/>
            </w:pPr>
            <w:r>
              <w:t>583.61</w:t>
            </w:r>
          </w:p>
        </w:tc>
        <w:tc>
          <w:tcPr>
            <w:tcW w:w="1134" w:type="dxa"/>
            <w:vAlign w:val="center"/>
          </w:tcPr>
          <w:p>
            <w:pPr>
              <w:pStyle w:val="12"/>
            </w:pPr>
            <w:r>
              <w:t>583.61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160.89</w:t>
            </w:r>
          </w:p>
        </w:tc>
        <w:tc>
          <w:tcPr>
            <w:tcW w:w="1134" w:type="dxa"/>
            <w:vAlign w:val="center"/>
          </w:tcPr>
          <w:p>
            <w:pPr>
              <w:pStyle w:val="12"/>
            </w:pPr>
            <w:r>
              <w:t>160.89</w:t>
            </w:r>
          </w:p>
        </w:tc>
        <w:tc>
          <w:tcPr>
            <w:tcW w:w="1134" w:type="dxa"/>
            <w:vAlign w:val="center"/>
          </w:tcPr>
          <w:p>
            <w:pPr>
              <w:pStyle w:val="12"/>
            </w:pPr>
            <w:r>
              <w:t>160.89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20113</w:t>
            </w:r>
          </w:p>
        </w:tc>
        <w:tc>
          <w:tcPr>
            <w:tcW w:w="1559" w:type="dxa"/>
            <w:vAlign w:val="center"/>
          </w:tcPr>
          <w:p>
            <w:pPr>
              <w:pStyle w:val="13"/>
            </w:pPr>
            <w:r>
              <w:t>商贸事务</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2011308</w:t>
            </w:r>
          </w:p>
        </w:tc>
        <w:tc>
          <w:tcPr>
            <w:tcW w:w="1559" w:type="dxa"/>
            <w:vAlign w:val="center"/>
          </w:tcPr>
          <w:p>
            <w:pPr>
              <w:pStyle w:val="13"/>
            </w:pPr>
            <w:r>
              <w:t>招商引资</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47.20</w:t>
            </w:r>
          </w:p>
        </w:tc>
        <w:tc>
          <w:tcPr>
            <w:tcW w:w="1134" w:type="dxa"/>
            <w:vAlign w:val="center"/>
          </w:tcPr>
          <w:p>
            <w:pPr>
              <w:pStyle w:val="12"/>
            </w:pPr>
            <w:r>
              <w:t>47.20</w:t>
            </w:r>
          </w:p>
        </w:tc>
        <w:tc>
          <w:tcPr>
            <w:tcW w:w="1134" w:type="dxa"/>
            <w:vAlign w:val="center"/>
          </w:tcPr>
          <w:p>
            <w:pPr>
              <w:pStyle w:val="12"/>
            </w:pPr>
            <w:r>
              <w:t>47.20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47.20</w:t>
            </w:r>
          </w:p>
        </w:tc>
        <w:tc>
          <w:tcPr>
            <w:tcW w:w="1134" w:type="dxa"/>
            <w:vAlign w:val="center"/>
          </w:tcPr>
          <w:p>
            <w:pPr>
              <w:pStyle w:val="12"/>
            </w:pPr>
            <w:r>
              <w:t>47.20</w:t>
            </w:r>
          </w:p>
        </w:tc>
        <w:tc>
          <w:tcPr>
            <w:tcW w:w="1134" w:type="dxa"/>
            <w:vAlign w:val="center"/>
          </w:tcPr>
          <w:p>
            <w:pPr>
              <w:pStyle w:val="12"/>
            </w:pPr>
            <w:r>
              <w:t>47.20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39.32</w:t>
            </w:r>
          </w:p>
        </w:tc>
        <w:tc>
          <w:tcPr>
            <w:tcW w:w="1134" w:type="dxa"/>
            <w:vAlign w:val="center"/>
          </w:tcPr>
          <w:p>
            <w:pPr>
              <w:pStyle w:val="12"/>
            </w:pPr>
            <w:r>
              <w:t>39.32</w:t>
            </w:r>
          </w:p>
        </w:tc>
        <w:tc>
          <w:tcPr>
            <w:tcW w:w="1134" w:type="dxa"/>
            <w:vAlign w:val="center"/>
          </w:tcPr>
          <w:p>
            <w:pPr>
              <w:pStyle w:val="12"/>
            </w:pPr>
            <w:r>
              <w:t>39.32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7.88</w:t>
            </w:r>
          </w:p>
        </w:tc>
        <w:tc>
          <w:tcPr>
            <w:tcW w:w="1134" w:type="dxa"/>
            <w:vAlign w:val="center"/>
          </w:tcPr>
          <w:p>
            <w:pPr>
              <w:pStyle w:val="12"/>
            </w:pPr>
            <w:r>
              <w:t>7.88</w:t>
            </w:r>
          </w:p>
        </w:tc>
        <w:tc>
          <w:tcPr>
            <w:tcW w:w="1134" w:type="dxa"/>
            <w:vAlign w:val="center"/>
          </w:tcPr>
          <w:p>
            <w:pPr>
              <w:pStyle w:val="12"/>
            </w:pPr>
            <w:r>
              <w:t>7.88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22.59</w:t>
            </w:r>
          </w:p>
        </w:tc>
        <w:tc>
          <w:tcPr>
            <w:tcW w:w="1134" w:type="dxa"/>
            <w:vAlign w:val="center"/>
          </w:tcPr>
          <w:p>
            <w:pPr>
              <w:pStyle w:val="12"/>
            </w:pPr>
            <w:r>
              <w:t>22.59</w:t>
            </w:r>
          </w:p>
        </w:tc>
        <w:tc>
          <w:tcPr>
            <w:tcW w:w="1134" w:type="dxa"/>
            <w:vAlign w:val="center"/>
          </w:tcPr>
          <w:p>
            <w:pPr>
              <w:pStyle w:val="12"/>
            </w:pPr>
            <w:r>
              <w:t>22.59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22.59</w:t>
            </w:r>
          </w:p>
        </w:tc>
        <w:tc>
          <w:tcPr>
            <w:tcW w:w="1134" w:type="dxa"/>
            <w:vAlign w:val="center"/>
          </w:tcPr>
          <w:p>
            <w:pPr>
              <w:pStyle w:val="12"/>
            </w:pPr>
            <w:r>
              <w:t>22.59</w:t>
            </w:r>
          </w:p>
        </w:tc>
        <w:tc>
          <w:tcPr>
            <w:tcW w:w="1134" w:type="dxa"/>
            <w:vAlign w:val="center"/>
          </w:tcPr>
          <w:p>
            <w:pPr>
              <w:pStyle w:val="12"/>
            </w:pPr>
            <w:r>
              <w:t>22.59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7.39</w:t>
            </w:r>
          </w:p>
        </w:tc>
        <w:tc>
          <w:tcPr>
            <w:tcW w:w="1134" w:type="dxa"/>
            <w:vAlign w:val="center"/>
          </w:tcPr>
          <w:p>
            <w:pPr>
              <w:pStyle w:val="12"/>
            </w:pPr>
            <w:r>
              <w:t>7.39</w:t>
            </w:r>
          </w:p>
        </w:tc>
        <w:tc>
          <w:tcPr>
            <w:tcW w:w="1134" w:type="dxa"/>
            <w:vAlign w:val="center"/>
          </w:tcPr>
          <w:p>
            <w:pPr>
              <w:pStyle w:val="12"/>
            </w:pPr>
            <w:r>
              <w:t>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19.35</w:t>
            </w:r>
          </w:p>
        </w:tc>
        <w:tc>
          <w:tcPr>
            <w:tcW w:w="1134" w:type="dxa"/>
            <w:vAlign w:val="center"/>
          </w:tcPr>
          <w:p>
            <w:pPr>
              <w:pStyle w:val="12"/>
            </w:pPr>
            <w:r>
              <w:t>19.35</w:t>
            </w:r>
          </w:p>
        </w:tc>
        <w:tc>
          <w:tcPr>
            <w:tcW w:w="1134" w:type="dxa"/>
            <w:vAlign w:val="center"/>
          </w:tcPr>
          <w:p>
            <w:pPr>
              <w:pStyle w:val="12"/>
            </w:pPr>
            <w:r>
              <w:t>19.35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19.35</w:t>
            </w:r>
          </w:p>
        </w:tc>
        <w:tc>
          <w:tcPr>
            <w:tcW w:w="1134" w:type="dxa"/>
            <w:vAlign w:val="center"/>
          </w:tcPr>
          <w:p>
            <w:pPr>
              <w:pStyle w:val="12"/>
            </w:pPr>
            <w:r>
              <w:t>19.35</w:t>
            </w:r>
          </w:p>
        </w:tc>
        <w:tc>
          <w:tcPr>
            <w:tcW w:w="1134" w:type="dxa"/>
            <w:vAlign w:val="center"/>
          </w:tcPr>
          <w:p>
            <w:pPr>
              <w:pStyle w:val="12"/>
            </w:pPr>
            <w:r>
              <w:t>19.35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19.35</w:t>
            </w:r>
          </w:p>
        </w:tc>
        <w:tc>
          <w:tcPr>
            <w:tcW w:w="1134" w:type="dxa"/>
            <w:vAlign w:val="center"/>
          </w:tcPr>
          <w:p>
            <w:pPr>
              <w:pStyle w:val="12"/>
            </w:pPr>
            <w:r>
              <w:t>19.35</w:t>
            </w:r>
          </w:p>
        </w:tc>
        <w:tc>
          <w:tcPr>
            <w:tcW w:w="1134" w:type="dxa"/>
            <w:vAlign w:val="center"/>
          </w:tcPr>
          <w:p>
            <w:pPr>
              <w:pStyle w:val="12"/>
            </w:pPr>
            <w:r>
              <w:t>19.35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3952.55</w:t>
            </w:r>
          </w:p>
        </w:tc>
        <w:tc>
          <w:tcPr>
            <w:tcW w:w="1361" w:type="dxa"/>
            <w:vAlign w:val="center"/>
          </w:tcPr>
          <w:p>
            <w:pPr>
              <w:pStyle w:val="16"/>
            </w:pPr>
            <w:r>
              <w:t>368.94</w:t>
            </w:r>
          </w:p>
        </w:tc>
        <w:tc>
          <w:tcPr>
            <w:tcW w:w="1361" w:type="dxa"/>
            <w:vAlign w:val="center"/>
          </w:tcPr>
          <w:p>
            <w:pPr>
              <w:pStyle w:val="16"/>
            </w:pPr>
            <w:r>
              <w:t>3583.61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1863.41</w:t>
            </w:r>
          </w:p>
        </w:tc>
        <w:tc>
          <w:tcPr>
            <w:tcW w:w="1361" w:type="dxa"/>
            <w:vAlign w:val="center"/>
          </w:tcPr>
          <w:p>
            <w:pPr>
              <w:pStyle w:val="12"/>
            </w:pPr>
            <w:r>
              <w:t>279.80</w:t>
            </w:r>
          </w:p>
        </w:tc>
        <w:tc>
          <w:tcPr>
            <w:tcW w:w="1361" w:type="dxa"/>
            <w:vAlign w:val="center"/>
          </w:tcPr>
          <w:p>
            <w:pPr>
              <w:pStyle w:val="12"/>
            </w:pPr>
            <w:r>
              <w:t>1583.61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863.41</w:t>
            </w:r>
          </w:p>
        </w:tc>
        <w:tc>
          <w:tcPr>
            <w:tcW w:w="1361" w:type="dxa"/>
            <w:vAlign w:val="center"/>
          </w:tcPr>
          <w:p>
            <w:pPr>
              <w:pStyle w:val="12"/>
            </w:pPr>
            <w:r>
              <w:t>279.80</w:t>
            </w:r>
          </w:p>
        </w:tc>
        <w:tc>
          <w:tcPr>
            <w:tcW w:w="1361" w:type="dxa"/>
            <w:vAlign w:val="center"/>
          </w:tcPr>
          <w:p>
            <w:pPr>
              <w:pStyle w:val="12"/>
            </w:pPr>
            <w:r>
              <w:t>583.61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118.91</w:t>
            </w:r>
          </w:p>
        </w:tc>
        <w:tc>
          <w:tcPr>
            <w:tcW w:w="1361" w:type="dxa"/>
            <w:vAlign w:val="center"/>
          </w:tcPr>
          <w:p>
            <w:pPr>
              <w:pStyle w:val="12"/>
            </w:pPr>
            <w:r>
              <w:t>118.91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583.61</w:t>
            </w:r>
          </w:p>
        </w:tc>
        <w:tc>
          <w:tcPr>
            <w:tcW w:w="1361" w:type="dxa"/>
            <w:vAlign w:val="center"/>
          </w:tcPr>
          <w:p>
            <w:pPr>
              <w:pStyle w:val="12"/>
            </w:pPr>
          </w:p>
        </w:tc>
        <w:tc>
          <w:tcPr>
            <w:tcW w:w="1361" w:type="dxa"/>
            <w:vAlign w:val="center"/>
          </w:tcPr>
          <w:p>
            <w:pPr>
              <w:pStyle w:val="12"/>
            </w:pPr>
            <w:r>
              <w:t>583.61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160.89</w:t>
            </w:r>
          </w:p>
        </w:tc>
        <w:tc>
          <w:tcPr>
            <w:tcW w:w="1361" w:type="dxa"/>
            <w:vAlign w:val="center"/>
          </w:tcPr>
          <w:p>
            <w:pPr>
              <w:pStyle w:val="12"/>
            </w:pPr>
            <w:r>
              <w:t>160.89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47.20</w:t>
            </w:r>
          </w:p>
        </w:tc>
        <w:tc>
          <w:tcPr>
            <w:tcW w:w="1361" w:type="dxa"/>
            <w:vAlign w:val="center"/>
          </w:tcPr>
          <w:p>
            <w:pPr>
              <w:pStyle w:val="12"/>
            </w:pPr>
            <w:r>
              <w:t>47.20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47.20</w:t>
            </w:r>
          </w:p>
        </w:tc>
        <w:tc>
          <w:tcPr>
            <w:tcW w:w="1361" w:type="dxa"/>
            <w:vAlign w:val="center"/>
          </w:tcPr>
          <w:p>
            <w:pPr>
              <w:pStyle w:val="12"/>
            </w:pPr>
            <w:r>
              <w:t>47.20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39.32</w:t>
            </w:r>
          </w:p>
        </w:tc>
        <w:tc>
          <w:tcPr>
            <w:tcW w:w="1361" w:type="dxa"/>
            <w:vAlign w:val="center"/>
          </w:tcPr>
          <w:p>
            <w:pPr>
              <w:pStyle w:val="12"/>
            </w:pPr>
            <w:r>
              <w:t>39.32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7.88</w:t>
            </w:r>
          </w:p>
        </w:tc>
        <w:tc>
          <w:tcPr>
            <w:tcW w:w="1361" w:type="dxa"/>
            <w:vAlign w:val="center"/>
          </w:tcPr>
          <w:p>
            <w:pPr>
              <w:pStyle w:val="12"/>
            </w:pPr>
            <w:r>
              <w:t>7.88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22.59</w:t>
            </w:r>
          </w:p>
        </w:tc>
        <w:tc>
          <w:tcPr>
            <w:tcW w:w="1361" w:type="dxa"/>
            <w:vAlign w:val="center"/>
          </w:tcPr>
          <w:p>
            <w:pPr>
              <w:pStyle w:val="12"/>
            </w:pPr>
            <w:r>
              <w:t>22.59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22.59</w:t>
            </w:r>
          </w:p>
        </w:tc>
        <w:tc>
          <w:tcPr>
            <w:tcW w:w="1361" w:type="dxa"/>
            <w:vAlign w:val="center"/>
          </w:tcPr>
          <w:p>
            <w:pPr>
              <w:pStyle w:val="12"/>
            </w:pPr>
            <w:r>
              <w:t>22.59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7.39</w:t>
            </w:r>
          </w:p>
        </w:tc>
        <w:tc>
          <w:tcPr>
            <w:tcW w:w="1361" w:type="dxa"/>
            <w:vAlign w:val="center"/>
          </w:tcPr>
          <w:p>
            <w:pPr>
              <w:pStyle w:val="12"/>
            </w:pPr>
            <w:r>
              <w:t>7.39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15.20</w:t>
            </w:r>
          </w:p>
        </w:tc>
        <w:tc>
          <w:tcPr>
            <w:tcW w:w="1361" w:type="dxa"/>
            <w:vAlign w:val="center"/>
          </w:tcPr>
          <w:p>
            <w:pPr>
              <w:pStyle w:val="12"/>
            </w:pPr>
            <w:r>
              <w:t>15.20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19.35</w:t>
            </w:r>
          </w:p>
        </w:tc>
        <w:tc>
          <w:tcPr>
            <w:tcW w:w="1361" w:type="dxa"/>
            <w:vAlign w:val="center"/>
          </w:tcPr>
          <w:p>
            <w:pPr>
              <w:pStyle w:val="12"/>
            </w:pPr>
            <w:r>
              <w:t>19.35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19.35</w:t>
            </w:r>
          </w:p>
        </w:tc>
        <w:tc>
          <w:tcPr>
            <w:tcW w:w="1361" w:type="dxa"/>
            <w:vAlign w:val="center"/>
          </w:tcPr>
          <w:p>
            <w:pPr>
              <w:pStyle w:val="12"/>
            </w:pPr>
            <w:r>
              <w:t>19.35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19.35</w:t>
            </w:r>
          </w:p>
        </w:tc>
        <w:tc>
          <w:tcPr>
            <w:tcW w:w="1361" w:type="dxa"/>
            <w:vAlign w:val="center"/>
          </w:tcPr>
          <w:p>
            <w:pPr>
              <w:pStyle w:val="12"/>
            </w:pPr>
            <w:r>
              <w:t>19.35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1952.55</w:t>
            </w:r>
          </w:p>
        </w:tc>
        <w:tc>
          <w:tcPr>
            <w:tcW w:w="3402" w:type="dxa"/>
            <w:vAlign w:val="center"/>
          </w:tcPr>
          <w:p>
            <w:pPr>
              <w:pStyle w:val="13"/>
            </w:pPr>
            <w:r>
              <w:t>一、一般公共服务支出</w:t>
            </w:r>
          </w:p>
        </w:tc>
        <w:tc>
          <w:tcPr>
            <w:tcW w:w="1474" w:type="dxa"/>
            <w:vAlign w:val="center"/>
          </w:tcPr>
          <w:p>
            <w:pPr>
              <w:pStyle w:val="12"/>
            </w:pPr>
            <w:r>
              <w:t>1863.41</w:t>
            </w:r>
          </w:p>
        </w:tc>
        <w:tc>
          <w:tcPr>
            <w:tcW w:w="1474" w:type="dxa"/>
            <w:vAlign w:val="center"/>
          </w:tcPr>
          <w:p>
            <w:pPr>
              <w:pStyle w:val="12"/>
            </w:pPr>
            <w:r>
              <w:t>1863.41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47.20</w:t>
            </w:r>
          </w:p>
        </w:tc>
        <w:tc>
          <w:tcPr>
            <w:tcW w:w="1474" w:type="dxa"/>
            <w:vAlign w:val="center"/>
          </w:tcPr>
          <w:p>
            <w:pPr>
              <w:pStyle w:val="12"/>
            </w:pPr>
            <w:r>
              <w:t>47.20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22.59</w:t>
            </w:r>
          </w:p>
        </w:tc>
        <w:tc>
          <w:tcPr>
            <w:tcW w:w="1474" w:type="dxa"/>
            <w:vAlign w:val="center"/>
          </w:tcPr>
          <w:p>
            <w:pPr>
              <w:pStyle w:val="12"/>
            </w:pPr>
            <w:r>
              <w:t>22.59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19.35</w:t>
            </w:r>
          </w:p>
        </w:tc>
        <w:tc>
          <w:tcPr>
            <w:tcW w:w="1474" w:type="dxa"/>
            <w:vAlign w:val="center"/>
          </w:tcPr>
          <w:p>
            <w:pPr>
              <w:pStyle w:val="12"/>
            </w:pPr>
            <w:r>
              <w:t>19.35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2000.00</w:t>
            </w:r>
          </w:p>
        </w:tc>
        <w:tc>
          <w:tcPr>
            <w:tcW w:w="1474" w:type="dxa"/>
            <w:vAlign w:val="center"/>
          </w:tcPr>
          <w:p>
            <w:pPr>
              <w:pStyle w:val="12"/>
            </w:pPr>
          </w:p>
        </w:tc>
        <w:tc>
          <w:tcPr>
            <w:tcW w:w="1474" w:type="dxa"/>
            <w:vAlign w:val="center"/>
          </w:tcPr>
          <w:p>
            <w:pPr>
              <w:pStyle w:val="12"/>
            </w:pPr>
            <w:r>
              <w:t>2000.00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1952.55</w:t>
            </w:r>
          </w:p>
        </w:tc>
        <w:tc>
          <w:tcPr>
            <w:tcW w:w="3402" w:type="dxa"/>
            <w:vAlign w:val="center"/>
          </w:tcPr>
          <w:p>
            <w:pPr>
              <w:pStyle w:val="15"/>
            </w:pPr>
            <w:r>
              <w:t>本年支出合计</w:t>
            </w:r>
          </w:p>
        </w:tc>
        <w:tc>
          <w:tcPr>
            <w:tcW w:w="1474" w:type="dxa"/>
            <w:vAlign w:val="center"/>
          </w:tcPr>
          <w:p>
            <w:pPr>
              <w:pStyle w:val="16"/>
            </w:pPr>
            <w:r>
              <w:t>3952.55</w:t>
            </w:r>
          </w:p>
        </w:tc>
        <w:tc>
          <w:tcPr>
            <w:tcW w:w="1474" w:type="dxa"/>
            <w:vAlign w:val="center"/>
          </w:tcPr>
          <w:p>
            <w:pPr>
              <w:pStyle w:val="16"/>
            </w:pPr>
            <w:r>
              <w:t>1952.55</w:t>
            </w:r>
          </w:p>
        </w:tc>
        <w:tc>
          <w:tcPr>
            <w:tcW w:w="1474" w:type="dxa"/>
            <w:vAlign w:val="center"/>
          </w:tcPr>
          <w:p>
            <w:pPr>
              <w:pStyle w:val="16"/>
            </w:pPr>
            <w:r>
              <w:t>2000.00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2000.00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2000.00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3952.55</w:t>
            </w:r>
          </w:p>
        </w:tc>
        <w:tc>
          <w:tcPr>
            <w:tcW w:w="3402" w:type="dxa"/>
            <w:vAlign w:val="center"/>
          </w:tcPr>
          <w:p>
            <w:pPr>
              <w:pStyle w:val="15"/>
            </w:pPr>
            <w:r>
              <w:t>支出总计</w:t>
            </w:r>
          </w:p>
        </w:tc>
        <w:tc>
          <w:tcPr>
            <w:tcW w:w="1474" w:type="dxa"/>
            <w:vAlign w:val="center"/>
          </w:tcPr>
          <w:p>
            <w:pPr>
              <w:pStyle w:val="16"/>
            </w:pPr>
            <w:r>
              <w:t>3952.55</w:t>
            </w:r>
          </w:p>
        </w:tc>
        <w:tc>
          <w:tcPr>
            <w:tcW w:w="1474" w:type="dxa"/>
            <w:vAlign w:val="center"/>
          </w:tcPr>
          <w:p>
            <w:pPr>
              <w:pStyle w:val="16"/>
            </w:pPr>
            <w:r>
              <w:t>1952.55</w:t>
            </w:r>
          </w:p>
        </w:tc>
        <w:tc>
          <w:tcPr>
            <w:tcW w:w="1474" w:type="dxa"/>
            <w:vAlign w:val="center"/>
          </w:tcPr>
          <w:p>
            <w:pPr>
              <w:pStyle w:val="16"/>
            </w:pPr>
            <w:r>
              <w:t>2000.00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1952.55</w:t>
            </w:r>
          </w:p>
        </w:tc>
        <w:tc>
          <w:tcPr>
            <w:tcW w:w="2551" w:type="dxa"/>
            <w:vAlign w:val="center"/>
          </w:tcPr>
          <w:p>
            <w:pPr>
              <w:pStyle w:val="16"/>
            </w:pPr>
            <w:r>
              <w:t>368.94</w:t>
            </w:r>
          </w:p>
        </w:tc>
        <w:tc>
          <w:tcPr>
            <w:tcW w:w="2551" w:type="dxa"/>
            <w:vAlign w:val="center"/>
          </w:tcPr>
          <w:p>
            <w:pPr>
              <w:pStyle w:val="16"/>
            </w:pPr>
            <w:r>
              <w:t>1583.61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1863.41</w:t>
            </w:r>
          </w:p>
        </w:tc>
        <w:tc>
          <w:tcPr>
            <w:tcW w:w="2551" w:type="dxa"/>
            <w:vAlign w:val="center"/>
          </w:tcPr>
          <w:p>
            <w:pPr>
              <w:pStyle w:val="12"/>
            </w:pPr>
            <w:r>
              <w:t>279.80</w:t>
            </w:r>
          </w:p>
        </w:tc>
        <w:tc>
          <w:tcPr>
            <w:tcW w:w="2551" w:type="dxa"/>
            <w:vAlign w:val="center"/>
          </w:tcPr>
          <w:p>
            <w:pPr>
              <w:pStyle w:val="12"/>
            </w:pPr>
            <w:r>
              <w:t>1583.61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863.41</w:t>
            </w:r>
          </w:p>
        </w:tc>
        <w:tc>
          <w:tcPr>
            <w:tcW w:w="2551" w:type="dxa"/>
            <w:vAlign w:val="center"/>
          </w:tcPr>
          <w:p>
            <w:pPr>
              <w:pStyle w:val="12"/>
            </w:pPr>
            <w:r>
              <w:t>279.80</w:t>
            </w:r>
          </w:p>
        </w:tc>
        <w:tc>
          <w:tcPr>
            <w:tcW w:w="2551" w:type="dxa"/>
            <w:vAlign w:val="center"/>
          </w:tcPr>
          <w:p>
            <w:pPr>
              <w:pStyle w:val="12"/>
            </w:pPr>
            <w:r>
              <w:t>583.61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118.91</w:t>
            </w:r>
          </w:p>
        </w:tc>
        <w:tc>
          <w:tcPr>
            <w:tcW w:w="2551" w:type="dxa"/>
            <w:vAlign w:val="center"/>
          </w:tcPr>
          <w:p>
            <w:pPr>
              <w:pStyle w:val="12"/>
            </w:pPr>
            <w:r>
              <w:t>118.91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583.61</w:t>
            </w:r>
          </w:p>
        </w:tc>
        <w:tc>
          <w:tcPr>
            <w:tcW w:w="2551" w:type="dxa"/>
            <w:vAlign w:val="center"/>
          </w:tcPr>
          <w:p>
            <w:pPr>
              <w:pStyle w:val="12"/>
            </w:pPr>
          </w:p>
        </w:tc>
        <w:tc>
          <w:tcPr>
            <w:tcW w:w="2551" w:type="dxa"/>
            <w:vAlign w:val="center"/>
          </w:tcPr>
          <w:p>
            <w:pPr>
              <w:pStyle w:val="12"/>
            </w:pPr>
            <w:r>
              <w:t>583.61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160.89</w:t>
            </w:r>
          </w:p>
        </w:tc>
        <w:tc>
          <w:tcPr>
            <w:tcW w:w="2551" w:type="dxa"/>
            <w:vAlign w:val="center"/>
          </w:tcPr>
          <w:p>
            <w:pPr>
              <w:pStyle w:val="12"/>
            </w:pPr>
            <w:r>
              <w:t>160.89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47.20</w:t>
            </w:r>
          </w:p>
        </w:tc>
        <w:tc>
          <w:tcPr>
            <w:tcW w:w="2551" w:type="dxa"/>
            <w:vAlign w:val="center"/>
          </w:tcPr>
          <w:p>
            <w:pPr>
              <w:pStyle w:val="12"/>
            </w:pPr>
            <w:r>
              <w:t>47.20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47.20</w:t>
            </w:r>
          </w:p>
        </w:tc>
        <w:tc>
          <w:tcPr>
            <w:tcW w:w="2551" w:type="dxa"/>
            <w:vAlign w:val="center"/>
          </w:tcPr>
          <w:p>
            <w:pPr>
              <w:pStyle w:val="12"/>
            </w:pPr>
            <w:r>
              <w:t>47.20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39.32</w:t>
            </w:r>
          </w:p>
        </w:tc>
        <w:tc>
          <w:tcPr>
            <w:tcW w:w="2551" w:type="dxa"/>
            <w:vAlign w:val="center"/>
          </w:tcPr>
          <w:p>
            <w:pPr>
              <w:pStyle w:val="12"/>
            </w:pPr>
            <w:r>
              <w:t>39.32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7.88</w:t>
            </w:r>
          </w:p>
        </w:tc>
        <w:tc>
          <w:tcPr>
            <w:tcW w:w="2551" w:type="dxa"/>
            <w:vAlign w:val="center"/>
          </w:tcPr>
          <w:p>
            <w:pPr>
              <w:pStyle w:val="12"/>
            </w:pPr>
            <w:r>
              <w:t>7.88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22.59</w:t>
            </w:r>
          </w:p>
        </w:tc>
        <w:tc>
          <w:tcPr>
            <w:tcW w:w="2551" w:type="dxa"/>
            <w:vAlign w:val="center"/>
          </w:tcPr>
          <w:p>
            <w:pPr>
              <w:pStyle w:val="12"/>
            </w:pPr>
            <w:r>
              <w:t>22.59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22.59</w:t>
            </w:r>
          </w:p>
        </w:tc>
        <w:tc>
          <w:tcPr>
            <w:tcW w:w="2551" w:type="dxa"/>
            <w:vAlign w:val="center"/>
          </w:tcPr>
          <w:p>
            <w:pPr>
              <w:pStyle w:val="12"/>
            </w:pPr>
            <w:r>
              <w:t>22.59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7.39</w:t>
            </w:r>
          </w:p>
        </w:tc>
        <w:tc>
          <w:tcPr>
            <w:tcW w:w="2551" w:type="dxa"/>
            <w:vAlign w:val="center"/>
          </w:tcPr>
          <w:p>
            <w:pPr>
              <w:pStyle w:val="12"/>
            </w:pPr>
            <w:r>
              <w:t>7.39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15.20</w:t>
            </w:r>
          </w:p>
        </w:tc>
        <w:tc>
          <w:tcPr>
            <w:tcW w:w="2551" w:type="dxa"/>
            <w:vAlign w:val="center"/>
          </w:tcPr>
          <w:p>
            <w:pPr>
              <w:pStyle w:val="12"/>
            </w:pPr>
            <w:r>
              <w:t>15.20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19.35</w:t>
            </w:r>
          </w:p>
        </w:tc>
        <w:tc>
          <w:tcPr>
            <w:tcW w:w="2551" w:type="dxa"/>
            <w:vAlign w:val="center"/>
          </w:tcPr>
          <w:p>
            <w:pPr>
              <w:pStyle w:val="12"/>
            </w:pPr>
            <w:r>
              <w:t>19.35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19.35</w:t>
            </w:r>
          </w:p>
        </w:tc>
        <w:tc>
          <w:tcPr>
            <w:tcW w:w="2551" w:type="dxa"/>
            <w:vAlign w:val="center"/>
          </w:tcPr>
          <w:p>
            <w:pPr>
              <w:pStyle w:val="12"/>
            </w:pPr>
            <w:r>
              <w:t>19.35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19.35</w:t>
            </w:r>
          </w:p>
        </w:tc>
        <w:tc>
          <w:tcPr>
            <w:tcW w:w="2551" w:type="dxa"/>
            <w:vAlign w:val="center"/>
          </w:tcPr>
          <w:p>
            <w:pPr>
              <w:pStyle w:val="12"/>
            </w:pPr>
            <w:r>
              <w:t>19.35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368.94</w:t>
            </w:r>
          </w:p>
        </w:tc>
        <w:tc>
          <w:tcPr>
            <w:tcW w:w="2551" w:type="dxa"/>
            <w:vAlign w:val="center"/>
          </w:tcPr>
          <w:p>
            <w:pPr>
              <w:pStyle w:val="16"/>
            </w:pPr>
            <w:r>
              <w:t>343.84</w:t>
            </w:r>
          </w:p>
        </w:tc>
        <w:tc>
          <w:tcPr>
            <w:tcW w:w="2551" w:type="dxa"/>
            <w:vAlign w:val="center"/>
          </w:tcPr>
          <w:p>
            <w:pPr>
              <w:pStyle w:val="16"/>
            </w:pPr>
            <w:r>
              <w:t>25.10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334.29</w:t>
            </w:r>
          </w:p>
        </w:tc>
        <w:tc>
          <w:tcPr>
            <w:tcW w:w="2551" w:type="dxa"/>
            <w:vAlign w:val="center"/>
          </w:tcPr>
          <w:p>
            <w:pPr>
              <w:pStyle w:val="12"/>
            </w:pPr>
            <w:r>
              <w:t>334.29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145.28</w:t>
            </w:r>
          </w:p>
        </w:tc>
        <w:tc>
          <w:tcPr>
            <w:tcW w:w="2551" w:type="dxa"/>
            <w:vAlign w:val="center"/>
          </w:tcPr>
          <w:p>
            <w:pPr>
              <w:pStyle w:val="12"/>
            </w:pPr>
            <w:r>
              <w:t>145.28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30.71</w:t>
            </w:r>
          </w:p>
        </w:tc>
        <w:tc>
          <w:tcPr>
            <w:tcW w:w="2551" w:type="dxa"/>
            <w:vAlign w:val="center"/>
          </w:tcPr>
          <w:p>
            <w:pPr>
              <w:pStyle w:val="12"/>
            </w:pPr>
            <w:r>
              <w:t>30.71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11.83</w:t>
            </w:r>
          </w:p>
        </w:tc>
        <w:tc>
          <w:tcPr>
            <w:tcW w:w="2551" w:type="dxa"/>
            <w:vAlign w:val="center"/>
          </w:tcPr>
          <w:p>
            <w:pPr>
              <w:pStyle w:val="12"/>
            </w:pPr>
            <w:r>
              <w:t>11.83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55.24</w:t>
            </w:r>
          </w:p>
        </w:tc>
        <w:tc>
          <w:tcPr>
            <w:tcW w:w="2551" w:type="dxa"/>
            <w:vAlign w:val="center"/>
          </w:tcPr>
          <w:p>
            <w:pPr>
              <w:pStyle w:val="12"/>
            </w:pPr>
            <w:r>
              <w:t>55.24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39.32</w:t>
            </w:r>
          </w:p>
        </w:tc>
        <w:tc>
          <w:tcPr>
            <w:tcW w:w="2551" w:type="dxa"/>
            <w:vAlign w:val="center"/>
          </w:tcPr>
          <w:p>
            <w:pPr>
              <w:pStyle w:val="12"/>
            </w:pPr>
            <w:r>
              <w:t>39.32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7.88</w:t>
            </w:r>
          </w:p>
        </w:tc>
        <w:tc>
          <w:tcPr>
            <w:tcW w:w="2551" w:type="dxa"/>
            <w:vAlign w:val="center"/>
          </w:tcPr>
          <w:p>
            <w:pPr>
              <w:pStyle w:val="12"/>
            </w:pPr>
            <w:r>
              <w:t>7.88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22.59</w:t>
            </w:r>
          </w:p>
        </w:tc>
        <w:tc>
          <w:tcPr>
            <w:tcW w:w="2551" w:type="dxa"/>
            <w:vAlign w:val="center"/>
          </w:tcPr>
          <w:p>
            <w:pPr>
              <w:pStyle w:val="12"/>
            </w:pPr>
            <w:r>
              <w:t>22.59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2.09</w:t>
            </w:r>
          </w:p>
        </w:tc>
        <w:tc>
          <w:tcPr>
            <w:tcW w:w="2551" w:type="dxa"/>
            <w:vAlign w:val="center"/>
          </w:tcPr>
          <w:p>
            <w:pPr>
              <w:pStyle w:val="12"/>
            </w:pPr>
            <w:r>
              <w:t>2.09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19.35</w:t>
            </w:r>
          </w:p>
        </w:tc>
        <w:tc>
          <w:tcPr>
            <w:tcW w:w="2551" w:type="dxa"/>
            <w:vAlign w:val="center"/>
          </w:tcPr>
          <w:p>
            <w:pPr>
              <w:pStyle w:val="12"/>
            </w:pPr>
            <w:r>
              <w:t>19.35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25.10</w:t>
            </w:r>
          </w:p>
        </w:tc>
        <w:tc>
          <w:tcPr>
            <w:tcW w:w="2551" w:type="dxa"/>
            <w:vAlign w:val="center"/>
          </w:tcPr>
          <w:p>
            <w:pPr>
              <w:pStyle w:val="12"/>
            </w:pPr>
          </w:p>
        </w:tc>
        <w:tc>
          <w:tcPr>
            <w:tcW w:w="2551" w:type="dxa"/>
            <w:vAlign w:val="center"/>
          </w:tcPr>
          <w:p>
            <w:pPr>
              <w:pStyle w:val="12"/>
            </w:pPr>
            <w:r>
              <w:t>25.10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5.10</w:t>
            </w:r>
          </w:p>
        </w:tc>
        <w:tc>
          <w:tcPr>
            <w:tcW w:w="2551" w:type="dxa"/>
            <w:vAlign w:val="center"/>
          </w:tcPr>
          <w:p>
            <w:pPr>
              <w:pStyle w:val="12"/>
            </w:pPr>
          </w:p>
        </w:tc>
        <w:tc>
          <w:tcPr>
            <w:tcW w:w="2551" w:type="dxa"/>
            <w:vAlign w:val="center"/>
          </w:tcPr>
          <w:p>
            <w:pPr>
              <w:pStyle w:val="12"/>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3.06</w:t>
            </w:r>
          </w:p>
        </w:tc>
        <w:tc>
          <w:tcPr>
            <w:tcW w:w="2551" w:type="dxa"/>
            <w:vAlign w:val="center"/>
          </w:tcPr>
          <w:p>
            <w:pPr>
              <w:pStyle w:val="12"/>
            </w:pPr>
          </w:p>
        </w:tc>
        <w:tc>
          <w:tcPr>
            <w:tcW w:w="2551" w:type="dxa"/>
            <w:vAlign w:val="center"/>
          </w:tcPr>
          <w:p>
            <w:pPr>
              <w:pStyle w:val="12"/>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7.38</w:t>
            </w:r>
          </w:p>
        </w:tc>
        <w:tc>
          <w:tcPr>
            <w:tcW w:w="2551" w:type="dxa"/>
            <w:vAlign w:val="center"/>
          </w:tcPr>
          <w:p>
            <w:pPr>
              <w:pStyle w:val="12"/>
            </w:pPr>
          </w:p>
        </w:tc>
        <w:tc>
          <w:tcPr>
            <w:tcW w:w="2551" w:type="dxa"/>
            <w:vAlign w:val="center"/>
          </w:tcPr>
          <w:p>
            <w:pPr>
              <w:pStyle w:val="12"/>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9.55</w:t>
            </w:r>
          </w:p>
        </w:tc>
        <w:tc>
          <w:tcPr>
            <w:tcW w:w="2551" w:type="dxa"/>
            <w:vAlign w:val="center"/>
          </w:tcPr>
          <w:p>
            <w:pPr>
              <w:pStyle w:val="12"/>
            </w:pPr>
            <w:r>
              <w:t>9.55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9.55</w:t>
            </w:r>
          </w:p>
        </w:tc>
        <w:tc>
          <w:tcPr>
            <w:tcW w:w="2551" w:type="dxa"/>
            <w:vAlign w:val="center"/>
          </w:tcPr>
          <w:p>
            <w:pPr>
              <w:pStyle w:val="12"/>
            </w:pPr>
            <w:r>
              <w:t>9.55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2000.00</w:t>
            </w:r>
          </w:p>
        </w:tc>
        <w:tc>
          <w:tcPr>
            <w:tcW w:w="2551" w:type="dxa"/>
            <w:vAlign w:val="center"/>
          </w:tcPr>
          <w:p>
            <w:pPr>
              <w:pStyle w:val="16"/>
            </w:pPr>
          </w:p>
        </w:tc>
        <w:tc>
          <w:tcPr>
            <w:tcW w:w="2551" w:type="dxa"/>
            <w:vAlign w:val="center"/>
          </w:tcPr>
          <w:p>
            <w:pPr>
              <w:pStyle w:val="16"/>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169.00</w:t>
            </w:r>
          </w:p>
        </w:tc>
        <w:tc>
          <w:tcPr>
            <w:tcW w:w="2381" w:type="dxa"/>
            <w:vAlign w:val="center"/>
          </w:tcPr>
          <w:p>
            <w:pPr>
              <w:pStyle w:val="16"/>
            </w:pPr>
            <w:r>
              <w:t>169.00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169.00</w:t>
            </w:r>
          </w:p>
        </w:tc>
        <w:tc>
          <w:tcPr>
            <w:tcW w:w="2381" w:type="dxa"/>
            <w:vAlign w:val="center"/>
          </w:tcPr>
          <w:p>
            <w:pPr>
              <w:pStyle w:val="12"/>
            </w:pPr>
            <w:r>
              <w:t>169.00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r>
              <w:t>30.00</w:t>
            </w:r>
          </w:p>
        </w:tc>
        <w:tc>
          <w:tcPr>
            <w:tcW w:w="2381" w:type="dxa"/>
            <w:vAlign w:val="center"/>
          </w:tcPr>
          <w:p>
            <w:pPr>
              <w:pStyle w:val="12"/>
            </w:pPr>
            <w:r>
              <w:t>30.00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r>
              <w:t>30.00</w:t>
            </w:r>
          </w:p>
        </w:tc>
        <w:tc>
          <w:tcPr>
            <w:tcW w:w="2381" w:type="dxa"/>
            <w:vAlign w:val="center"/>
          </w:tcPr>
          <w:p>
            <w:pPr>
              <w:pStyle w:val="12"/>
            </w:pPr>
            <w:r>
              <w:t>30.00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9.00</w:t>
            </w:r>
          </w:p>
        </w:tc>
        <w:tc>
          <w:tcPr>
            <w:tcW w:w="2381" w:type="dxa"/>
            <w:vAlign w:val="center"/>
          </w:tcPr>
          <w:p>
            <w:pPr>
              <w:pStyle w:val="12"/>
            </w:pPr>
            <w:r>
              <w:t>9.00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9.00</w:t>
            </w:r>
          </w:p>
        </w:tc>
        <w:tc>
          <w:tcPr>
            <w:tcW w:w="2381" w:type="dxa"/>
            <w:vAlign w:val="center"/>
          </w:tcPr>
          <w:p>
            <w:pPr>
              <w:pStyle w:val="12"/>
            </w:pPr>
            <w:r>
              <w:t>9.00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130.00</w:t>
            </w:r>
          </w:p>
        </w:tc>
        <w:tc>
          <w:tcPr>
            <w:tcW w:w="2381" w:type="dxa"/>
            <w:vAlign w:val="center"/>
          </w:tcPr>
          <w:p>
            <w:pPr>
              <w:pStyle w:val="12"/>
            </w:pPr>
            <w:r>
              <w:t>130.00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河北昌黎经济开发区管理委员会2025年部门预算信息公开情况说明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河北昌黎经济开发区管理委员会2025年部门预算信息公开情况说明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按照《中华人民共和国预算法》、《地方预决算公开操作规程》和《关于进一步推进预算公开工作的实施意见》规定，现将河北昌黎经济开发区管理委员会2025年部门预算公开如下：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落实党的路线、方针、政策和上级党委的决议、指示；研究产业园建设、经济发展等方面的重大问题；加强党工委自身建设和所属企业党组织建设；组织协调辖区内社会治安综合治理和维护稳定工作；编制产业园的总体规划和经济、社会发展规划，经批准后实施；审批产业园各企业的发展规划和产业布局；负责产业园的招商引资、产业培育、对外经济技术合作、投融资管理服务工作；负责产业园基础设施、公共服务设施的建设和管理工作；负责对产业园内的企业进行指导、监督，保障企业依法自主经营，做好协调和服务工作；协同有关部门做好开发区内消防、城市监察、规划监察、环境监察、安全生产监察、劳动保障等执法和企业矛盾、劳资纠纷等调解工作；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河北昌黎经济开发区管理委员会本级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昌黎县空港产业综合服务中心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按照预算管理有关规定，目前部门预算的编制实行综合预算管理，即全部收入和支出都反映在预算中。河北昌黎经济开发区管理委员会机关及所属事业单位的收支包含在部门预算中。</w:t>
      </w:r>
    </w:p>
    <w:p>
      <w:pPr>
        <w:pStyle w:val="19"/>
      </w:pPr>
      <w:r>
        <w:t>1、收入说明</w:t>
      </w:r>
    </w:p>
    <w:p>
      <w:pPr>
        <w:pStyle w:val="19"/>
      </w:pPr>
      <w:r>
        <w:t>反映本部门当年全部收入。2025年预算收入3952.55万元，其中：一般公共预算收入1952.55万元，基金预算收入0.00万元，国有资本经营预算收入0.00万元，财政专户核拨收入0.00万元，单位资金收入0.00万元，上年结转结余2000.00万元。</w:t>
      </w:r>
    </w:p>
    <w:p>
      <w:pPr>
        <w:pStyle w:val="19"/>
      </w:pPr>
      <w:r>
        <w:t>2、支出说明</w:t>
      </w:r>
    </w:p>
    <w:p>
      <w:pPr>
        <w:pStyle w:val="19"/>
      </w:pPr>
      <w:r>
        <w:t>收支预算总表支出栏、基本支出表、项目支出表按经济分类和支出功能分类科目编制，反映河北昌黎经济开发区管理委员会年度部门预算中支出预算的总体情况。2025年支出预算3952.55万元，其中基本支出368.94万元，包括人员经费343.84万元和日常公用经费25.10万元；项目支出3583.61万元，主要为劳务派遣人员工资、保险支出，园区招商、重点项目支出。</w:t>
      </w:r>
    </w:p>
    <w:p>
      <w:pPr>
        <w:pStyle w:val="19"/>
      </w:pPr>
      <w:r>
        <w:t>3、比上年增减情况</w:t>
      </w:r>
    </w:p>
    <w:p>
      <w:pPr>
        <w:pStyle w:val="19"/>
      </w:pPr>
      <w:r>
        <w:t>2025年预算收支安排3952.55万元，较2024年预算增加55.56万元，其中：基本支出减少28.05万元，主要为人员调出，致使2025年基本支出减少。项目支出增加83.61万元，主要为加大招商力度，招商运营经费增加。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2025年，我部门机关运行经费共计安排25.10万元，主要用于日常维修、办公用房水电费、办公用房取暖费、办公用房物业管理费等日常运行支出。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169.00万元，其中因公出国（境）费30.00万元；公务用车购置及运维费9.00万元（其中：公务用车购置费为0.00万元，公务用车运维费9.00万元)；公务接待费130.00万元。与2024年相比减少70.00万元，增减变化的主要原因是本部门严格落实“三公”经费的政策要求，本着厉行节约的原则，合理安排各项预算收入支出，公务接待费减少70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在县委、县政府的正确领导下，立足工作职能，以习近平新时代中国特色社会主义思想为统领，紧紧围绕经济发展这一中心工作进行整体谋划，全面规范开发区管理机构，进一步落实财政体制改革、人事薪酬制度改革等举措，完善园区基础设施，强化招商引资。优化“五位一体”招商体系，紧盯新一轮对外开放政策，抢抓北京产业迁移重大机遇，瞄准“央字”“国字”和大型民企，持续开展招商引资攻坚行动。围绕红酒、旅游、皮毛等主导特色产业，实施产业链招商，促进上下游企业集聚发展；利用华夏幸福、碧水源、天士力等现有知名企业人脉、信息资源，开展以商招商，当年举办各种招商活动和对外宣传媒介不少于4次，在谈意向项目个数不少于30个。年内力争引进一批科技含量高、市场前景好的重大产业项目。通过秦皇岛国际裘皮城路网工程项目，完善裘皮城道路基础设施服务水平目标。改善沿线交通条件，加速项目影响区域的社会发展。保障各园区正常运营，域内企业正常生产目标。开发区及下属园区新增企业缴纳的税金、基金等1000万元以上。通过科技企业孵化器委托运营项目，达到孵化器及众创空间搭建目标，2025年入科技企业进入孵化器的企业个数不少于5个。</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（一）促进开发区发展</w:t>
      </w:r>
    </w:p>
    <w:p>
      <w:pPr>
        <w:pStyle w:val="23"/>
      </w:pPr>
      <w:r>
        <w:t>绩效目标：各园区正常运营，域内企业正常生产。</w:t>
      </w:r>
    </w:p>
    <w:p>
      <w:pPr>
        <w:pStyle w:val="23"/>
      </w:pPr>
      <w:r>
        <w:t>绩效指标：通过提供各种服务、各种报告受益企业超100个。</w:t>
      </w:r>
    </w:p>
    <w:p>
      <w:pPr>
        <w:pStyle w:val="23"/>
      </w:pPr>
      <w:r>
        <w:t>（二）昌黎县重点项目工作（含招商引资）</w:t>
      </w:r>
    </w:p>
    <w:p>
      <w:pPr>
        <w:pStyle w:val="23"/>
      </w:pPr>
      <w:r>
        <w:t>绩效目标：通过科技企业孵化器委托运营项目，达到孵化器及众创空间搭建目标及招商引资服务等。</w:t>
      </w:r>
    </w:p>
    <w:p>
      <w:pPr>
        <w:pStyle w:val="23"/>
      </w:pPr>
      <w:r>
        <w:t>绩效指标：2025年入科技企业孵化器的企业不少于5个。</w:t>
      </w:r>
    </w:p>
    <w:p>
      <w:pPr>
        <w:pStyle w:val="23"/>
      </w:pPr>
      <w:r>
        <w:t>（三）加大招商引资力度</w:t>
      </w:r>
    </w:p>
    <w:p>
      <w:pPr>
        <w:pStyle w:val="23"/>
      </w:pPr>
      <w:r>
        <w:t>绩效目标：通过招商引资项目和对外宣传媒介，以商招商。</w:t>
      </w:r>
    </w:p>
    <w:p>
      <w:pPr>
        <w:pStyle w:val="23"/>
      </w:pPr>
      <w:r>
        <w:t>绩效指标：在谈意向项目数不少于30个。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（一）完善制度建设。制定完善预算绩效管理制度、资金管理办法、工作保障制度等内控管理办法，为全年预算绩效目标的实现奠定制度基础。</w:t>
      </w:r>
    </w:p>
    <w:p>
      <w:pPr>
        <w:pStyle w:val="24"/>
      </w:pPr>
      <w:r>
        <w:t>（二）加强支出管理。通过优化支出结构、编细编实预算、尽快启动项目、及时支付资金、按规定及时下达资金等多种措施，确保支出进度达标。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（六）加强内部监督。加强内部监督制度建设，对绩效运行情况、重大支出决策、资产处置及其他重要事项的决策和执行进行督导，配合做好审计、财政监督等外部监督工作，确保财政资金安全有效。</w:t>
      </w:r>
    </w:p>
    <w:p>
      <w:pPr>
        <w:pStyle w:val="24"/>
      </w:pPr>
      <w:r>
        <w:t>（七）加强宣传培训调研。加强人员培训，提高职工业务素质；优化财政资金配置、提高资金使用效益；强化预算绩效管理意识，促进预算绩效管理水平进一步提升。</w:t>
      </w:r>
    </w:p>
    <w:p>
      <w:pPr>
        <w:pStyle w:val="24"/>
      </w:pPr>
      <w:r>
        <w:t>（八）坚持厉行节约。坚持厉行节约，反对铺张浪费，科学规范分配财政资金，提高财政资金使用效益，建设节约型机关。</w:t>
      </w:r>
    </w:p>
    <w:p>
      <w:pPr>
        <w:pStyle w:val="24"/>
        <w:sectPr>
          <w:pgSz w:w="16840" w:h="11900" w:orient="landscape"/>
          <w:pgMar w:top="1361" w:right="1020" w:bottom="1361" w:left="1020" w:header="720" w:footer="720" w:gutter="0"/>
        </w:sectPr>
      </w:pPr>
      <w:r>
        <w:t>（九）扎实开展监督工作。继续深化落实“6+1”联动监督工作，全力做好民生实事监督工作，推动经济高质量发展，提升社会治理能力。</w:t>
      </w:r>
    </w:p>
    <w:p>
      <w:p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spacing w:before="10" w:after="10" w:line="360" w:lineRule="auto"/>
        <w:ind w:firstLine="1171" w:firstLineChars="366"/>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1、昌黎县空港产业园污水处理厂及管网建设项目（专项债）绩效目标表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13032224P00N8PE10008C</w:t>
            </w:r>
          </w:p>
        </w:tc>
        <w:tc>
          <w:tcPr>
            <w:tcW w:w="2835" w:type="dxa"/>
            <w:vAlign w:val="center"/>
          </w:tcPr>
          <w:p>
            <w:pPr>
              <w:pStyle w:val="11"/>
            </w:pPr>
            <w:r>
              <w:t>项目名称</w:t>
            </w:r>
          </w:p>
        </w:tc>
        <w:tc>
          <w:tcPr>
            <w:tcW w:w="6095" w:type="dxa"/>
            <w:gridSpan w:val="3"/>
            <w:vAlign w:val="center"/>
          </w:tcPr>
          <w:p>
            <w:pPr>
              <w:pStyle w:val="13"/>
            </w:pPr>
            <w:r>
              <w:t>昌黎县空港产业园污水处理厂及管网建设项目（专项债）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空港污水处理厂及管网建设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2、开发区经费（含重点项目工作经费500万元）绩效目标表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13032225P00212810001X</w:t>
            </w:r>
          </w:p>
        </w:tc>
        <w:tc>
          <w:tcPr>
            <w:tcW w:w="2835" w:type="dxa"/>
            <w:vAlign w:val="center"/>
          </w:tcPr>
          <w:p>
            <w:pPr>
              <w:pStyle w:val="11"/>
            </w:pPr>
            <w:r>
              <w:t>项目名称</w:t>
            </w:r>
          </w:p>
        </w:tc>
        <w:tc>
          <w:tcPr>
            <w:tcW w:w="6095" w:type="dxa"/>
            <w:gridSpan w:val="3"/>
            <w:vAlign w:val="center"/>
          </w:tcPr>
          <w:p>
            <w:pPr>
              <w:pStyle w:val="13"/>
            </w:pPr>
            <w:r>
              <w:t>开发区经费（含重点项目工作经费500万元）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做好开发区及下属园区日常管理及保障工作，为区内企业正常发展保驾护航。大力开展招商引资和对外宣传，推进昌黎县重点项目建设，力争引进一批科技含量高、市场前景好的重点项目落地。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1.做好开发区及下属园区的日常管理及保障工作，为充分发挥职能作用提供有效保障，为区内企业正常发展保驾护航。</w:t>
            </w:r>
          </w:p>
          <w:p>
            <w:pPr>
              <w:pStyle w:val="13"/>
            </w:pPr>
            <w:r>
              <w:t>2.推进昌黎县重点项目建设，开展各种招商活动和对外宣传媒介，建立招商引资项目数据库。力争引进一批科技含量高、市场前景好的重点项目落地。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累计签订意向或协议数</w:t>
            </w:r>
          </w:p>
        </w:tc>
        <w:tc>
          <w:tcPr>
            <w:tcW w:w="5386" w:type="dxa"/>
            <w:vAlign w:val="center"/>
          </w:tcPr>
          <w:p>
            <w:pPr>
              <w:pStyle w:val="13"/>
            </w:pPr>
            <w:r>
              <w:t>累计签订意向或协议数</w:t>
            </w:r>
          </w:p>
        </w:tc>
        <w:tc>
          <w:tcPr>
            <w:tcW w:w="2268" w:type="dxa"/>
            <w:vAlign w:val="center"/>
          </w:tcPr>
          <w:p>
            <w:pPr>
              <w:pStyle w:val="13"/>
            </w:pPr>
            <w:r>
              <w:t>≥20个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入孵企业完成率</w:t>
            </w:r>
          </w:p>
        </w:tc>
        <w:tc>
          <w:tcPr>
            <w:tcW w:w="5386" w:type="dxa"/>
            <w:vAlign w:val="center"/>
          </w:tcPr>
          <w:p>
            <w:pPr>
              <w:pStyle w:val="13"/>
            </w:pPr>
            <w:r>
              <w:t>进入孵化器企业占年初任务的比例</w:t>
            </w:r>
          </w:p>
        </w:tc>
        <w:tc>
          <w:tcPr>
            <w:tcW w:w="2268" w:type="dxa"/>
            <w:vAlign w:val="center"/>
          </w:tcPr>
          <w:p>
            <w:pPr>
              <w:pStyle w:val="13"/>
            </w:pPr>
            <w:r>
              <w:t>≥90%</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项目完工及时率</w:t>
            </w:r>
          </w:p>
        </w:tc>
        <w:tc>
          <w:tcPr>
            <w:tcW w:w="5386" w:type="dxa"/>
            <w:vAlign w:val="center"/>
          </w:tcPr>
          <w:p>
            <w:pPr>
              <w:pStyle w:val="13"/>
            </w:pPr>
            <w:r>
              <w:t>完工项目占当年计划项目比例</w:t>
            </w:r>
          </w:p>
        </w:tc>
        <w:tc>
          <w:tcPr>
            <w:tcW w:w="2268" w:type="dxa"/>
            <w:vAlign w:val="center"/>
          </w:tcPr>
          <w:p>
            <w:pPr>
              <w:pStyle w:val="13"/>
            </w:pPr>
            <w:r>
              <w:t>≥80%</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项目投资实际发生的成本占预算的比例</w:t>
            </w:r>
          </w:p>
        </w:tc>
        <w:tc>
          <w:tcPr>
            <w:tcW w:w="2268" w:type="dxa"/>
            <w:vAlign w:val="center"/>
          </w:tcPr>
          <w:p>
            <w:pPr>
              <w:pStyle w:val="13"/>
            </w:pPr>
            <w:r>
              <w:t>≤100%</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新上项目增加税收收入</w:t>
            </w:r>
          </w:p>
        </w:tc>
        <w:tc>
          <w:tcPr>
            <w:tcW w:w="5386" w:type="dxa"/>
            <w:vAlign w:val="center"/>
          </w:tcPr>
          <w:p>
            <w:pPr>
              <w:pStyle w:val="13"/>
            </w:pPr>
            <w:r>
              <w:t>新上项目增加的税收收入</w:t>
            </w:r>
          </w:p>
        </w:tc>
        <w:tc>
          <w:tcPr>
            <w:tcW w:w="2268" w:type="dxa"/>
            <w:vAlign w:val="center"/>
          </w:tcPr>
          <w:p>
            <w:pPr>
              <w:pStyle w:val="13"/>
            </w:pPr>
            <w:r>
              <w:t>≥1000万元</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受益企业数量</w:t>
            </w:r>
          </w:p>
        </w:tc>
        <w:tc>
          <w:tcPr>
            <w:tcW w:w="5386" w:type="dxa"/>
            <w:vAlign w:val="center"/>
          </w:tcPr>
          <w:p>
            <w:pPr>
              <w:pStyle w:val="13"/>
            </w:pPr>
            <w:r>
              <w:t>通过园区各种规划评估、完善设施受益企业数量</w:t>
            </w:r>
          </w:p>
        </w:tc>
        <w:tc>
          <w:tcPr>
            <w:tcW w:w="2268" w:type="dxa"/>
            <w:vAlign w:val="center"/>
          </w:tcPr>
          <w:p>
            <w:pPr>
              <w:pStyle w:val="13"/>
            </w:pPr>
            <w:r>
              <w:t>≥100个</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建设项目环评执行率</w:t>
            </w:r>
          </w:p>
        </w:tc>
        <w:tc>
          <w:tcPr>
            <w:tcW w:w="5386" w:type="dxa"/>
            <w:vAlign w:val="center"/>
          </w:tcPr>
          <w:p>
            <w:pPr>
              <w:pStyle w:val="13"/>
            </w:pPr>
            <w:r>
              <w:t>当年建设进行环评的项目占总项目的比例</w:t>
            </w:r>
          </w:p>
        </w:tc>
        <w:tc>
          <w:tcPr>
            <w:tcW w:w="2268" w:type="dxa"/>
            <w:vAlign w:val="center"/>
          </w:tcPr>
          <w:p>
            <w:pPr>
              <w:pStyle w:val="13"/>
            </w:pPr>
            <w:r>
              <w:t>≥90%</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通过项目开展，持续发挥作用时间。</w:t>
            </w:r>
          </w:p>
        </w:tc>
        <w:tc>
          <w:tcPr>
            <w:tcW w:w="2268" w:type="dxa"/>
            <w:vAlign w:val="center"/>
          </w:tcPr>
          <w:p>
            <w:pPr>
              <w:pStyle w:val="13"/>
            </w:pPr>
            <w:r>
              <w:t>≥1年</w:t>
            </w:r>
          </w:p>
        </w:tc>
        <w:tc>
          <w:tcPr>
            <w:tcW w:w="1276"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入园企业满意度</w:t>
            </w:r>
          </w:p>
        </w:tc>
        <w:tc>
          <w:tcPr>
            <w:tcW w:w="5386" w:type="dxa"/>
            <w:vAlign w:val="center"/>
          </w:tcPr>
          <w:p>
            <w:pPr>
              <w:pStyle w:val="13"/>
            </w:pPr>
            <w:r>
              <w:t>通过问卷调查，满意和较满意的企业占所有入园企业的比例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3、劳务派遣人员支出绩效目标表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13032225P00233310022K</w:t>
            </w:r>
          </w:p>
        </w:tc>
        <w:tc>
          <w:tcPr>
            <w:tcW w:w="2835" w:type="dxa"/>
            <w:vAlign w:val="center"/>
          </w:tcPr>
          <w:p>
            <w:pPr>
              <w:pStyle w:val="11"/>
            </w:pPr>
            <w:r>
              <w:t>项目名称</w:t>
            </w:r>
          </w:p>
        </w:tc>
        <w:tc>
          <w:tcPr>
            <w:tcW w:w="6095" w:type="dxa"/>
            <w:gridSpan w:val="3"/>
            <w:vAlign w:val="center"/>
          </w:tcPr>
          <w:p>
            <w:pPr>
              <w:pStyle w:val="13"/>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583.61</w:t>
            </w:r>
          </w:p>
        </w:tc>
        <w:tc>
          <w:tcPr>
            <w:tcW w:w="2835" w:type="dxa"/>
            <w:vAlign w:val="center"/>
          </w:tcPr>
          <w:p>
            <w:pPr>
              <w:pStyle w:val="11"/>
            </w:pPr>
            <w:r>
              <w:t>其中：财政    资金</w:t>
            </w:r>
          </w:p>
        </w:tc>
        <w:tc>
          <w:tcPr>
            <w:tcW w:w="2551" w:type="dxa"/>
            <w:vAlign w:val="center"/>
          </w:tcPr>
          <w:p>
            <w:pPr>
              <w:pStyle w:val="13"/>
            </w:pPr>
            <w:r>
              <w:t>583.61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保证人员工资按时发放，确保机关单位正常运转。</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在谈意向项目个数</w:t>
            </w:r>
          </w:p>
        </w:tc>
        <w:tc>
          <w:tcPr>
            <w:tcW w:w="5386" w:type="dxa"/>
            <w:vAlign w:val="center"/>
          </w:tcPr>
          <w:p>
            <w:pPr>
              <w:pStyle w:val="13"/>
            </w:pPr>
            <w:r>
              <w:t>在谈意向项目的数量</w:t>
            </w:r>
          </w:p>
        </w:tc>
        <w:tc>
          <w:tcPr>
            <w:tcW w:w="2268" w:type="dxa"/>
            <w:vAlign w:val="center"/>
          </w:tcPr>
          <w:p>
            <w:pPr>
              <w:pStyle w:val="13"/>
            </w:pPr>
            <w:r>
              <w:t>≥30个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人员经费到位率</w:t>
            </w:r>
          </w:p>
        </w:tc>
        <w:tc>
          <w:tcPr>
            <w:tcW w:w="5386" w:type="dxa"/>
            <w:vAlign w:val="center"/>
          </w:tcPr>
          <w:p>
            <w:pPr>
              <w:pStyle w:val="13"/>
            </w:pPr>
            <w:r>
              <w:t>人员经费到位资金的比例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住宅取暖补贴领取人数</w:t>
            </w:r>
          </w:p>
        </w:tc>
        <w:tc>
          <w:tcPr>
            <w:tcW w:w="5386" w:type="dxa"/>
            <w:vAlign w:val="center"/>
          </w:tcPr>
          <w:p>
            <w:pPr>
              <w:pStyle w:val="13"/>
            </w:pPr>
            <w:r>
              <w:t>单位领取住宅取费补贴的人数</w:t>
            </w:r>
          </w:p>
        </w:tc>
        <w:tc>
          <w:tcPr>
            <w:tcW w:w="2268" w:type="dxa"/>
            <w:vAlign w:val="center"/>
          </w:tcPr>
          <w:p>
            <w:pPr>
              <w:pStyle w:val="13"/>
            </w:pPr>
            <w:r>
              <w:t>≤146人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新上项目增加税收收入</w:t>
            </w:r>
          </w:p>
        </w:tc>
        <w:tc>
          <w:tcPr>
            <w:tcW w:w="5386" w:type="dxa"/>
            <w:vAlign w:val="center"/>
          </w:tcPr>
          <w:p>
            <w:pPr>
              <w:pStyle w:val="13"/>
            </w:pPr>
            <w:r>
              <w:t>新上项目增加的税收收入</w:t>
            </w:r>
          </w:p>
        </w:tc>
        <w:tc>
          <w:tcPr>
            <w:tcW w:w="2268" w:type="dxa"/>
            <w:vAlign w:val="center"/>
          </w:tcPr>
          <w:p>
            <w:pPr>
              <w:pStyle w:val="13"/>
            </w:pPr>
            <w:r>
              <w:t>≥1000万元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受益企业数量</w:t>
            </w:r>
          </w:p>
        </w:tc>
        <w:tc>
          <w:tcPr>
            <w:tcW w:w="5386" w:type="dxa"/>
            <w:vAlign w:val="center"/>
          </w:tcPr>
          <w:p>
            <w:pPr>
              <w:pStyle w:val="13"/>
            </w:pPr>
            <w:r>
              <w:t>通过园区保持整洁维护公共设施受益企业数量</w:t>
            </w:r>
          </w:p>
        </w:tc>
        <w:tc>
          <w:tcPr>
            <w:tcW w:w="2268" w:type="dxa"/>
            <w:vAlign w:val="center"/>
          </w:tcPr>
          <w:p>
            <w:pPr>
              <w:pStyle w:val="13"/>
            </w:pPr>
            <w:r>
              <w:t>≥100个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建设项目环评执行率</w:t>
            </w:r>
          </w:p>
        </w:tc>
        <w:tc>
          <w:tcPr>
            <w:tcW w:w="5386" w:type="dxa"/>
            <w:vAlign w:val="center"/>
          </w:tcPr>
          <w:p>
            <w:pPr>
              <w:pStyle w:val="13"/>
            </w:pPr>
            <w:r>
              <w:t>当年建设进行环评的项目占总项目的比例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695.52</w:t>
            </w:r>
          </w:p>
        </w:tc>
        <w:tc>
          <w:tcPr>
            <w:tcW w:w="964" w:type="dxa"/>
            <w:vAlign w:val="center"/>
          </w:tcPr>
          <w:p>
            <w:pPr>
              <w:pStyle w:val="16"/>
            </w:pPr>
            <w:r>
              <w:t>695.52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695.52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河北昌黎经济开发区管理委员会本级小计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695.52</w:t>
            </w:r>
          </w:p>
        </w:tc>
        <w:tc>
          <w:tcPr>
            <w:tcW w:w="964" w:type="dxa"/>
            <w:vAlign w:val="center"/>
          </w:tcPr>
          <w:p>
            <w:pPr>
              <w:pStyle w:val="16"/>
            </w:pPr>
            <w:r>
              <w:t>695.52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695.52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0.80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0.35</w:t>
            </w:r>
          </w:p>
        </w:tc>
        <w:tc>
          <w:tcPr>
            <w:tcW w:w="964" w:type="dxa"/>
            <w:vAlign w:val="center"/>
          </w:tcPr>
          <w:p>
            <w:pPr>
              <w:pStyle w:val="12"/>
            </w:pPr>
            <w:r>
              <w:t>1.05</w:t>
            </w:r>
          </w:p>
        </w:tc>
        <w:tc>
          <w:tcPr>
            <w:tcW w:w="964" w:type="dxa"/>
            <w:vAlign w:val="center"/>
          </w:tcPr>
          <w:p>
            <w:pPr>
              <w:pStyle w:val="12"/>
            </w:pPr>
            <w:r>
              <w:t>1.05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其他台、桌类</w:t>
            </w:r>
          </w:p>
        </w:tc>
        <w:tc>
          <w:tcPr>
            <w:tcW w:w="1134" w:type="dxa"/>
            <w:vAlign w:val="center"/>
          </w:tcPr>
          <w:p>
            <w:pPr>
              <w:pStyle w:val="13"/>
            </w:pPr>
            <w:r>
              <w:t>A05010299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其他椅凳类</w:t>
            </w:r>
          </w:p>
        </w:tc>
        <w:tc>
          <w:tcPr>
            <w:tcW w:w="1134" w:type="dxa"/>
            <w:vAlign w:val="center"/>
          </w:tcPr>
          <w:p>
            <w:pPr>
              <w:pStyle w:val="13"/>
            </w:pPr>
            <w:r>
              <w:t>A05010399</w:t>
            </w:r>
          </w:p>
        </w:tc>
        <w:tc>
          <w:tcPr>
            <w:tcW w:w="709" w:type="dxa"/>
            <w:vAlign w:val="center"/>
          </w:tcPr>
          <w:p>
            <w:pPr>
              <w:pStyle w:val="14"/>
            </w:pPr>
            <w:r>
              <w:t>把</w:t>
            </w:r>
          </w:p>
        </w:tc>
        <w:tc>
          <w:tcPr>
            <w:tcW w:w="850" w:type="dxa"/>
            <w:vAlign w:val="center"/>
          </w:tcPr>
          <w:p>
            <w:pPr>
              <w:pStyle w:val="12"/>
            </w:pPr>
            <w:r>
              <w:t>1</w:t>
            </w:r>
          </w:p>
        </w:tc>
        <w:tc>
          <w:tcPr>
            <w:tcW w:w="850" w:type="dxa"/>
            <w:vAlign w:val="center"/>
          </w:tcPr>
          <w:p>
            <w:pPr>
              <w:pStyle w:val="12"/>
            </w:pPr>
            <w:r>
              <w:t>0.07</w:t>
            </w:r>
          </w:p>
        </w:tc>
        <w:tc>
          <w:tcPr>
            <w:tcW w:w="964" w:type="dxa"/>
            <w:vAlign w:val="center"/>
          </w:tcPr>
          <w:p>
            <w:pPr>
              <w:pStyle w:val="12"/>
            </w:pPr>
            <w:r>
              <w:t>0.07</w:t>
            </w:r>
          </w:p>
        </w:tc>
        <w:tc>
          <w:tcPr>
            <w:tcW w:w="964" w:type="dxa"/>
            <w:vAlign w:val="center"/>
          </w:tcPr>
          <w:p>
            <w:pPr>
              <w:pStyle w:val="12"/>
            </w:pPr>
            <w:r>
              <w:t>0.07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其他沙发类</w:t>
            </w:r>
          </w:p>
        </w:tc>
        <w:tc>
          <w:tcPr>
            <w:tcW w:w="1134" w:type="dxa"/>
            <w:vAlign w:val="center"/>
          </w:tcPr>
          <w:p>
            <w:pPr>
              <w:pStyle w:val="13"/>
            </w:pPr>
            <w:r>
              <w:t>A05010499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其他沙发类</w:t>
            </w:r>
          </w:p>
        </w:tc>
        <w:tc>
          <w:tcPr>
            <w:tcW w:w="1134" w:type="dxa"/>
            <w:vAlign w:val="center"/>
          </w:tcPr>
          <w:p>
            <w:pPr>
              <w:pStyle w:val="13"/>
            </w:pPr>
            <w:r>
              <w:t>A05010499</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组</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组</w:t>
            </w:r>
          </w:p>
        </w:tc>
        <w:tc>
          <w:tcPr>
            <w:tcW w:w="850" w:type="dxa"/>
            <w:vAlign w:val="center"/>
          </w:tcPr>
          <w:p>
            <w:pPr>
              <w:pStyle w:val="12"/>
            </w:pPr>
            <w:r>
              <w:t>2</w:t>
            </w:r>
          </w:p>
        </w:tc>
        <w:tc>
          <w:tcPr>
            <w:tcW w:w="850" w:type="dxa"/>
            <w:vAlign w:val="center"/>
          </w:tcPr>
          <w:p>
            <w:pPr>
              <w:pStyle w:val="12"/>
            </w:pPr>
            <w:r>
              <w:t>0.08</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其他架类</w:t>
            </w:r>
          </w:p>
        </w:tc>
        <w:tc>
          <w:tcPr>
            <w:tcW w:w="1134" w:type="dxa"/>
            <w:vAlign w:val="center"/>
          </w:tcPr>
          <w:p>
            <w:pPr>
              <w:pStyle w:val="13"/>
            </w:pPr>
            <w:r>
              <w:t>A05010699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0.04</w:t>
            </w:r>
          </w:p>
        </w:tc>
        <w:tc>
          <w:tcPr>
            <w:tcW w:w="964" w:type="dxa"/>
            <w:vAlign w:val="center"/>
          </w:tcPr>
          <w:p>
            <w:pPr>
              <w:pStyle w:val="12"/>
            </w:pPr>
            <w:r>
              <w:t>0.04</w:t>
            </w:r>
          </w:p>
        </w:tc>
        <w:tc>
          <w:tcPr>
            <w:tcW w:w="964" w:type="dxa"/>
            <w:vAlign w:val="center"/>
          </w:tcPr>
          <w:p>
            <w:pPr>
              <w:pStyle w:val="12"/>
            </w:pPr>
            <w:r>
              <w:t>0.04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28.00</w:t>
            </w:r>
          </w:p>
        </w:tc>
        <w:tc>
          <w:tcPr>
            <w:tcW w:w="964" w:type="dxa"/>
            <w:vAlign w:val="center"/>
          </w:tcPr>
          <w:p>
            <w:pPr>
              <w:pStyle w:val="12"/>
            </w:pPr>
            <w:r>
              <w:t>28.00</w:t>
            </w: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市容管理服务</w:t>
            </w:r>
          </w:p>
        </w:tc>
        <w:tc>
          <w:tcPr>
            <w:tcW w:w="1134" w:type="dxa"/>
            <w:vAlign w:val="center"/>
          </w:tcPr>
          <w:p>
            <w:pPr>
              <w:pStyle w:val="13"/>
            </w:pPr>
            <w:r>
              <w:t>C13040000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38.23</w:t>
            </w:r>
          </w:p>
        </w:tc>
        <w:tc>
          <w:tcPr>
            <w:tcW w:w="964" w:type="dxa"/>
            <w:vAlign w:val="center"/>
          </w:tcPr>
          <w:p>
            <w:pPr>
              <w:pStyle w:val="12"/>
            </w:pPr>
            <w:r>
              <w:t>38.23</w:t>
            </w:r>
          </w:p>
        </w:tc>
        <w:tc>
          <w:tcPr>
            <w:tcW w:w="964" w:type="dxa"/>
            <w:vAlign w:val="center"/>
          </w:tcPr>
          <w:p>
            <w:pPr>
              <w:pStyle w:val="12"/>
            </w:pPr>
            <w:r>
              <w:t>38.23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其他咨询服务</w:t>
            </w:r>
          </w:p>
        </w:tc>
        <w:tc>
          <w:tcPr>
            <w:tcW w:w="1134" w:type="dxa"/>
            <w:vAlign w:val="center"/>
          </w:tcPr>
          <w:p>
            <w:pPr>
              <w:pStyle w:val="13"/>
            </w:pPr>
            <w:r>
              <w:t>C20039900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开发区经费（含重点项目工作经费500万元）</w:t>
            </w:r>
          </w:p>
        </w:tc>
        <w:tc>
          <w:tcPr>
            <w:tcW w:w="964" w:type="dxa"/>
            <w:vAlign w:val="center"/>
          </w:tcPr>
          <w:p>
            <w:pPr>
              <w:pStyle w:val="12"/>
            </w:pPr>
            <w:r>
              <w:t>1000.00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劳务派遣人员支出</w:t>
            </w:r>
          </w:p>
        </w:tc>
        <w:tc>
          <w:tcPr>
            <w:tcW w:w="964" w:type="dxa"/>
            <w:vAlign w:val="center"/>
          </w:tcPr>
          <w:p>
            <w:pPr>
              <w:pStyle w:val="12"/>
            </w:pPr>
            <w:r>
              <w:t>583.61</w:t>
            </w:r>
          </w:p>
        </w:tc>
        <w:tc>
          <w:tcPr>
            <w:tcW w:w="1134" w:type="dxa"/>
            <w:vAlign w:val="center"/>
          </w:tcPr>
          <w:p>
            <w:pPr>
              <w:pStyle w:val="13"/>
            </w:pPr>
            <w:r>
              <w:t>园林绿化管理服务</w:t>
            </w:r>
          </w:p>
        </w:tc>
        <w:tc>
          <w:tcPr>
            <w:tcW w:w="1134" w:type="dxa"/>
            <w:vAlign w:val="center"/>
          </w:tcPr>
          <w:p>
            <w:pPr>
              <w:pStyle w:val="13"/>
            </w:pPr>
            <w:r>
              <w:t>C13030000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15.12</w:t>
            </w:r>
          </w:p>
        </w:tc>
        <w:tc>
          <w:tcPr>
            <w:tcW w:w="964" w:type="dxa"/>
            <w:vAlign w:val="center"/>
          </w:tcPr>
          <w:p>
            <w:pPr>
              <w:pStyle w:val="12"/>
            </w:pPr>
            <w:r>
              <w:t>15.12</w:t>
            </w:r>
          </w:p>
        </w:tc>
        <w:tc>
          <w:tcPr>
            <w:tcW w:w="964" w:type="dxa"/>
            <w:vAlign w:val="center"/>
          </w:tcPr>
          <w:p>
            <w:pPr>
              <w:pStyle w:val="12"/>
            </w:pPr>
            <w:r>
              <w:t>15.12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劳务派遣人员支出</w:t>
            </w:r>
          </w:p>
        </w:tc>
        <w:tc>
          <w:tcPr>
            <w:tcW w:w="964" w:type="dxa"/>
            <w:vAlign w:val="center"/>
          </w:tcPr>
          <w:p>
            <w:pPr>
              <w:pStyle w:val="12"/>
            </w:pPr>
            <w:r>
              <w:t>583.61</w:t>
            </w:r>
          </w:p>
        </w:tc>
        <w:tc>
          <w:tcPr>
            <w:tcW w:w="1134" w:type="dxa"/>
            <w:vAlign w:val="center"/>
          </w:tcPr>
          <w:p>
            <w:pPr>
              <w:pStyle w:val="13"/>
            </w:pPr>
            <w:r>
              <w:t>市容管理服务</w:t>
            </w:r>
          </w:p>
        </w:tc>
        <w:tc>
          <w:tcPr>
            <w:tcW w:w="1134" w:type="dxa"/>
            <w:vAlign w:val="center"/>
          </w:tcPr>
          <w:p>
            <w:pPr>
              <w:pStyle w:val="13"/>
            </w:pPr>
            <w:r>
              <w:t>C13040000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549.50</w:t>
            </w:r>
          </w:p>
        </w:tc>
        <w:tc>
          <w:tcPr>
            <w:tcW w:w="964" w:type="dxa"/>
            <w:vAlign w:val="center"/>
          </w:tcPr>
          <w:p>
            <w:pPr>
              <w:pStyle w:val="12"/>
            </w:pPr>
            <w:r>
              <w:t>549.50</w:t>
            </w:r>
          </w:p>
        </w:tc>
        <w:tc>
          <w:tcPr>
            <w:tcW w:w="964" w:type="dxa"/>
            <w:vAlign w:val="center"/>
          </w:tcPr>
          <w:p>
            <w:pPr>
              <w:pStyle w:val="12"/>
            </w:pPr>
            <w:r>
              <w:t>549.50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549.50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河北昌黎经济开发区管理委员会（含所属单位）上年末固定资产金额为400.75万元（详见下表）。本年度拟购置固定资产总额为0.00万元，已按要求列入政府采购预算，详见政府采购预算表。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400.75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11</w:t>
            </w:r>
          </w:p>
        </w:tc>
        <w:tc>
          <w:tcPr>
            <w:tcW w:w="2835" w:type="dxa"/>
            <w:vAlign w:val="center"/>
          </w:tcPr>
          <w:p>
            <w:pPr>
              <w:pStyle w:val="12"/>
            </w:pPr>
            <w:r>
              <w:t>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89.68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425</w:t>
            </w:r>
          </w:p>
        </w:tc>
        <w:tc>
          <w:tcPr>
            <w:tcW w:w="2835" w:type="dxa"/>
            <w:vAlign w:val="center"/>
          </w:tcPr>
          <w:p>
            <w:pPr>
              <w:pStyle w:val="12"/>
            </w:pPr>
            <w:r>
              <w:t>302.94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745ED"/>
    <w:rsid w:val="36E35E43"/>
    <w:rsid w:val="41A929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5</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2025-01-19T11:49:00Z</dcterms:created>
  <dc:creator>Administrator</dc:creator>
  <cp:lastModifiedBy>Administrator</cp:lastModifiedBy>
  <dcterms:modified xsi:type="dcterms:W3CDTF">2025-01-24T06:50:38Z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