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一、昌黎县黄金海岸旅游发展中心本级收支预算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一、昌黎县黄金海岸旅游发展中心本级收支预算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3582.55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3582.55</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2970.00</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3582.55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6552.55</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2970.00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6552.55</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6552.55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6552.55</w:t>
            </w:r>
          </w:p>
        </w:tc>
        <w:tc>
          <w:tcPr>
            <w:tcW w:w="1134" w:type="dxa"/>
            <w:tcBorders>
              <w:top w:val="single" w:sz="6" w:space="0" w:color="auto"/>
              <w:left w:val="single" w:sz="6" w:space="0" w:color="auto"/>
              <w:right w:val="single" w:sz="6" w:space="0" w:color="auto"/>
            </w:tcBorders>
            <w:vAlign w:val="center"/>
          </w:tcPr>
          <w:p>
            <w:pPr>
              <w:pStyle w:val="23"/>
            </w:pPr>
            <w:r>
              <w:t>3582.55</w:t>
            </w:r>
          </w:p>
        </w:tc>
        <w:tc>
          <w:tcPr>
            <w:tcW w:w="1134" w:type="dxa"/>
            <w:tcBorders>
              <w:top w:val="single" w:sz="6" w:space="0" w:color="auto"/>
              <w:left w:val="single" w:sz="6" w:space="0" w:color="auto"/>
              <w:right w:val="single" w:sz="6" w:space="0" w:color="auto"/>
            </w:tcBorders>
            <w:vAlign w:val="center"/>
          </w:tcPr>
          <w:p>
            <w:pPr>
              <w:pStyle w:val="23"/>
            </w:pPr>
            <w:r>
              <w:t>3582.55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2970.00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1559" w:type="dxa"/>
            <w:tcBorders>
              <w:top w:val="single" w:sz="6" w:space="0" w:color="auto"/>
              <w:left w:val="single" w:sz="6" w:space="0" w:color="auto"/>
              <w:right w:val="single" w:sz="6" w:space="0" w:color="auto"/>
            </w:tcBorders>
            <w:vAlign w:val="center"/>
          </w:tcPr>
          <w:p>
            <w:pPr>
              <w:pStyle w:val="20"/>
            </w:pPr>
            <w:r>
              <w:t>其他文化和旅游支出</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r>
              <w:t>3582.55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2970.00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2970.00</w:t>
            </w: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1559"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134" w:type="dxa"/>
            <w:tcBorders>
              <w:top w:val="single" w:sz="6" w:space="0" w:color="auto"/>
              <w:left w:val="single" w:sz="6" w:space="0" w:color="auto"/>
              <w:right w:val="single" w:sz="6" w:space="0" w:color="auto"/>
            </w:tcBorders>
            <w:vAlign w:val="center"/>
          </w:tcPr>
          <w:p>
            <w:pPr>
              <w:pStyle w:val="19"/>
            </w:pPr>
            <w:r>
              <w:t>2970.00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2970.00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1559"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134" w:type="dxa"/>
            <w:tcBorders>
              <w:top w:val="single" w:sz="6" w:space="0" w:color="auto"/>
              <w:left w:val="single" w:sz="6" w:space="0" w:color="auto"/>
              <w:right w:val="single" w:sz="6" w:space="0" w:color="auto"/>
            </w:tcBorders>
            <w:vAlign w:val="center"/>
          </w:tcPr>
          <w:p>
            <w:pPr>
              <w:pStyle w:val="19"/>
            </w:pPr>
            <w:r>
              <w:t>2970.00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2970.00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6552.55</w:t>
            </w:r>
          </w:p>
        </w:tc>
        <w:tc>
          <w:tcPr>
            <w:tcW w:w="1361" w:type="dxa"/>
            <w:tcBorders>
              <w:top w:val="single" w:sz="6" w:space="0" w:color="auto"/>
              <w:left w:val="single" w:sz="6" w:space="0" w:color="auto"/>
              <w:right w:val="single" w:sz="6" w:space="0" w:color="auto"/>
            </w:tcBorders>
            <w:vAlign w:val="center"/>
          </w:tcPr>
          <w:p>
            <w:pPr>
              <w:pStyle w:val="23"/>
            </w:pPr>
            <w:r>
              <w:t>3582.55</w:t>
            </w:r>
          </w:p>
        </w:tc>
        <w:tc>
          <w:tcPr>
            <w:tcW w:w="1361" w:type="dxa"/>
            <w:tcBorders>
              <w:top w:val="single" w:sz="6" w:space="0" w:color="auto"/>
              <w:left w:val="single" w:sz="6" w:space="0" w:color="auto"/>
              <w:right w:val="single" w:sz="6" w:space="0" w:color="auto"/>
            </w:tcBorders>
            <w:vAlign w:val="center"/>
          </w:tcPr>
          <w:p>
            <w:pPr>
              <w:pStyle w:val="23"/>
            </w:pPr>
            <w:r>
              <w:t>2970.00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r>
              <w:t>3582.55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2970.00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3582.55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3582.55</w:t>
            </w:r>
          </w:p>
        </w:tc>
        <w:tc>
          <w:tcPr>
            <w:tcW w:w="1474" w:type="dxa"/>
            <w:tcBorders>
              <w:top w:val="single" w:sz="6" w:space="0" w:color="auto"/>
              <w:left w:val="single" w:sz="6" w:space="0" w:color="auto"/>
              <w:right w:val="single" w:sz="6" w:space="0" w:color="auto"/>
            </w:tcBorders>
            <w:vAlign w:val="center"/>
          </w:tcPr>
          <w:p>
            <w:pPr>
              <w:pStyle w:val="19"/>
            </w:pPr>
            <w:r>
              <w:t>3582.55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2970.00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2970.00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3582.55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6552.55</w:t>
            </w:r>
          </w:p>
        </w:tc>
        <w:tc>
          <w:tcPr>
            <w:tcW w:w="1474" w:type="dxa"/>
            <w:tcBorders>
              <w:top w:val="single" w:sz="6" w:space="0" w:color="auto"/>
              <w:left w:val="single" w:sz="6" w:space="0" w:color="auto"/>
              <w:right w:val="single" w:sz="6" w:space="0" w:color="auto"/>
            </w:tcBorders>
            <w:vAlign w:val="center"/>
          </w:tcPr>
          <w:p>
            <w:pPr>
              <w:pStyle w:val="23"/>
            </w:pPr>
            <w:r>
              <w:t>3582.55</w:t>
            </w:r>
          </w:p>
        </w:tc>
        <w:tc>
          <w:tcPr>
            <w:tcW w:w="1474" w:type="dxa"/>
            <w:tcBorders>
              <w:top w:val="single" w:sz="6" w:space="0" w:color="auto"/>
              <w:left w:val="single" w:sz="6" w:space="0" w:color="auto"/>
              <w:right w:val="single" w:sz="6" w:space="0" w:color="auto"/>
            </w:tcBorders>
            <w:vAlign w:val="center"/>
          </w:tcPr>
          <w:p>
            <w:pPr>
              <w:pStyle w:val="23"/>
            </w:pPr>
            <w:r>
              <w:t>2970.00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2970.00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2970.00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6552.55</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6552.55</w:t>
            </w:r>
          </w:p>
        </w:tc>
        <w:tc>
          <w:tcPr>
            <w:tcW w:w="1474" w:type="dxa"/>
            <w:tcBorders>
              <w:top w:val="single" w:sz="6" w:space="0" w:color="auto"/>
              <w:left w:val="single" w:sz="6" w:space="0" w:color="auto"/>
              <w:right w:val="single" w:sz="6" w:space="0" w:color="auto"/>
            </w:tcBorders>
            <w:vAlign w:val="center"/>
          </w:tcPr>
          <w:p>
            <w:pPr>
              <w:pStyle w:val="23"/>
            </w:pPr>
            <w:r>
              <w:t>3582.55</w:t>
            </w:r>
          </w:p>
        </w:tc>
        <w:tc>
          <w:tcPr>
            <w:tcW w:w="1474" w:type="dxa"/>
            <w:tcBorders>
              <w:top w:val="single" w:sz="6" w:space="0" w:color="auto"/>
              <w:left w:val="single" w:sz="6" w:space="0" w:color="auto"/>
              <w:right w:val="single" w:sz="6" w:space="0" w:color="auto"/>
            </w:tcBorders>
            <w:vAlign w:val="center"/>
          </w:tcPr>
          <w:p>
            <w:pPr>
              <w:pStyle w:val="23"/>
            </w:pPr>
            <w:r>
              <w:t>2970.00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3582.55</w:t>
            </w:r>
          </w:p>
        </w:tc>
        <w:tc>
          <w:tcPr>
            <w:tcW w:w="2551" w:type="dxa"/>
            <w:tcBorders>
              <w:top w:val="single" w:sz="6" w:space="0" w:color="auto"/>
              <w:left w:val="single" w:sz="6" w:space="0" w:color="auto"/>
              <w:right w:val="single" w:sz="6" w:space="0" w:color="auto"/>
            </w:tcBorders>
            <w:vAlign w:val="center"/>
          </w:tcPr>
          <w:p>
            <w:pPr>
              <w:pStyle w:val="23"/>
            </w:pPr>
            <w:r>
              <w:t>3582.55</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tcBorders>
              <w:top w:val="single" w:sz="6" w:space="0" w:color="auto"/>
              <w:left w:val="single" w:sz="6" w:space="0" w:color="auto"/>
              <w:right w:val="single" w:sz="6" w:space="0" w:color="auto"/>
            </w:tcBorders>
            <w:vAlign w:val="center"/>
          </w:tcPr>
          <w:p>
            <w:pPr>
              <w:pStyle w:val="19"/>
            </w:pPr>
            <w:r>
              <w:t>3582.55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3582.55</w:t>
            </w:r>
          </w:p>
        </w:tc>
        <w:tc>
          <w:tcPr>
            <w:tcW w:w="2551" w:type="dxa"/>
            <w:tcBorders>
              <w:top w:val="single" w:sz="6" w:space="0" w:color="auto"/>
              <w:left w:val="single" w:sz="6" w:space="0" w:color="auto"/>
              <w:right w:val="single" w:sz="6" w:space="0" w:color="auto"/>
            </w:tcBorders>
            <w:vAlign w:val="center"/>
          </w:tcPr>
          <w:p>
            <w:pPr>
              <w:pStyle w:val="23"/>
            </w:pPr>
            <w:r>
              <w:t>3556.27</w:t>
            </w:r>
          </w:p>
        </w:tc>
        <w:tc>
          <w:tcPr>
            <w:tcW w:w="2551" w:type="dxa"/>
            <w:vAlign w:val="center"/>
          </w:tcPr>
          <w:p>
            <w:pPr>
              <w:pStyle w:val="23"/>
            </w:pPr>
            <w:r>
              <w:t>26.27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3415.66</w:t>
            </w:r>
          </w:p>
        </w:tc>
        <w:tc>
          <w:tcPr>
            <w:tcW w:w="2551" w:type="dxa"/>
            <w:tcBorders>
              <w:top w:val="single" w:sz="6" w:space="0" w:color="auto"/>
              <w:left w:val="single" w:sz="6" w:space="0" w:color="auto"/>
              <w:right w:val="single" w:sz="6" w:space="0" w:color="auto"/>
            </w:tcBorders>
            <w:vAlign w:val="center"/>
          </w:tcPr>
          <w:p>
            <w:pPr>
              <w:pStyle w:val="19"/>
            </w:pPr>
            <w:r>
              <w:t>3415.66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231.06</w:t>
            </w:r>
          </w:p>
        </w:tc>
        <w:tc>
          <w:tcPr>
            <w:tcW w:w="2551" w:type="dxa"/>
            <w:tcBorders>
              <w:top w:val="single" w:sz="6" w:space="0" w:color="auto"/>
              <w:left w:val="single" w:sz="6" w:space="0" w:color="auto"/>
              <w:right w:val="single" w:sz="6" w:space="0" w:color="auto"/>
            </w:tcBorders>
            <w:vAlign w:val="center"/>
          </w:tcPr>
          <w:p>
            <w:pPr>
              <w:pStyle w:val="19"/>
            </w:pPr>
            <w:r>
              <w:t>231.06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23.44</w:t>
            </w:r>
          </w:p>
        </w:tc>
        <w:tc>
          <w:tcPr>
            <w:tcW w:w="2551" w:type="dxa"/>
            <w:tcBorders>
              <w:top w:val="single" w:sz="6" w:space="0" w:color="auto"/>
              <w:left w:val="single" w:sz="6" w:space="0" w:color="auto"/>
              <w:right w:val="single" w:sz="6" w:space="0" w:color="auto"/>
            </w:tcBorders>
            <w:vAlign w:val="center"/>
          </w:tcPr>
          <w:p>
            <w:pPr>
              <w:pStyle w:val="19"/>
            </w:pPr>
            <w:r>
              <w:t>23.44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125.17</w:t>
            </w:r>
          </w:p>
        </w:tc>
        <w:tc>
          <w:tcPr>
            <w:tcW w:w="2551" w:type="dxa"/>
            <w:tcBorders>
              <w:top w:val="single" w:sz="6" w:space="0" w:color="auto"/>
              <w:left w:val="single" w:sz="6" w:space="0" w:color="auto"/>
              <w:right w:val="single" w:sz="6" w:space="0" w:color="auto"/>
            </w:tcBorders>
            <w:vAlign w:val="center"/>
          </w:tcPr>
          <w:p>
            <w:pPr>
              <w:pStyle w:val="19"/>
            </w:pPr>
            <w:r>
              <w:t>125.17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62.23</w:t>
            </w:r>
          </w:p>
        </w:tc>
        <w:tc>
          <w:tcPr>
            <w:tcW w:w="2551" w:type="dxa"/>
            <w:tcBorders>
              <w:top w:val="single" w:sz="6" w:space="0" w:color="auto"/>
              <w:left w:val="single" w:sz="6" w:space="0" w:color="auto"/>
              <w:right w:val="single" w:sz="6" w:space="0" w:color="auto"/>
            </w:tcBorders>
            <w:vAlign w:val="center"/>
          </w:tcPr>
          <w:p>
            <w:pPr>
              <w:pStyle w:val="19"/>
            </w:pPr>
            <w:r>
              <w:t>62.23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26.35</w:t>
            </w:r>
          </w:p>
        </w:tc>
        <w:tc>
          <w:tcPr>
            <w:tcW w:w="2551" w:type="dxa"/>
            <w:tcBorders>
              <w:top w:val="single" w:sz="6" w:space="0" w:color="auto"/>
              <w:left w:val="single" w:sz="6" w:space="0" w:color="auto"/>
              <w:right w:val="single" w:sz="6" w:space="0" w:color="auto"/>
            </w:tcBorders>
            <w:vAlign w:val="center"/>
          </w:tcPr>
          <w:p>
            <w:pPr>
              <w:pStyle w:val="19"/>
            </w:pPr>
            <w:r>
              <w:t>26.35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36.12</w:t>
            </w:r>
          </w:p>
        </w:tc>
        <w:tc>
          <w:tcPr>
            <w:tcW w:w="2551" w:type="dxa"/>
            <w:tcBorders>
              <w:top w:val="single" w:sz="6" w:space="0" w:color="auto"/>
              <w:left w:val="single" w:sz="6" w:space="0" w:color="auto"/>
              <w:right w:val="single" w:sz="6" w:space="0" w:color="auto"/>
            </w:tcBorders>
            <w:vAlign w:val="center"/>
          </w:tcPr>
          <w:p>
            <w:pPr>
              <w:pStyle w:val="19"/>
            </w:pPr>
            <w:r>
              <w:t>36.12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4.13</w:t>
            </w:r>
          </w:p>
        </w:tc>
        <w:tc>
          <w:tcPr>
            <w:tcW w:w="2551" w:type="dxa"/>
            <w:tcBorders>
              <w:top w:val="single" w:sz="6" w:space="0" w:color="auto"/>
              <w:left w:val="single" w:sz="6" w:space="0" w:color="auto"/>
              <w:right w:val="single" w:sz="6" w:space="0" w:color="auto"/>
            </w:tcBorders>
            <w:vAlign w:val="center"/>
          </w:tcPr>
          <w:p>
            <w:pPr>
              <w:pStyle w:val="19"/>
            </w:pPr>
            <w:r>
              <w:t>4.13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31.12</w:t>
            </w:r>
          </w:p>
        </w:tc>
        <w:tc>
          <w:tcPr>
            <w:tcW w:w="2551" w:type="dxa"/>
            <w:tcBorders>
              <w:top w:val="single" w:sz="6" w:space="0" w:color="auto"/>
              <w:left w:val="single" w:sz="6" w:space="0" w:color="auto"/>
              <w:right w:val="single" w:sz="6" w:space="0" w:color="auto"/>
            </w:tcBorders>
            <w:vAlign w:val="center"/>
          </w:tcPr>
          <w:p>
            <w:pPr>
              <w:pStyle w:val="19"/>
            </w:pPr>
            <w:r>
              <w:t>31.12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2876.03</w:t>
            </w:r>
          </w:p>
        </w:tc>
        <w:tc>
          <w:tcPr>
            <w:tcW w:w="2551" w:type="dxa"/>
            <w:tcBorders>
              <w:top w:val="single" w:sz="6" w:space="0" w:color="auto"/>
              <w:left w:val="single" w:sz="6" w:space="0" w:color="auto"/>
              <w:right w:val="single" w:sz="6" w:space="0" w:color="auto"/>
            </w:tcBorders>
            <w:vAlign w:val="center"/>
          </w:tcPr>
          <w:p>
            <w:pPr>
              <w:pStyle w:val="19"/>
            </w:pPr>
            <w:r>
              <w:t>2876.03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26.27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26.27</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8.54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8.54</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0.10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30215</w:t>
            </w:r>
          </w:p>
        </w:tc>
        <w:tc>
          <w:tcPr>
            <w:tcW w:w="4535" w:type="dxa"/>
            <w:tcBorders>
              <w:top w:val="single" w:sz="6" w:space="0" w:color="auto"/>
              <w:left w:val="single" w:sz="6" w:space="0" w:color="auto"/>
              <w:right w:val="single" w:sz="6" w:space="0" w:color="auto"/>
            </w:tcBorders>
            <w:vAlign w:val="center"/>
          </w:tcPr>
          <w:p>
            <w:pPr>
              <w:pStyle w:val="20"/>
            </w:pPr>
            <w:r>
              <w:t>会议费</w:t>
            </w:r>
          </w:p>
        </w:tc>
        <w:tc>
          <w:tcPr>
            <w:tcW w:w="2551" w:type="dxa"/>
            <w:tcBorders>
              <w:top w:val="single" w:sz="6" w:space="0" w:color="auto"/>
              <w:left w:val="single" w:sz="6" w:space="0" w:color="auto"/>
              <w:right w:val="single" w:sz="6" w:space="0" w:color="auto"/>
            </w:tcBorders>
            <w:vAlign w:val="center"/>
          </w:tcPr>
          <w:p>
            <w:pPr>
              <w:pStyle w:val="19"/>
            </w:pPr>
            <w:r>
              <w:t>0.10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30216</w:t>
            </w:r>
          </w:p>
        </w:tc>
        <w:tc>
          <w:tcPr>
            <w:tcW w:w="4535" w:type="dxa"/>
            <w:tcBorders>
              <w:top w:val="single" w:sz="6" w:space="0" w:color="auto"/>
              <w:left w:val="single" w:sz="6" w:space="0" w:color="auto"/>
              <w:right w:val="single" w:sz="6" w:space="0" w:color="auto"/>
            </w:tcBorders>
            <w:vAlign w:val="center"/>
          </w:tcPr>
          <w:p>
            <w:pPr>
              <w:pStyle w:val="20"/>
            </w:pPr>
            <w:r>
              <w:t>培训费</w:t>
            </w:r>
          </w:p>
        </w:tc>
        <w:tc>
          <w:tcPr>
            <w:tcW w:w="2551" w:type="dxa"/>
            <w:tcBorders>
              <w:top w:val="single" w:sz="6" w:space="0" w:color="auto"/>
              <w:left w:val="single" w:sz="6" w:space="0" w:color="auto"/>
              <w:right w:val="single" w:sz="6" w:space="0" w:color="auto"/>
            </w:tcBorders>
            <w:vAlign w:val="center"/>
          </w:tcPr>
          <w:p>
            <w:pPr>
              <w:pStyle w:val="19"/>
            </w:pPr>
            <w:r>
              <w:t>0.12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0.12</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30217</w:t>
            </w:r>
          </w:p>
        </w:tc>
        <w:tc>
          <w:tcPr>
            <w:tcW w:w="4535" w:type="dxa"/>
            <w:tcBorders>
              <w:top w:val="single" w:sz="6" w:space="0" w:color="auto"/>
              <w:left w:val="single" w:sz="6" w:space="0" w:color="auto"/>
              <w:right w:val="single" w:sz="6" w:space="0" w:color="auto"/>
            </w:tcBorders>
            <w:vAlign w:val="center"/>
          </w:tcPr>
          <w:p>
            <w:pPr>
              <w:pStyle w:val="20"/>
            </w:pPr>
            <w:r>
              <w:t>公务接待费</w:t>
            </w:r>
          </w:p>
        </w:tc>
        <w:tc>
          <w:tcPr>
            <w:tcW w:w="2551" w:type="dxa"/>
            <w:tcBorders>
              <w:top w:val="single" w:sz="6" w:space="0" w:color="auto"/>
              <w:left w:val="single" w:sz="6" w:space="0" w:color="auto"/>
              <w:right w:val="single" w:sz="6" w:space="0" w:color="auto"/>
            </w:tcBorders>
            <w:vAlign w:val="center"/>
          </w:tcPr>
          <w:p>
            <w:pPr>
              <w:pStyle w:val="19"/>
            </w:pPr>
            <w:r>
              <w:t>0.34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0.34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4.59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4.59</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1.48</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140.62</w:t>
            </w:r>
          </w:p>
        </w:tc>
        <w:tc>
          <w:tcPr>
            <w:tcW w:w="2551" w:type="dxa"/>
            <w:tcBorders>
              <w:top w:val="single" w:sz="6" w:space="0" w:color="auto"/>
              <w:left w:val="single" w:sz="6" w:space="0" w:color="auto"/>
              <w:right w:val="single" w:sz="6" w:space="0" w:color="auto"/>
            </w:tcBorders>
            <w:vAlign w:val="center"/>
          </w:tcPr>
          <w:p>
            <w:pPr>
              <w:pStyle w:val="19"/>
            </w:pPr>
            <w:r>
              <w:t>140.62</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136.87</w:t>
            </w:r>
          </w:p>
        </w:tc>
        <w:tc>
          <w:tcPr>
            <w:tcW w:w="2551" w:type="dxa"/>
            <w:tcBorders>
              <w:top w:val="single" w:sz="6" w:space="0" w:color="auto"/>
              <w:left w:val="single" w:sz="6" w:space="0" w:color="auto"/>
              <w:right w:val="single" w:sz="6" w:space="0" w:color="auto"/>
            </w:tcBorders>
            <w:vAlign w:val="center"/>
          </w:tcPr>
          <w:p>
            <w:pPr>
              <w:pStyle w:val="19"/>
            </w:pPr>
            <w:r>
              <w:t>136.87</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3.75</w:t>
            </w:r>
          </w:p>
        </w:tc>
        <w:tc>
          <w:tcPr>
            <w:tcW w:w="2551" w:type="dxa"/>
            <w:tcBorders>
              <w:top w:val="single" w:sz="6" w:space="0" w:color="auto"/>
              <w:left w:val="single" w:sz="6" w:space="0" w:color="auto"/>
              <w:right w:val="single" w:sz="6" w:space="0" w:color="auto"/>
            </w:tcBorders>
            <w:vAlign w:val="center"/>
          </w:tcPr>
          <w:p>
            <w:pPr>
              <w:pStyle w:val="19"/>
            </w:pPr>
            <w:r>
              <w:t>3.75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2970.00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2970.00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2970.00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2970.00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2551" w:type="dxa"/>
            <w:tcBorders>
              <w:top w:val="single" w:sz="6" w:space="0" w:color="auto"/>
              <w:left w:val="single" w:sz="6" w:space="0" w:color="auto"/>
              <w:right w:val="single" w:sz="6" w:space="0" w:color="auto"/>
            </w:tcBorders>
            <w:vAlign w:val="center"/>
          </w:tcPr>
          <w:p>
            <w:pPr>
              <w:pStyle w:val="19"/>
            </w:pPr>
            <w:r>
              <w:t>2970.00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2970.00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2551" w:type="dxa"/>
            <w:tcBorders>
              <w:top w:val="single" w:sz="6" w:space="0" w:color="auto"/>
              <w:left w:val="single" w:sz="6" w:space="0" w:color="auto"/>
              <w:right w:val="single" w:sz="6" w:space="0" w:color="auto"/>
            </w:tcBorders>
            <w:vAlign w:val="center"/>
          </w:tcPr>
          <w:p>
            <w:pPr>
              <w:pStyle w:val="19"/>
            </w:pPr>
            <w:r>
              <w:t>2970.00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2970.00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0.34</w:t>
            </w:r>
          </w:p>
        </w:tc>
        <w:tc>
          <w:tcPr>
            <w:tcW w:w="2381" w:type="dxa"/>
            <w:tcBorders>
              <w:top w:val="single" w:sz="6" w:space="0" w:color="auto"/>
              <w:left w:val="single" w:sz="6" w:space="0" w:color="auto"/>
              <w:right w:val="single" w:sz="6" w:space="0" w:color="auto"/>
            </w:tcBorders>
            <w:vAlign w:val="center"/>
          </w:tcPr>
          <w:p>
            <w:pPr>
              <w:pStyle w:val="23"/>
            </w:pPr>
            <w:r>
              <w:t>0.34</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0.34</w:t>
            </w:r>
          </w:p>
        </w:tc>
        <w:tc>
          <w:tcPr>
            <w:tcW w:w="2381" w:type="dxa"/>
            <w:tcBorders>
              <w:top w:val="single" w:sz="6" w:space="0" w:color="auto"/>
              <w:left w:val="single" w:sz="6" w:space="0" w:color="auto"/>
              <w:right w:val="single" w:sz="6" w:space="0" w:color="auto"/>
            </w:tcBorders>
            <w:vAlign w:val="center"/>
          </w:tcPr>
          <w:p>
            <w:pPr>
              <w:pStyle w:val="19"/>
            </w:pPr>
            <w:r>
              <w:t>0.34</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0.34</w:t>
            </w:r>
          </w:p>
        </w:tc>
        <w:tc>
          <w:tcPr>
            <w:tcW w:w="2381" w:type="dxa"/>
            <w:tcBorders>
              <w:top w:val="single" w:sz="6" w:space="0" w:color="auto"/>
              <w:left w:val="single" w:sz="6" w:space="0" w:color="auto"/>
              <w:right w:val="single" w:sz="6" w:space="0" w:color="auto"/>
            </w:tcBorders>
            <w:vAlign w:val="center"/>
          </w:tcPr>
          <w:p>
            <w:pPr>
              <w:pStyle w:val="19"/>
            </w:pPr>
            <w:r>
              <w:t>0.34</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昌黎县黄金海岸旅游发展中心本级2025年单位预算信息公开情况说明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按照《中华人民共和国预算法》、《地方预决算公开操作规程》和《关于进一步推进预算公开工作的实施意见》规定，现将昌黎县黄金海岸旅游发展中心本级2025年单位预算公开如下：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以党的二十大精神和习近平新时代中国特色社会主义思想为统领，贯彻执行国家、县、市有关法律、法规和政策，研究拟定本中心的发展计划和工作目标，经批准后实施；督导本中心内各职能单位、服务部门制定各项规章制定并监督实施，统筹指导本中心内各项工作；对中心内企业级下属旅游景区进行监督和管理；负责中心内各项投资建设资金的筹集、管理和使用；负责制定招商引资安排，开展项目推介和招商工作；分析、调度经济运作情况；负责中心安全生产责任制落实和安全检查等工作；负责中心内的市政建设规划、基础设施的管理工作；协调与监督新建、改建和扩建基础设施项目的实施；负责本中心项目的规划管理；承办领导交办的其他工作；负责园区市容市貌、绿化美化、卫生保洁等管理工作；会同有关单位对中心的建筑市场、旅游商品市场进行管理；行使县政府和有关职能单位依法授予的其他职能，对本中心进行监督、管理；承办县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昌黎县黄金海岸旅游发展中心本级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6552.55万元，其中：一般公共预算收入3582.55万元，基金预算收入0.00万元，国有资本经营预算收入0.00万元，财政专户核拨收入0.00万元，单位资金收入0.00万元，上年结转结余2970.00万元。</w:t>
      </w:r>
    </w:p>
    <w:p>
      <w:pPr>
        <w:pStyle w:val="26"/>
      </w:pPr>
      <w:r>
        <w:t>2、支出说明</w:t>
      </w:r>
    </w:p>
    <w:p>
      <w:pPr>
        <w:pStyle w:val="26"/>
      </w:pPr>
      <w:r>
        <w:t>收支预算总表支出栏、基本支出表、项目支出表按经济分类和支出功能分类科目编制，反映昌黎县黄金海岸旅游发展中心本级年度单位预算中支出预算的总体情况。2025年支出预算6552.55万元，其中基本支出3582.55万元，包括人员经费3556.27万元和日常公用经费26.27万元；项目支出2970.00万元，主要为昌黎县黄金海岸园区基础设施建设项目结转。</w:t>
      </w:r>
    </w:p>
    <w:p>
      <w:pPr>
        <w:pStyle w:val="26"/>
      </w:pPr>
      <w:r>
        <w:t>3、比上年增减情况</w:t>
      </w:r>
    </w:p>
    <w:p>
      <w:pPr>
        <w:pStyle w:val="26"/>
      </w:pPr>
      <w:r>
        <w:t>2025年预算收支安排6552.55万元，较2024年预算增加3057.64万元，其中：基本支出增加167.64万元，主要为基本支出人员经费增加了环卫工人及绿化工人的工资。项目支出增加2890.00万元，主要为 昌黎县黄金海岸园区基础设施建设项目结转2970万元。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2025年，我单位机关运行经费共计安排26.27万元，主要用于日常维修、办公用房水电费、办公用房取暖费、办公用房物业管理费等日常运行支出。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0.34万元，其中因公出国（境）费0.00万元；公务用车购置及运维费0.00万元（其中：公务用车购置费为0.00万元，公务用车运维费0.00万元)；公务接待费0.34万元。与2024年相比减少0.15万元，增减变化的主要原因是本单位严格落实“三公”经费的政策要求，本着厉行节约的原则，合理安排各项预算收入支出，公务接待费减少0.15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1、昌黎县黄金海岸园区基础设施建设项目绩效目标表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13032224P00D81610016D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昌黎县黄金海岸园区基础设施建设项目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2970.00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2970.00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基础设施建设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w:t>
            </w:r>
          </w:p>
        </w:tc>
        <w:tc>
          <w:tcPr>
            <w:tcW w:w="2835" w:type="dxa"/>
            <w:tcBorders>
              <w:top w:val="single" w:sz="6" w:space="0" w:color="auto"/>
              <w:left w:val="single" w:sz="6" w:space="0" w:color="auto"/>
              <w:right w:val="single" w:sz="6" w:space="0" w:color="auto"/>
            </w:tcBorders>
            <w:vAlign w:val="center"/>
          </w:tcPr>
          <w:p>
            <w:pPr>
              <w:pStyle w:val="21"/>
            </w:pPr>
            <w:r>
              <w:t>40%</w:t>
            </w:r>
          </w:p>
        </w:tc>
        <w:tc>
          <w:tcPr>
            <w:tcW w:w="2551" w:type="dxa"/>
            <w:tcBorders>
              <w:top w:val="single" w:sz="6" w:space="0" w:color="auto"/>
              <w:left w:val="single" w:sz="6" w:space="0" w:color="auto"/>
              <w:right w:val="single" w:sz="6" w:space="0" w:color="auto"/>
            </w:tcBorders>
            <w:vAlign w:val="center"/>
          </w:tcPr>
          <w:p>
            <w:pPr>
              <w:pStyle w:val="21"/>
            </w:pPr>
            <w:r>
              <w:t>70%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1.按照提升改造黄金海岸园区基础设施，积极开拓投融资渠道。</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铺设雨水管道数量</w:t>
            </w:r>
          </w:p>
        </w:tc>
        <w:tc>
          <w:tcPr>
            <w:tcW w:w="5386" w:type="dxa"/>
            <w:tcBorders>
              <w:top w:val="single" w:sz="6" w:space="0" w:color="auto"/>
              <w:left w:val="single" w:sz="6" w:space="0" w:color="auto"/>
              <w:right w:val="single" w:sz="6" w:space="0" w:color="auto"/>
            </w:tcBorders>
            <w:vAlign w:val="center"/>
          </w:tcPr>
          <w:p>
            <w:pPr>
              <w:pStyle w:val="20"/>
            </w:pPr>
            <w:r>
              <w:t>园区内铺设雨水管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13629米</w:t>
            </w:r>
          </w:p>
        </w:tc>
        <w:tc>
          <w:tcPr>
            <w:tcW w:w="1276" w:type="dxa"/>
            <w:vAlign w:val="center"/>
          </w:tcPr>
          <w:p>
            <w:pPr>
              <w:pStyle w:val="20"/>
            </w:pPr>
            <w:r>
              <w:t>工作计划说历史依据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资金到位率</w:t>
            </w:r>
          </w:p>
        </w:tc>
        <w:tc>
          <w:tcPr>
            <w:tcW w:w="5386" w:type="dxa"/>
            <w:tcBorders>
              <w:top w:val="single" w:sz="6" w:space="0" w:color="auto"/>
              <w:left w:val="single" w:sz="6" w:space="0" w:color="auto"/>
              <w:right w:val="single" w:sz="6" w:space="0" w:color="auto"/>
            </w:tcBorders>
            <w:vAlign w:val="center"/>
          </w:tcPr>
          <w:p>
            <w:pPr>
              <w:pStyle w:val="20"/>
            </w:pPr>
            <w:r>
              <w:t>资金到位率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工作计划说历史依据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及时性</w:t>
            </w:r>
          </w:p>
        </w:tc>
        <w:tc>
          <w:tcPr>
            <w:tcW w:w="5386" w:type="dxa"/>
            <w:tcBorders>
              <w:top w:val="single" w:sz="6" w:space="0" w:color="auto"/>
              <w:left w:val="single" w:sz="6" w:space="0" w:color="auto"/>
              <w:right w:val="single" w:sz="6" w:space="0" w:color="auto"/>
            </w:tcBorders>
            <w:vAlign w:val="center"/>
          </w:tcPr>
          <w:p>
            <w:pPr>
              <w:pStyle w:val="20"/>
            </w:pPr>
            <w:r>
              <w:t>资金支付及时性</w:t>
            </w:r>
          </w:p>
          <w:p>
            <w:pPr>
              <w:pStyle w:val="20"/>
            </w:pP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工作计划说历史依据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经济效益提升%</w:t>
            </w:r>
          </w:p>
        </w:tc>
        <w:tc>
          <w:tcPr>
            <w:tcW w:w="5386" w:type="dxa"/>
            <w:tcBorders>
              <w:top w:val="single" w:sz="6" w:space="0" w:color="auto"/>
              <w:left w:val="single" w:sz="6" w:space="0" w:color="auto"/>
              <w:right w:val="single" w:sz="6" w:space="0" w:color="auto"/>
            </w:tcBorders>
            <w:vAlign w:val="center"/>
          </w:tcPr>
          <w:p>
            <w:pPr>
              <w:pStyle w:val="20"/>
            </w:pPr>
            <w:r>
              <w:t>经济效益提升%</w:t>
            </w:r>
          </w:p>
        </w:tc>
        <w:tc>
          <w:tcPr>
            <w:tcW w:w="2268" w:type="dxa"/>
            <w:tcBorders>
              <w:top w:val="single" w:sz="6" w:space="0" w:color="auto"/>
              <w:left w:val="single" w:sz="6" w:space="0" w:color="auto"/>
              <w:right w:val="single" w:sz="6" w:space="0" w:color="auto"/>
            </w:tcBorders>
            <w:vAlign w:val="center"/>
          </w:tcPr>
          <w:p>
            <w:pPr>
              <w:pStyle w:val="20"/>
            </w:pPr>
            <w:r>
              <w:t>≥4%</w:t>
            </w:r>
          </w:p>
        </w:tc>
        <w:tc>
          <w:tcPr>
            <w:tcW w:w="1276" w:type="dxa"/>
            <w:vAlign w:val="center"/>
          </w:tcPr>
          <w:p>
            <w:pPr>
              <w:pStyle w:val="20"/>
            </w:pPr>
            <w:r>
              <w:t>工作计划说历史依据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服务的改善与提升</w:t>
            </w:r>
          </w:p>
        </w:tc>
        <w:tc>
          <w:tcPr>
            <w:tcW w:w="5386" w:type="dxa"/>
            <w:tcBorders>
              <w:top w:val="single" w:sz="6" w:space="0" w:color="auto"/>
              <w:left w:val="single" w:sz="6" w:space="0" w:color="auto"/>
              <w:right w:val="single" w:sz="6" w:space="0" w:color="auto"/>
            </w:tcBorders>
            <w:vAlign w:val="center"/>
          </w:tcPr>
          <w:p>
            <w:pPr>
              <w:pStyle w:val="20"/>
            </w:pPr>
            <w:r>
              <w:t>服务的改善与提升率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w:t>
            </w:r>
          </w:p>
        </w:tc>
        <w:tc>
          <w:tcPr>
            <w:tcW w:w="1276" w:type="dxa"/>
            <w:vAlign w:val="center"/>
          </w:tcPr>
          <w:p>
            <w:pPr>
              <w:pStyle w:val="20"/>
            </w:pPr>
            <w:r>
              <w:t>工作计划说历史依据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项目对生态效益提升比</w:t>
            </w:r>
          </w:p>
        </w:tc>
        <w:tc>
          <w:tcPr>
            <w:tcW w:w="5386" w:type="dxa"/>
            <w:tcBorders>
              <w:top w:val="single" w:sz="6" w:space="0" w:color="auto"/>
              <w:left w:val="single" w:sz="6" w:space="0" w:color="auto"/>
              <w:right w:val="single" w:sz="6" w:space="0" w:color="auto"/>
            </w:tcBorders>
            <w:vAlign w:val="center"/>
          </w:tcPr>
          <w:p>
            <w:pPr>
              <w:pStyle w:val="20"/>
            </w:pPr>
            <w:r>
              <w:t>项目对生态效益提升比值</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工作计划说历史依据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历史依据</w:t>
              <w:tab/>
            </w:r>
          </w:p>
          <w:p>
            <w:pPr>
              <w:pStyle w:val="20"/>
            </w:pP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昌黎县黄金海岸旅游发展中心本级上年末固定资产金额为573.35万元（详见下表）。本年度拟购置固定资产总额为0.00万元，已按要求列入政府采购预算，详见政府采购预算表。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420001昌黎县黄金海岸旅游发展中心本级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573.35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379.38</w:t>
            </w:r>
          </w:p>
        </w:tc>
        <w:tc>
          <w:tcPr>
            <w:tcW w:w="2835" w:type="dxa"/>
            <w:vAlign w:val="center"/>
          </w:tcPr>
          <w:p>
            <w:pPr>
              <w:pStyle w:val="19"/>
            </w:pPr>
            <w:r>
              <w:t>217.07</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65.30</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160.91</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327</w:t>
            </w:r>
          </w:p>
        </w:tc>
        <w:tc>
          <w:tcPr>
            <w:tcW w:w="2835" w:type="dxa"/>
            <w:vAlign w:val="center"/>
          </w:tcPr>
          <w:p>
            <w:pPr>
              <w:pStyle w:val="19"/>
            </w:pPr>
            <w:r>
              <w:t>130.07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45D2B646-014D-490E-A9CA-E502416472F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0</Pages>
  <Words>0</Words>
  <Characters>6159</Characters>
  <Lines>0</Lines>
  <Paragraphs>82</Paragraphs>
  <CharactersWithSpaces>8212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2025-01-19T15:48:04Z</dcterms:created>
  <dcterms:modified xsi:type="dcterms:W3CDTF">2025-01-24T07:22:49Z</dcterms:modified>
</cp:coreProperties>
</file>