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zh-CN" w:eastAsia="zh-CN"/>
        </w:rPr>
      </w:pPr>
      <w:r>
        <w:pict>
          <v:shape id="_x0000_s1026" o:spid="_x0000_s1026" o:spt="136" type="#_x0000_t136" style="position:absolute;left:0pt;margin-left:13.1pt;margin-top:76pt;height:39.05pt;width:382.2pt;mso-position-vertical-relative:page;mso-wrap-distance-bottom:0pt;mso-wrap-distance-top:0pt;z-index:251658240;mso-width-relative:page;mso-height-relative:page;" fillcolor="#FF0000" filled="t" stroked="t" coordsize="21600,21600" adj="10800">
            <v:path/>
            <v:fill on="t" focussize="0,0"/>
            <v:stroke color="#FF0000"/>
            <v:imagedata o:title=""/>
            <o:lock v:ext="edit" aspectratio="f"/>
            <v:textpath on="t" fitshape="t" fitpath="t" trim="t" xscale="f" string="昌黎县退役军人事务局" style="font-family:方正小标宋简体;font-size:28pt;v-rotate-letters:f;v-same-letter-heights:f;v-text-align:center;"/>
            <w10:wrap type="topAndBottom"/>
          </v:shape>
        </w:pic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-119380</wp:posOffset>
                </wp:positionH>
                <wp:positionV relativeFrom="paragraph">
                  <wp:posOffset>629920</wp:posOffset>
                </wp:positionV>
                <wp:extent cx="5615940" cy="0"/>
                <wp:effectExtent l="0" t="15875" r="3810" b="222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23620" y="1544320"/>
                          <a:ext cx="5615940" cy="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4pt;margin-top:49.6pt;height:0pt;width:442.2pt;z-index:251660288;mso-width-relative:page;mso-height-relative:page;" filled="f" stroked="t" coordsize="21600,21600" o:gfxdata="UEsDBAoAAAAAAIdO4kAAAAAAAAAAAAAAAAAEAAAAZHJzL1BLAwQUAAAACACHTuJAa8BULNgAAAAJ&#10;AQAADwAAAGRycy9kb3ducmV2LnhtbE2PzWrDMBCE74W8g9hALyWRbahxXMshFAoFH0rTHHpcWxvb&#10;xFoZS/l9+qj00B53dpj5plhfzCBONLnesoJ4GYEgbqzuuVWw+3pbZCCcR9Y4WCYFV3KwLmcPBeba&#10;nvmTTlvfihDCLkcFnfdjLqVrOjLolnYkDr+9nQz6cE6t1BOeQ7gZZBJFqTTYc2jocKTXjprD9mgU&#10;POF3uslcnGj7UdW3d1PtbptKqcd5HL2A8HTxf2b4wQ/oUAam2h5ZOzEoWMRZQPcKVqsERDBk6XMK&#10;ov4VZFnI/wvKO1BLAwQUAAAACACHTuJA7bwMDucBAACjAwAADgAAAGRycy9lMm9Eb2MueG1srVNL&#10;jhMxEN0jcQfLe9KdL0MrnVlMCBsEkYADVPzptuSfbE86uQQXQGIHK5bs5zYMx5iyE2b4bBCiF9Vl&#10;+/m53nN5eXkwmuxFiMrZlo5HNSXCMseV7Vr67u3myQUlMYHloJ0VLT2KSC9Xjx8tB9+Iieud5iIQ&#10;JLGxGXxL+5R8U1WR9cJAHDkvLC5KFwwkHIau4gEGZDe6mtT1ohpc4D44JmLE2fVpka4Kv5SCpddS&#10;RpGIbinWlkoMJe5yrFZLaLoAvlfsXAb8QxUGlMVD76nWkIBcB/UHlVEsuOhkGjFnKielYqJoQDXj&#10;+jc1b3rwomhBc6K/tyn+P1r2ar8NRHG8O0osGLyi2w9fv73/9P3mI8bbL5/JOJs0+Ngg9spuw3kU&#10;/TZkxQcZTP6jFnJAmnoyXUzQ6iPm89lsinkxWRwSYQiYL8bzZzMEMESUteqBxIeYXghnSE5aqpXN&#10;+qGB/cuYkAahPyB5WlsytHQ6fjrPfID9IzUkTI1HRdF2ZXN0WvGN0jpviaHbXelA9oAdsdnU+OX6&#10;kPgXWD5lDbE/4crSSUYvgD+3nKSjR68sNjXNNRjBKdEC30DOiuAESv8NEo/WFivIFp9MzdnO8SPe&#10;zLUPquvRinILBYOdUOo9d21utZ/Hhenhba3u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vAVCzY&#10;AAAACQEAAA8AAAAAAAAAAQAgAAAAIgAAAGRycy9kb3ducmV2LnhtbFBLAQIUABQAAAAIAIdO4kDt&#10;vAwO5wEAAKMDAAAOAAAAAAAAAAEAIAAAACcBAABkcnMvZTJvRG9jLnhtbFBLBQYAAAAABgAGAFkB&#10;AACABQAAAAA=&#10;">
                <v:fill on="f" focussize="0,0"/>
                <v:stroke weight="2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昌黎县退役军人事务局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年度部门整体支出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及项目支出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一、部门概况</w:t>
      </w:r>
    </w:p>
    <w:p>
      <w:pPr>
        <w:widowControl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昌黎县退役军人事务局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政府工作部门，主要负责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我县退役安置、优待抚恤、</w:t>
      </w:r>
      <w:r>
        <w:rPr>
          <w:rFonts w:hint="eastAsia" w:ascii="仿宋" w:hAnsi="仿宋" w:eastAsia="仿宋" w:cs="仿宋"/>
          <w:sz w:val="32"/>
          <w:szCs w:val="32"/>
        </w:rPr>
        <w:t>帮扶援助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等工作。截至2021年底，单位内设机构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个，在职人员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人。局属预算单位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2021年本部门（含所属预算单位）整体年初预算安排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7693.96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万元，年中调整后预算数为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8011.58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8011.58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万元，年度实际支出率达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2021年部门（含所属预算单位）项目支出共计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个，年初预算安排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万元，年中调整后预算数为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7817.22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7817.22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万元，年度实际支出率达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二、绩效自评工作开展情况</w:t>
      </w:r>
    </w:p>
    <w:p>
      <w:pPr>
        <w:ind w:firstLine="640" w:firstLineChars="200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按照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昌黎县</w:t>
      </w:r>
      <w:r>
        <w:rPr>
          <w:rFonts w:hint="eastAsia" w:ascii="仿宋_GB2312" w:hAnsi="仿宋" w:eastAsia="仿宋_GB2312" w:cs="Times New Roman"/>
          <w:sz w:val="32"/>
          <w:szCs w:val="32"/>
        </w:rPr>
        <w:t>财政局关于开展2021年度预算绩效自评工作要求，我局认真组织本部门及所属预算单位，开展绩效自评工作。专门成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立由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我局各科室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人员组</w:t>
      </w:r>
      <w:r>
        <w:rPr>
          <w:rFonts w:hint="eastAsia" w:ascii="仿宋_GB2312" w:hAnsi="仿宋" w:eastAsia="仿宋_GB2312" w:cs="Times New Roman"/>
          <w:sz w:val="32"/>
          <w:szCs w:val="32"/>
        </w:rPr>
        <w:t>成的绩效自评工作组织机构，明确了绩效自评职责及人员分工，按照既定绩效目标、指标实施自我评价，圆满完成了2021年度预算绩效自评价任务，并按规定时限报送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县</w:t>
      </w:r>
      <w:r>
        <w:rPr>
          <w:rFonts w:hint="eastAsia" w:ascii="仿宋_GB2312" w:hAnsi="仿宋" w:eastAsia="仿宋_GB2312" w:cs="Times New Roman"/>
          <w:sz w:val="32"/>
          <w:szCs w:val="32"/>
        </w:rPr>
        <w:t>财政局。</w:t>
      </w:r>
    </w:p>
    <w:p>
      <w:pPr>
        <w:ind w:firstLine="640" w:firstLineChars="200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 xml:space="preserve">根据预算绩效管理要求，2021年本部门绩效自评项目共 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40</w:t>
      </w:r>
      <w:r>
        <w:rPr>
          <w:rFonts w:hint="eastAsia" w:ascii="仿宋_GB2312" w:hAnsi="仿宋" w:eastAsia="仿宋_GB2312" w:cs="Times New Roman"/>
          <w:sz w:val="32"/>
          <w:szCs w:val="32"/>
        </w:rPr>
        <w:t>个，其中评价等级为“优”项目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40</w:t>
      </w:r>
      <w:r>
        <w:rPr>
          <w:rFonts w:hint="eastAsia" w:ascii="仿宋_GB2312" w:hAnsi="仿宋" w:eastAsia="仿宋_GB2312" w:cs="Times New Roman"/>
          <w:sz w:val="32"/>
          <w:szCs w:val="32"/>
        </w:rPr>
        <w:t>个，“良”项目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个，“中”项目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个，“差”项目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个，评优率为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 w:cs="Times New Roman"/>
          <w:sz w:val="32"/>
          <w:szCs w:val="32"/>
        </w:rPr>
        <w:t>%。</w:t>
      </w:r>
    </w:p>
    <w:p>
      <w:pPr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本部门整体支出合计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8011.58</w:t>
      </w:r>
      <w:r>
        <w:rPr>
          <w:rFonts w:hint="eastAsia" w:ascii="仿宋_GB2312" w:hAnsi="仿宋" w:eastAsia="仿宋_GB2312" w:cs="Times New Roman"/>
          <w:sz w:val="32"/>
          <w:szCs w:val="32"/>
        </w:rPr>
        <w:t>万元，包括基本支出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194.36</w:t>
      </w:r>
      <w:r>
        <w:rPr>
          <w:rFonts w:hint="eastAsia" w:ascii="仿宋_GB2312" w:hAnsi="仿宋" w:eastAsia="仿宋_GB2312" w:cs="Times New Roman"/>
          <w:sz w:val="32"/>
          <w:szCs w:val="32"/>
        </w:rPr>
        <w:t>万元，项目支出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7817.22</w:t>
      </w:r>
      <w:r>
        <w:rPr>
          <w:rFonts w:hint="eastAsia" w:ascii="仿宋_GB2312" w:hAnsi="仿宋" w:eastAsia="仿宋_GB2312" w:cs="Times New Roman"/>
          <w:sz w:val="32"/>
          <w:szCs w:val="32"/>
        </w:rPr>
        <w:t>万元，其他支出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万元。部门整体支出绩效评价自评综合得分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91.6</w:t>
      </w:r>
      <w:r>
        <w:rPr>
          <w:rFonts w:hint="eastAsia" w:ascii="仿宋_GB2312" w:hAnsi="仿宋" w:eastAsia="仿宋_GB2312" w:cs="Times New Roman"/>
          <w:sz w:val="32"/>
          <w:szCs w:val="32"/>
        </w:rPr>
        <w:t>分，综合评价等级“优”。自评情况详见《2021年度部门整体支出绩效自评情况表》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三、绩效目标实现情况</w:t>
      </w:r>
    </w:p>
    <w:p>
      <w:pPr>
        <w:ind w:firstLine="640" w:firstLineChars="200"/>
        <w:rPr>
          <w:rFonts w:hint="eastAsia"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（一）部门整体支出绩效目标完成情况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021</w:t>
      </w:r>
      <w:r>
        <w:rPr>
          <w:rFonts w:hint="eastAsia" w:ascii="仿宋" w:hAnsi="仿宋" w:eastAsia="仿宋" w:cs="仿宋"/>
          <w:sz w:val="32"/>
          <w:szCs w:val="32"/>
        </w:rPr>
        <w:t>年，我部门为确保绩效自评工作取得实效，成立了绩效评价工作领导小组，明确了评价内容和工作要求，对我部门绩效工作进行了专题部署。要做到按时足额发放各项资金，保障我县退役军人基本生活，较好的完成了绩效目标。</w:t>
      </w:r>
    </w:p>
    <w:p>
      <w:pPr>
        <w:ind w:firstLine="640" w:firstLineChars="200"/>
        <w:rPr>
          <w:rFonts w:hint="eastAsia"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（二）项目支出绩效目标完成情况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13" w:rightChars="-6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2021年，我部门</w:t>
      </w:r>
      <w:r>
        <w:rPr>
          <w:rFonts w:hint="eastAsia" w:ascii="仿宋_GB2312" w:hAnsi="仿宋" w:eastAsia="仿宋_GB2312" w:cs="Times New Roman"/>
          <w:sz w:val="32"/>
          <w:szCs w:val="32"/>
        </w:rPr>
        <w:t>年初制定的专项资金和具体预算支出项目的绩效目标完成情况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较好，</w:t>
      </w:r>
      <w:r>
        <w:rPr>
          <w:rFonts w:hint="eastAsia" w:ascii="仿宋" w:hAnsi="仿宋" w:eastAsia="仿宋" w:cs="仿宋"/>
          <w:sz w:val="32"/>
          <w:szCs w:val="32"/>
        </w:rPr>
        <w:t>根据具体文件立项，严格遵循专款专用的管理原则。</w:t>
      </w:r>
      <w:r>
        <w:rPr>
          <w:rFonts w:ascii="仿宋" w:hAnsi="仿宋" w:eastAsia="仿宋"/>
          <w:sz w:val="32"/>
          <w:szCs w:val="32"/>
        </w:rPr>
        <w:t>专项资金的申报严格按照财政资金管理的要求进行，专项资金财政拨款到位后及时进行了项目开展和资金投入。</w:t>
      </w:r>
      <w:r>
        <w:rPr>
          <w:rFonts w:hint="eastAsia" w:ascii="仿宋" w:hAnsi="仿宋" w:eastAsia="仿宋" w:cs="仿宋"/>
          <w:sz w:val="32"/>
          <w:szCs w:val="32"/>
        </w:rPr>
        <w:t>社会满意度良好，但仍有少数退役军人对我们的工作提出建议，我局将虚心接受各界建议，争取为我县退役军人提供更优质的服务。</w:t>
      </w:r>
    </w:p>
    <w:p>
      <w:pPr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四、绩效目标设定质量情况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楷体" w:hAnsi="楷体" w:eastAsia="楷体" w:cs="Times New Roman"/>
          <w:sz w:val="32"/>
          <w:szCs w:val="32"/>
        </w:rPr>
        <w:t>（一）整体绩效目标设定质量情况。</w:t>
      </w:r>
      <w:r>
        <w:rPr>
          <w:rFonts w:hint="eastAsia" w:ascii="仿宋_GB2312" w:hAnsi="仿宋" w:eastAsia="仿宋_GB2312" w:cs="Times New Roman"/>
          <w:sz w:val="32"/>
          <w:szCs w:val="32"/>
        </w:rPr>
        <w:t>通过部门整体支出绩效自评结果，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我局</w:t>
      </w:r>
      <w:r>
        <w:rPr>
          <w:rFonts w:hint="eastAsia" w:ascii="仿宋_GB2312" w:hAnsi="仿宋" w:eastAsia="仿宋_GB2312" w:cs="Times New Roman"/>
          <w:sz w:val="32"/>
          <w:szCs w:val="32"/>
        </w:rPr>
        <w:t>年初部门整体绩效目标及分项目标设定质量情况，各项重点工作目标、指标标准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较为</w:t>
      </w:r>
      <w:r>
        <w:rPr>
          <w:rFonts w:hint="eastAsia" w:ascii="仿宋_GB2312" w:hAnsi="仿宋" w:eastAsia="仿宋_GB2312" w:cs="Times New Roman"/>
          <w:sz w:val="32"/>
          <w:szCs w:val="32"/>
        </w:rPr>
        <w:t>恰当适宜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但我局</w:t>
      </w:r>
      <w:r>
        <w:rPr>
          <w:rFonts w:ascii="仿宋" w:hAnsi="仿宋" w:eastAsia="仿宋"/>
          <w:sz w:val="32"/>
          <w:szCs w:val="32"/>
        </w:rPr>
        <w:t>预算编制工作需要细化，部门之间缺乏协调，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有时</w:t>
      </w:r>
      <w:r>
        <w:rPr>
          <w:rFonts w:ascii="仿宋" w:hAnsi="仿宋" w:eastAsia="仿宋"/>
          <w:sz w:val="32"/>
          <w:szCs w:val="32"/>
        </w:rPr>
        <w:t>造成部分项目实施不顺畅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（二）项目支出绩效目标设定质量情况。</w:t>
      </w:r>
      <w:r>
        <w:rPr>
          <w:rFonts w:hint="eastAsia" w:ascii="仿宋_GB2312" w:hAnsi="仿宋" w:eastAsia="仿宋_GB2312" w:cs="Times New Roman"/>
          <w:sz w:val="32"/>
          <w:szCs w:val="32"/>
        </w:rPr>
        <w:t>通过项目支出绩效自评结果，对比倒查的年初绩效目标设定质量情况，全面总结绩效目标设定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较为</w:t>
      </w:r>
      <w:r>
        <w:rPr>
          <w:rFonts w:hint="eastAsia" w:ascii="仿宋_GB2312" w:hAnsi="仿宋" w:eastAsia="仿宋_GB2312" w:cs="Times New Roman"/>
          <w:sz w:val="32"/>
          <w:szCs w:val="32"/>
        </w:rPr>
        <w:t>清晰准确，绩效指标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较为</w:t>
      </w:r>
      <w:r>
        <w:rPr>
          <w:rFonts w:hint="eastAsia" w:ascii="仿宋_GB2312" w:hAnsi="仿宋" w:eastAsia="仿宋_GB2312" w:cs="Times New Roman"/>
          <w:sz w:val="32"/>
          <w:szCs w:val="32"/>
        </w:rPr>
        <w:t>全面完整、科学合理，绩效标准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较为</w:t>
      </w:r>
      <w:r>
        <w:rPr>
          <w:rFonts w:hint="eastAsia" w:ascii="仿宋_GB2312" w:hAnsi="仿宋" w:eastAsia="仿宋_GB2312" w:cs="Times New Roman"/>
          <w:sz w:val="32"/>
          <w:szCs w:val="32"/>
        </w:rPr>
        <w:t>恰当适宜、易于评价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</w:rPr>
        <w:t>在经济效益方面，我局全力发挥财政资金的最大效益，效果较为显著；社会效益方面，明显增强我县军民的双拥意识和国防观念；在生态效益方面也基本实现了绿色办公。</w:t>
      </w:r>
    </w:p>
    <w:p>
      <w:pPr>
        <w:snapToGrid w:val="0"/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五、整改措施及结果应用</w:t>
      </w: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ascii="仿宋" w:hAnsi="仿宋" w:eastAsia="仿宋"/>
          <w:sz w:val="32"/>
          <w:szCs w:val="32"/>
        </w:rPr>
        <w:t>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局</w:t>
      </w:r>
      <w:r>
        <w:rPr>
          <w:rFonts w:ascii="仿宋" w:hAnsi="仿宋" w:eastAsia="仿宋"/>
          <w:sz w:val="32"/>
          <w:szCs w:val="32"/>
        </w:rPr>
        <w:t>将根据2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021</w:t>
      </w:r>
      <w:r>
        <w:rPr>
          <w:rFonts w:ascii="仿宋" w:hAnsi="仿宋" w:eastAsia="仿宋"/>
          <w:sz w:val="32"/>
          <w:szCs w:val="32"/>
        </w:rPr>
        <w:t>年绩效自评结果公开到政府门户网站，并总结经验和不足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ascii="仿宋" w:hAnsi="仿宋" w:eastAsia="仿宋"/>
          <w:sz w:val="32"/>
          <w:szCs w:val="32"/>
        </w:rPr>
        <w:t>绩效方面继续延续到202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sz w:val="32"/>
          <w:szCs w:val="32"/>
        </w:rPr>
        <w:t>年。对于不足的地方202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1年</w:t>
      </w:r>
      <w:r>
        <w:rPr>
          <w:rFonts w:ascii="仿宋" w:hAnsi="仿宋" w:eastAsia="仿宋"/>
          <w:sz w:val="32"/>
          <w:szCs w:val="32"/>
        </w:rPr>
        <w:t>将注意加强完善，进一步加强合理规范化管理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由于我局是新组建单位，人员少，任务重，整改细节不够到位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预算编制工作需要细化，部门之间缺乏协调，造成部分项目实施不顺畅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针对绩效预算管理中尚存在需要改进完善的地方，下一步，我部门将严格按照关于全面实施预算绩效管理决策部署，加强学习教育培训，正确理解、准确把握全面实施预算绩效管理的重大意义，有效指导工作实践，着力提高服务意识和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梳理完善各项制度，打造健全长效的保障体系，围绕目标管理、运行监控、绩效评价、信息公开等内容，建立专门制度，明确操作规范流程，逐步形成科学完备、有效管用的制度体系。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强化绩效预算决策参谋助手作用，持续推动工作向高质量发展。切实把全面实施预算绩效管理贯穿到工作之中，逐步构建全方位、全过程、全覆盖的绩效管理体系，围绕重点工作任务目标，强力推进落实举措，确保部门各项工作取得扎实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480" w:firstLineChars="14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昌黎县退役军人事务局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2022年3月1日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/>
    <w:p/>
    <w:p/>
    <w:p/>
    <w:p/>
    <w:p/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20640"/>
    <w:rsid w:val="0913357E"/>
    <w:rsid w:val="10766696"/>
    <w:rsid w:val="27120640"/>
    <w:rsid w:val="27987506"/>
    <w:rsid w:val="31E55E3B"/>
    <w:rsid w:val="33E40BF9"/>
    <w:rsid w:val="382F0AB9"/>
    <w:rsid w:val="3B564A62"/>
    <w:rsid w:val="6AE11ACA"/>
    <w:rsid w:val="70206203"/>
    <w:rsid w:val="719770E7"/>
    <w:rsid w:val="7F6E55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2021-04-22T06:58:00Z</dcterms:created>
  <dc:creator>退役军人事务局</dc:creator>
  <cp:lastModifiedBy>caiwu</cp:lastModifiedBy>
  <cp:lastPrinted>2021-05-19T05:23:00Z</cp:lastPrinted>
  <dcterms:modified xsi:type="dcterms:W3CDTF">2022-03-18T03:01:52Z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