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55" w:rsidRDefault="000D1F55">
      <w:pPr>
        <w:spacing w:line="360" w:lineRule="auto"/>
        <w:jc w:val="center"/>
        <w:rPr>
          <w:rFonts w:ascii="宋体" w:eastAsia="黑体" w:hAnsi="宋体"/>
          <w:b/>
          <w:sz w:val="32"/>
          <w:szCs w:val="32"/>
        </w:rPr>
      </w:pPr>
    </w:p>
    <w:p w:rsidR="000D1F55" w:rsidRDefault="000D1F55">
      <w:pPr>
        <w:spacing w:line="360" w:lineRule="auto"/>
        <w:jc w:val="center"/>
        <w:rPr>
          <w:rFonts w:ascii="宋体" w:eastAsia="黑体" w:hAnsi="宋体"/>
          <w:b/>
          <w:sz w:val="32"/>
          <w:szCs w:val="32"/>
        </w:rPr>
      </w:pPr>
    </w:p>
    <w:p w:rsidR="000D1F55" w:rsidRDefault="000D1F55">
      <w:pPr>
        <w:spacing w:line="360" w:lineRule="auto"/>
        <w:jc w:val="center"/>
        <w:rPr>
          <w:rFonts w:ascii="宋体" w:eastAsia="黑体" w:hAnsi="宋体"/>
          <w:b/>
          <w:sz w:val="32"/>
          <w:szCs w:val="32"/>
        </w:rPr>
      </w:pPr>
    </w:p>
    <w:p w:rsidR="000D1F55" w:rsidRDefault="00D93171">
      <w:pPr>
        <w:spacing w:line="360" w:lineRule="auto"/>
        <w:jc w:val="center"/>
        <w:rPr>
          <w:rFonts w:ascii="黑体" w:eastAsia="黑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昌黎县机关事务服务中心</w:t>
      </w:r>
      <w:r>
        <w:rPr>
          <w:rFonts w:ascii="黑体" w:eastAsia="黑体" w:hint="eastAsia"/>
          <w:sz w:val="44"/>
          <w:szCs w:val="44"/>
        </w:rPr>
        <w:br/>
        <w:t>2021年度部门整体支出绩效自评报告</w:t>
      </w:r>
    </w:p>
    <w:p w:rsidR="000D1F55" w:rsidRDefault="000D1F55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0D1F55" w:rsidRDefault="00D93171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一、部门概况</w:t>
      </w:r>
    </w:p>
    <w:p w:rsidR="000D1F55" w:rsidRDefault="00D93171" w:rsidP="00810969">
      <w:pPr>
        <w:spacing w:beforeLines="50" w:line="360" w:lineRule="auto"/>
        <w:ind w:firstLineChars="200" w:firstLine="640"/>
        <w:outlineLvl w:val="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（一）部门基本概况及主</w:t>
      </w:r>
      <w:r>
        <w:rPr>
          <w:rFonts w:ascii="楷体" w:eastAsia="楷体" w:hAnsi="楷体"/>
          <w:sz w:val="32"/>
          <w:szCs w:val="32"/>
        </w:rPr>
        <w:t>要职责职能</w:t>
      </w:r>
      <w:r>
        <w:rPr>
          <w:rFonts w:ascii="楷体" w:eastAsia="楷体" w:hAnsi="楷体" w:hint="eastAsia"/>
          <w:sz w:val="32"/>
          <w:szCs w:val="32"/>
        </w:rPr>
        <w:t>:</w:t>
      </w:r>
    </w:p>
    <w:p w:rsidR="000D1F55" w:rsidRDefault="00D93171" w:rsidP="00810969">
      <w:pPr>
        <w:spacing w:beforeLines="50" w:line="360" w:lineRule="auto"/>
        <w:ind w:firstLineChars="200" w:firstLine="640"/>
        <w:outlineLvl w:val="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昌黎县机关事务服务中心职能主要包括两大部分：</w:t>
      </w:r>
    </w:p>
    <w:p w:rsidR="000D1F55" w:rsidRDefault="00D93171">
      <w:pPr>
        <w:adjustRightInd w:val="0"/>
        <w:spacing w:line="61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机关事务管理：管理局日常性事务；机关办公用房登记使用调配和管理；党政机关办公用房的管理和使用；全县公共机构节能监督管理；全县公务用车改革日常工作，督导检查全县公务用车制度改革工作；负责公务车辆信息化管理平台运行，承担公务车辆管理工作；县委、县政府交办的其他工作任务等。</w:t>
      </w:r>
    </w:p>
    <w:p w:rsidR="000D1F55" w:rsidRDefault="00D93171">
      <w:pPr>
        <w:spacing w:line="61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昌黎县市民中心综合后勤服务保障：市民中心、会议厅公共设施设备维护维修、水电暖网络通讯等供应保障以及安全保卫、卫生保洁、绿化美化、环境秩序、会务服务等综合管理服务；县政府招待所、昌黎宾馆的管理；县委、县政府交办的其他工作任务等。</w:t>
      </w:r>
    </w:p>
    <w:p w:rsidR="000D1F55" w:rsidRDefault="00D93171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昌黎县机关事务服务中心挂靠县委办公室，为财政性资</w:t>
      </w:r>
      <w:r>
        <w:rPr>
          <w:rFonts w:ascii="仿宋_GB2312" w:eastAsia="仿宋_GB2312" w:hint="eastAsia"/>
          <w:sz w:val="32"/>
          <w:szCs w:val="32"/>
        </w:rPr>
        <w:lastRenderedPageBreak/>
        <w:t>金基本保障经费事业单位，机构规格相当于正科级。机关事务管理局全额事业编制43人。机关事务管理局设7个职能股室，即办公室(含设备管理股)、财务股、行政管理股、产业发展股、公共机构节能管理股、保卫股、公务车辆管理股。我单位为一级预算单位，无独立核算的下属预算单位。</w:t>
      </w:r>
    </w:p>
    <w:p w:rsidR="000D1F55" w:rsidRDefault="00D93171" w:rsidP="00810969">
      <w:pPr>
        <w:numPr>
          <w:ilvl w:val="0"/>
          <w:numId w:val="1"/>
        </w:numPr>
        <w:spacing w:beforeLines="50" w:line="360" w:lineRule="auto"/>
        <w:ind w:firstLineChars="200" w:firstLine="640"/>
        <w:outlineLvl w:val="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机构设置：</w:t>
      </w:r>
    </w:p>
    <w:tbl>
      <w:tblPr>
        <w:tblpPr w:leftFromText="180" w:rightFromText="180" w:vertAnchor="text" w:horzAnchor="margin" w:tblpXSpec="center" w:tblpY="212"/>
        <w:tblW w:w="9039" w:type="dxa"/>
        <w:tblLayout w:type="fixed"/>
        <w:tblCellMar>
          <w:top w:w="64" w:type="dxa"/>
          <w:right w:w="94" w:type="dxa"/>
        </w:tblCellMar>
        <w:tblLook w:val="04A0"/>
      </w:tblPr>
      <w:tblGrid>
        <w:gridCol w:w="3227"/>
        <w:gridCol w:w="1417"/>
        <w:gridCol w:w="1418"/>
        <w:gridCol w:w="2977"/>
      </w:tblGrid>
      <w:tr w:rsidR="000D1F55">
        <w:trPr>
          <w:trHeight w:val="629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ind w:right="14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单位名称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ind w:left="36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单位性质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 w:rsidP="007C06A7">
            <w:pPr>
              <w:snapToGrid w:val="0"/>
              <w:ind w:leftChars="-50" w:left="1" w:right="48" w:hangingChars="44" w:hanging="106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单位规格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ind w:right="1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经费保障形式</w:t>
            </w:r>
          </w:p>
        </w:tc>
      </w:tr>
      <w:tr w:rsidR="000D1F55">
        <w:trPr>
          <w:trHeight w:val="31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bCs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bCs/>
                <w:sz w:val="24"/>
              </w:rPr>
              <w:t>昌黎县机关事务服务中心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 w:rsidP="007C06A7">
            <w:pPr>
              <w:snapToGrid w:val="0"/>
              <w:ind w:leftChars="-50" w:left="1" w:right="48" w:hangingChars="44" w:hanging="106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正科级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0D1F55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bCs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sz w:val="24"/>
              </w:rPr>
              <w:t>办公室(含设备管理股)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 w:rsidP="007C06A7">
            <w:pPr>
              <w:snapToGrid w:val="0"/>
              <w:ind w:leftChars="-50" w:left="1" w:right="48" w:hangingChars="44" w:hanging="106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0D1F55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bCs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财务股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 w:rsidP="007C06A7">
            <w:pPr>
              <w:snapToGrid w:val="0"/>
              <w:ind w:leftChars="-50" w:left="1" w:right="48" w:hangingChars="44" w:hanging="106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0D1F55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bCs/>
                <w:sz w:val="24"/>
                <w:lang w:val="zh-CN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行政管理股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 w:rsidP="007C06A7">
            <w:pPr>
              <w:snapToGrid w:val="0"/>
              <w:ind w:leftChars="-50" w:left="1" w:right="48" w:hangingChars="44" w:hanging="106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0D1F55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产业发展股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 w:rsidP="007C06A7">
            <w:pPr>
              <w:snapToGrid w:val="0"/>
              <w:ind w:leftChars="-50" w:left="1" w:right="48" w:hangingChars="44" w:hanging="106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0D1F55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公共机构节能股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 w:rsidP="007C06A7">
            <w:pPr>
              <w:snapToGrid w:val="0"/>
              <w:ind w:leftChars="-50" w:left="1" w:right="48" w:hangingChars="44" w:hanging="106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0D1F55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bCs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保卫股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 w:rsidP="007C06A7">
            <w:pPr>
              <w:snapToGrid w:val="0"/>
              <w:ind w:leftChars="-50" w:left="1" w:right="48" w:hangingChars="44" w:hanging="106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0D1F55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公务车辆管理股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 w:rsidP="007C06A7">
            <w:pPr>
              <w:snapToGrid w:val="0"/>
              <w:ind w:leftChars="-50" w:left="1" w:right="48" w:hangingChars="44" w:hanging="106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F55" w:rsidRDefault="00D93171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</w:tbl>
    <w:p w:rsidR="000D1F55" w:rsidRDefault="00D93171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我单位为一级预算单位，无独立核算下属单位</w:t>
      </w:r>
    </w:p>
    <w:tbl>
      <w:tblPr>
        <w:tblW w:w="9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3"/>
        <w:gridCol w:w="917"/>
        <w:gridCol w:w="926"/>
        <w:gridCol w:w="1264"/>
        <w:gridCol w:w="660"/>
        <w:gridCol w:w="396"/>
        <w:gridCol w:w="594"/>
        <w:gridCol w:w="501"/>
        <w:gridCol w:w="474"/>
        <w:gridCol w:w="450"/>
        <w:gridCol w:w="540"/>
        <w:gridCol w:w="531"/>
      </w:tblGrid>
      <w:tr w:rsidR="000D1F55">
        <w:trPr>
          <w:trHeight w:val="360"/>
          <w:tblHeader/>
          <w:jc w:val="center"/>
        </w:trPr>
        <w:tc>
          <w:tcPr>
            <w:tcW w:w="6540" w:type="dxa"/>
            <w:gridSpan w:val="7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昌黎县机关事务服务中心</w:t>
            </w:r>
          </w:p>
        </w:tc>
        <w:tc>
          <w:tcPr>
            <w:tcW w:w="2496" w:type="dxa"/>
            <w:gridSpan w:val="5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单位：人</w:t>
            </w:r>
          </w:p>
        </w:tc>
      </w:tr>
      <w:tr w:rsidR="000D1F55">
        <w:trPr>
          <w:trHeight w:val="405"/>
          <w:tblHeader/>
          <w:jc w:val="center"/>
        </w:trPr>
        <w:tc>
          <w:tcPr>
            <w:tcW w:w="1783" w:type="dxa"/>
            <w:vMerge w:val="restart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单位名称</w:t>
            </w:r>
          </w:p>
        </w:tc>
        <w:tc>
          <w:tcPr>
            <w:tcW w:w="917" w:type="dxa"/>
            <w:vMerge w:val="restart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单位性质</w:t>
            </w:r>
          </w:p>
        </w:tc>
        <w:tc>
          <w:tcPr>
            <w:tcW w:w="926" w:type="dxa"/>
            <w:vMerge w:val="restart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单位规格</w:t>
            </w:r>
          </w:p>
        </w:tc>
        <w:tc>
          <w:tcPr>
            <w:tcW w:w="1264" w:type="dxa"/>
            <w:vMerge w:val="restart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经费保障形式</w:t>
            </w:r>
          </w:p>
        </w:tc>
        <w:tc>
          <w:tcPr>
            <w:tcW w:w="660" w:type="dxa"/>
            <w:vMerge w:val="restart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车辆编制数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编制人数</w:t>
            </w:r>
          </w:p>
        </w:tc>
        <w:tc>
          <w:tcPr>
            <w:tcW w:w="975" w:type="dxa"/>
            <w:gridSpan w:val="2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在职人数</w:t>
            </w:r>
          </w:p>
        </w:tc>
        <w:tc>
          <w:tcPr>
            <w:tcW w:w="1521" w:type="dxa"/>
            <w:gridSpan w:val="3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离退人数</w:t>
            </w:r>
          </w:p>
        </w:tc>
      </w:tr>
      <w:tr w:rsidR="000D1F55">
        <w:trPr>
          <w:trHeight w:val="1199"/>
          <w:tblHeader/>
          <w:jc w:val="center"/>
        </w:trPr>
        <w:tc>
          <w:tcPr>
            <w:tcW w:w="1783" w:type="dxa"/>
            <w:vMerge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7" w:type="dxa"/>
            <w:vMerge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Merge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4" w:type="dxa"/>
            <w:vMerge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0" w:type="dxa"/>
            <w:vMerge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6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</w:t>
            </w:r>
          </w:p>
        </w:tc>
        <w:tc>
          <w:tcPr>
            <w:tcW w:w="594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事业</w:t>
            </w:r>
          </w:p>
        </w:tc>
        <w:tc>
          <w:tcPr>
            <w:tcW w:w="501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</w:t>
            </w:r>
          </w:p>
        </w:tc>
        <w:tc>
          <w:tcPr>
            <w:tcW w:w="474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事业</w:t>
            </w:r>
          </w:p>
        </w:tc>
        <w:tc>
          <w:tcPr>
            <w:tcW w:w="450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离休</w:t>
            </w:r>
          </w:p>
        </w:tc>
        <w:tc>
          <w:tcPr>
            <w:tcW w:w="540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退休</w:t>
            </w:r>
          </w:p>
        </w:tc>
        <w:tc>
          <w:tcPr>
            <w:tcW w:w="531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退职</w:t>
            </w:r>
          </w:p>
        </w:tc>
      </w:tr>
      <w:tr w:rsidR="000D1F55">
        <w:trPr>
          <w:trHeight w:val="390"/>
          <w:jc w:val="center"/>
        </w:trPr>
        <w:tc>
          <w:tcPr>
            <w:tcW w:w="1783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合计</w:t>
            </w:r>
          </w:p>
        </w:tc>
        <w:tc>
          <w:tcPr>
            <w:tcW w:w="917" w:type="dxa"/>
            <w:noWrap/>
            <w:vAlign w:val="center"/>
          </w:tcPr>
          <w:p w:rsidR="000D1F55" w:rsidRDefault="000D1F55">
            <w:pPr>
              <w:spacing w:line="300" w:lineRule="exact"/>
              <w:jc w:val="left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26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64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660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396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594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43</w:t>
            </w:r>
          </w:p>
        </w:tc>
        <w:tc>
          <w:tcPr>
            <w:tcW w:w="501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474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37</w:t>
            </w:r>
          </w:p>
        </w:tc>
        <w:tc>
          <w:tcPr>
            <w:tcW w:w="450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540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531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0D1F55">
        <w:trPr>
          <w:trHeight w:val="636"/>
          <w:jc w:val="center"/>
        </w:trPr>
        <w:tc>
          <w:tcPr>
            <w:tcW w:w="1783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昌黎县机关</w:t>
            </w:r>
          </w:p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事务服务中心</w:t>
            </w:r>
          </w:p>
        </w:tc>
        <w:tc>
          <w:tcPr>
            <w:tcW w:w="917" w:type="dxa"/>
            <w:noWrap/>
            <w:vAlign w:val="center"/>
          </w:tcPr>
          <w:p w:rsidR="000D1F55" w:rsidRDefault="00D93171">
            <w:pPr>
              <w:spacing w:line="300" w:lineRule="exact"/>
              <w:ind w:rightChars="56" w:right="11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事业</w:t>
            </w:r>
          </w:p>
        </w:tc>
        <w:tc>
          <w:tcPr>
            <w:tcW w:w="926" w:type="dxa"/>
            <w:noWrap/>
            <w:vAlign w:val="center"/>
          </w:tcPr>
          <w:p w:rsidR="000D1F55" w:rsidRDefault="00D93171">
            <w:pPr>
              <w:spacing w:line="3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正科级</w:t>
            </w:r>
          </w:p>
        </w:tc>
        <w:tc>
          <w:tcPr>
            <w:tcW w:w="1264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财政性资金基本保证经费</w:t>
            </w:r>
          </w:p>
        </w:tc>
        <w:tc>
          <w:tcPr>
            <w:tcW w:w="660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6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4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43</w:t>
            </w:r>
          </w:p>
        </w:tc>
        <w:tc>
          <w:tcPr>
            <w:tcW w:w="501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4" w:type="dxa"/>
            <w:noWrap/>
            <w:vAlign w:val="center"/>
          </w:tcPr>
          <w:p w:rsidR="000D1F55" w:rsidRDefault="00D9317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37</w:t>
            </w:r>
          </w:p>
        </w:tc>
        <w:tc>
          <w:tcPr>
            <w:tcW w:w="450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1" w:type="dxa"/>
            <w:noWrap/>
            <w:vAlign w:val="center"/>
          </w:tcPr>
          <w:p w:rsidR="000D1F55" w:rsidRDefault="000D1F5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0D1F55" w:rsidRDefault="000D1F5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（三）当年部门预算</w:t>
      </w:r>
      <w:r>
        <w:rPr>
          <w:rFonts w:eastAsia="仿宋_GB2312"/>
          <w:sz w:val="32"/>
          <w:szCs w:val="32"/>
        </w:rPr>
        <w:t>及执行情况</w:t>
      </w:r>
      <w:r>
        <w:rPr>
          <w:rFonts w:eastAsia="仿宋_GB2312" w:hint="eastAsia"/>
          <w:sz w:val="32"/>
          <w:szCs w:val="32"/>
        </w:rPr>
        <w:t>。</w:t>
      </w:r>
    </w:p>
    <w:p w:rsidR="000D1F55" w:rsidRDefault="00D93171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2021</w:t>
      </w:r>
      <w:r>
        <w:rPr>
          <w:rFonts w:eastAsia="仿宋_GB2312" w:hint="eastAsia"/>
          <w:sz w:val="30"/>
        </w:rPr>
        <w:t>年本部门整体年初预算安排</w:t>
      </w:r>
      <w:r>
        <w:rPr>
          <w:rFonts w:eastAsia="仿宋_GB2312" w:hint="eastAsia"/>
          <w:sz w:val="30"/>
        </w:rPr>
        <w:t>1207.43</w:t>
      </w:r>
      <w:r>
        <w:rPr>
          <w:rFonts w:eastAsia="仿宋_GB2312" w:hint="eastAsia"/>
          <w:sz w:val="30"/>
        </w:rPr>
        <w:t>万元，年中调整后</w:t>
      </w:r>
      <w:r>
        <w:rPr>
          <w:rFonts w:eastAsia="仿宋_GB2312" w:hint="eastAsia"/>
          <w:sz w:val="30"/>
        </w:rPr>
        <w:lastRenderedPageBreak/>
        <w:t>预算数为</w:t>
      </w:r>
      <w:r>
        <w:rPr>
          <w:rFonts w:eastAsia="仿宋_GB2312" w:hint="eastAsia"/>
          <w:sz w:val="30"/>
        </w:rPr>
        <w:t>1404.71</w:t>
      </w:r>
      <w:r>
        <w:rPr>
          <w:rFonts w:eastAsia="仿宋_GB2312" w:hint="eastAsia"/>
          <w:sz w:val="30"/>
        </w:rPr>
        <w:t>万元，决算数</w:t>
      </w:r>
      <w:r>
        <w:rPr>
          <w:rFonts w:eastAsia="仿宋_GB2312" w:hint="eastAsia"/>
          <w:sz w:val="30"/>
        </w:rPr>
        <w:t>1404.71</w:t>
      </w:r>
      <w:r>
        <w:rPr>
          <w:rFonts w:eastAsia="仿宋_GB2312" w:hint="eastAsia"/>
          <w:sz w:val="30"/>
        </w:rPr>
        <w:t>万元，年度实际支出率达</w:t>
      </w:r>
      <w:r>
        <w:rPr>
          <w:rFonts w:eastAsia="仿宋_GB2312" w:hint="eastAsia"/>
          <w:sz w:val="30"/>
        </w:rPr>
        <w:t>100.00%</w:t>
      </w:r>
      <w:r>
        <w:rPr>
          <w:rFonts w:eastAsia="仿宋_GB2312" w:hint="eastAsia"/>
          <w:sz w:val="30"/>
        </w:rPr>
        <w:t>。</w:t>
      </w:r>
    </w:p>
    <w:p w:rsidR="000D1F55" w:rsidRDefault="00D93171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2021</w:t>
      </w:r>
      <w:r>
        <w:rPr>
          <w:rFonts w:eastAsia="仿宋_GB2312" w:hint="eastAsia"/>
          <w:sz w:val="30"/>
        </w:rPr>
        <w:t>年部门项目支出共计</w:t>
      </w:r>
      <w:r>
        <w:rPr>
          <w:rFonts w:eastAsia="仿宋_GB2312" w:hint="eastAsia"/>
          <w:sz w:val="30"/>
        </w:rPr>
        <w:t>10</w:t>
      </w:r>
      <w:r>
        <w:rPr>
          <w:rFonts w:eastAsia="仿宋_GB2312" w:hint="eastAsia"/>
          <w:sz w:val="30"/>
        </w:rPr>
        <w:t>个，年初预算安排</w:t>
      </w:r>
      <w:r>
        <w:rPr>
          <w:rFonts w:eastAsia="仿宋_GB2312" w:hint="eastAsia"/>
          <w:sz w:val="30"/>
        </w:rPr>
        <w:t>1199.86</w:t>
      </w:r>
      <w:r>
        <w:rPr>
          <w:rFonts w:eastAsia="仿宋_GB2312" w:hint="eastAsia"/>
          <w:sz w:val="30"/>
        </w:rPr>
        <w:t>万元，年中调整后预算数为</w:t>
      </w:r>
      <w:r>
        <w:rPr>
          <w:rFonts w:eastAsia="仿宋_GB2312" w:hint="eastAsia"/>
          <w:sz w:val="30"/>
        </w:rPr>
        <w:t>1329.55</w:t>
      </w:r>
      <w:r>
        <w:rPr>
          <w:rFonts w:eastAsia="仿宋_GB2312" w:hint="eastAsia"/>
          <w:sz w:val="30"/>
        </w:rPr>
        <w:t>万元，决算数</w:t>
      </w:r>
      <w:r>
        <w:rPr>
          <w:rFonts w:eastAsia="仿宋_GB2312" w:hint="eastAsia"/>
          <w:sz w:val="30"/>
        </w:rPr>
        <w:t>1331.12</w:t>
      </w:r>
      <w:r>
        <w:rPr>
          <w:rFonts w:eastAsia="仿宋_GB2312" w:hint="eastAsia"/>
          <w:sz w:val="30"/>
        </w:rPr>
        <w:t>元，当年度预算实际支出率达</w:t>
      </w:r>
      <w:r>
        <w:rPr>
          <w:rFonts w:eastAsia="仿宋_GB2312" w:hint="eastAsia"/>
          <w:sz w:val="30"/>
        </w:rPr>
        <w:t>100.00%</w:t>
      </w:r>
      <w:r>
        <w:rPr>
          <w:rFonts w:eastAsia="仿宋_GB2312" w:hint="eastAsia"/>
          <w:sz w:val="30"/>
        </w:rPr>
        <w:t>，决算数包含上年度结转项目资金。</w:t>
      </w:r>
    </w:p>
    <w:p w:rsidR="000D1F55" w:rsidRDefault="00D93171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截至</w:t>
      </w:r>
      <w:r>
        <w:rPr>
          <w:rFonts w:eastAsia="仿宋_GB2312" w:hint="eastAsia"/>
          <w:sz w:val="30"/>
        </w:rPr>
        <w:t>2021</w:t>
      </w:r>
      <w:r>
        <w:rPr>
          <w:rFonts w:eastAsia="仿宋_GB2312" w:hint="eastAsia"/>
          <w:sz w:val="30"/>
        </w:rPr>
        <w:t>年</w:t>
      </w:r>
      <w:r>
        <w:rPr>
          <w:rFonts w:eastAsia="仿宋_GB2312" w:hint="eastAsia"/>
          <w:sz w:val="30"/>
        </w:rPr>
        <w:t>12</w:t>
      </w:r>
      <w:r>
        <w:rPr>
          <w:rFonts w:eastAsia="仿宋_GB2312" w:hint="eastAsia"/>
          <w:sz w:val="30"/>
        </w:rPr>
        <w:t>月</w:t>
      </w:r>
      <w:r>
        <w:rPr>
          <w:rFonts w:eastAsia="仿宋_GB2312" w:hint="eastAsia"/>
          <w:sz w:val="30"/>
        </w:rPr>
        <w:t>31</w:t>
      </w:r>
      <w:r>
        <w:rPr>
          <w:rFonts w:eastAsia="仿宋_GB2312" w:hint="eastAsia"/>
          <w:sz w:val="30"/>
        </w:rPr>
        <w:t>日，我部门资产合计金额</w:t>
      </w:r>
      <w:r>
        <w:rPr>
          <w:rFonts w:eastAsia="仿宋_GB2312" w:hint="eastAsia"/>
          <w:sz w:val="30"/>
        </w:rPr>
        <w:t>497.65</w:t>
      </w:r>
      <w:r>
        <w:rPr>
          <w:rFonts w:eastAsia="仿宋_GB2312" w:hint="eastAsia"/>
          <w:sz w:val="30"/>
        </w:rPr>
        <w:t>万元，其中：流动资产</w:t>
      </w:r>
      <w:r>
        <w:rPr>
          <w:rFonts w:eastAsia="仿宋_GB2312" w:hint="eastAsia"/>
          <w:sz w:val="30"/>
        </w:rPr>
        <w:t>1.10</w:t>
      </w:r>
      <w:r>
        <w:rPr>
          <w:rFonts w:eastAsia="仿宋_GB2312" w:hint="eastAsia"/>
          <w:sz w:val="30"/>
        </w:rPr>
        <w:t>万元，非流动资产</w:t>
      </w:r>
      <w:r>
        <w:rPr>
          <w:rFonts w:eastAsia="仿宋_GB2312" w:hint="eastAsia"/>
          <w:sz w:val="30"/>
        </w:rPr>
        <w:t>496.55</w:t>
      </w:r>
      <w:r>
        <w:rPr>
          <w:rFonts w:eastAsia="仿宋_GB2312" w:hint="eastAsia"/>
          <w:sz w:val="30"/>
        </w:rPr>
        <w:t>万元。</w:t>
      </w:r>
    </w:p>
    <w:p w:rsidR="000D1F55" w:rsidRDefault="00D93171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固定资产：原值总计</w:t>
      </w:r>
      <w:r>
        <w:rPr>
          <w:rFonts w:eastAsia="仿宋_GB2312" w:hint="eastAsia"/>
          <w:sz w:val="30"/>
        </w:rPr>
        <w:t>803.82</w:t>
      </w:r>
      <w:r>
        <w:rPr>
          <w:rFonts w:eastAsia="仿宋_GB2312" w:hint="eastAsia"/>
          <w:sz w:val="30"/>
        </w:rPr>
        <w:t>万元，折旧</w:t>
      </w:r>
      <w:r>
        <w:rPr>
          <w:rFonts w:eastAsia="仿宋_GB2312" w:hint="eastAsia"/>
          <w:sz w:val="30"/>
        </w:rPr>
        <w:t>342.74</w:t>
      </w:r>
      <w:r>
        <w:rPr>
          <w:rFonts w:eastAsia="仿宋_GB2312" w:hint="eastAsia"/>
          <w:sz w:val="30"/>
        </w:rPr>
        <w:t>万元，净值</w:t>
      </w:r>
      <w:r>
        <w:rPr>
          <w:rFonts w:eastAsia="仿宋_GB2312" w:hint="eastAsia"/>
          <w:sz w:val="30"/>
        </w:rPr>
        <w:t>461.08</w:t>
      </w:r>
      <w:r>
        <w:rPr>
          <w:rFonts w:eastAsia="仿宋_GB2312" w:hint="eastAsia"/>
          <w:sz w:val="30"/>
        </w:rPr>
        <w:t>万元。</w:t>
      </w:r>
    </w:p>
    <w:p w:rsidR="000D1F55" w:rsidRDefault="00D93171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无形资产：原值总计</w:t>
      </w:r>
      <w:r>
        <w:rPr>
          <w:rFonts w:eastAsia="仿宋_GB2312" w:hint="eastAsia"/>
          <w:sz w:val="30"/>
        </w:rPr>
        <w:t>59.40</w:t>
      </w:r>
      <w:r>
        <w:rPr>
          <w:rFonts w:eastAsia="仿宋_GB2312" w:hint="eastAsia"/>
          <w:sz w:val="30"/>
        </w:rPr>
        <w:t>万元，折旧</w:t>
      </w:r>
      <w:r>
        <w:rPr>
          <w:rFonts w:eastAsia="仿宋_GB2312" w:hint="eastAsia"/>
          <w:sz w:val="30"/>
        </w:rPr>
        <w:t>23.93</w:t>
      </w:r>
      <w:r>
        <w:rPr>
          <w:rFonts w:eastAsia="仿宋_GB2312" w:hint="eastAsia"/>
          <w:sz w:val="30"/>
        </w:rPr>
        <w:t>万元，净值</w:t>
      </w:r>
      <w:r>
        <w:rPr>
          <w:rFonts w:eastAsia="仿宋_GB2312" w:hint="eastAsia"/>
          <w:sz w:val="30"/>
        </w:rPr>
        <w:t>35.47</w:t>
      </w:r>
      <w:r>
        <w:rPr>
          <w:rFonts w:eastAsia="仿宋_GB2312" w:hint="eastAsia"/>
          <w:sz w:val="30"/>
        </w:rPr>
        <w:t>万元。</w:t>
      </w:r>
    </w:p>
    <w:p w:rsidR="000D1F55" w:rsidRDefault="000D1F55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</w:p>
    <w:p w:rsidR="000D1F55" w:rsidRDefault="00D93171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负债情况：其他应付款共计</w:t>
      </w:r>
      <w:r>
        <w:rPr>
          <w:rFonts w:eastAsia="仿宋_GB2312" w:hint="eastAsia"/>
          <w:sz w:val="30"/>
        </w:rPr>
        <w:t>1.10</w:t>
      </w:r>
      <w:r>
        <w:rPr>
          <w:rFonts w:eastAsia="仿宋_GB2312" w:hint="eastAsia"/>
          <w:sz w:val="30"/>
        </w:rPr>
        <w:t>万元</w:t>
      </w:r>
    </w:p>
    <w:p w:rsidR="000D1F55" w:rsidRDefault="00D93171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二、部门整体支出绩效实现情况</w:t>
      </w:r>
    </w:p>
    <w:p w:rsidR="000D1F55" w:rsidRDefault="00D93171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按照昌黎县财政局关于开展</w:t>
      </w:r>
      <w:r>
        <w:rPr>
          <w:rFonts w:eastAsia="仿宋_GB2312" w:hint="eastAsia"/>
          <w:sz w:val="30"/>
        </w:rPr>
        <w:t>2021</w:t>
      </w:r>
      <w:r>
        <w:rPr>
          <w:rFonts w:eastAsia="仿宋_GB2312" w:hint="eastAsia"/>
          <w:sz w:val="30"/>
        </w:rPr>
        <w:t>年度预算绩效自评工作要求，我委认真组织本部门及所属预算单位，开展绩效自评工作。专门成立由科室主要人员组成的绩效自评工作组织机构，明确了绩效自评职责及人员分工，按照既定绩效目标、指标实施自我评价，圆满完成了</w:t>
      </w:r>
      <w:r>
        <w:rPr>
          <w:rFonts w:eastAsia="仿宋_GB2312" w:hint="eastAsia"/>
          <w:sz w:val="30"/>
        </w:rPr>
        <w:t>2021</w:t>
      </w:r>
      <w:r>
        <w:rPr>
          <w:rFonts w:eastAsia="仿宋_GB2312" w:hint="eastAsia"/>
          <w:sz w:val="30"/>
        </w:rPr>
        <w:t>年度预算绩效自评价任务，并按规定时限报送县财政局。</w:t>
      </w:r>
    </w:p>
    <w:p w:rsidR="000D1F55" w:rsidRDefault="00D93171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根据预算绩效管理要求，</w:t>
      </w:r>
      <w:r>
        <w:rPr>
          <w:rFonts w:eastAsia="仿宋_GB2312" w:hint="eastAsia"/>
          <w:sz w:val="30"/>
        </w:rPr>
        <w:t>2021</w:t>
      </w:r>
      <w:r>
        <w:rPr>
          <w:rFonts w:eastAsia="仿宋_GB2312" w:hint="eastAsia"/>
          <w:sz w:val="30"/>
        </w:rPr>
        <w:t>年本部门绩效自评项目共</w:t>
      </w:r>
      <w:r>
        <w:rPr>
          <w:rFonts w:eastAsia="仿宋_GB2312" w:hint="eastAsia"/>
          <w:sz w:val="30"/>
        </w:rPr>
        <w:t xml:space="preserve"> 10</w:t>
      </w:r>
      <w:r>
        <w:rPr>
          <w:rFonts w:eastAsia="仿宋_GB2312" w:hint="eastAsia"/>
          <w:sz w:val="30"/>
        </w:rPr>
        <w:lastRenderedPageBreak/>
        <w:t>个，其中评价等级为“优”项目</w:t>
      </w:r>
      <w:r>
        <w:rPr>
          <w:rFonts w:eastAsia="仿宋_GB2312" w:hint="eastAsia"/>
          <w:sz w:val="30"/>
        </w:rPr>
        <w:t xml:space="preserve">10 </w:t>
      </w:r>
      <w:r>
        <w:rPr>
          <w:rFonts w:eastAsia="仿宋_GB2312" w:hint="eastAsia"/>
          <w:sz w:val="30"/>
        </w:rPr>
        <w:t>个，“良”项目</w:t>
      </w:r>
      <w:r>
        <w:rPr>
          <w:rFonts w:eastAsia="仿宋_GB2312" w:hint="eastAsia"/>
          <w:sz w:val="30"/>
        </w:rPr>
        <w:t>0</w:t>
      </w:r>
      <w:r>
        <w:rPr>
          <w:rFonts w:eastAsia="仿宋_GB2312" w:hint="eastAsia"/>
          <w:sz w:val="30"/>
        </w:rPr>
        <w:t>个，“中”项目</w:t>
      </w:r>
      <w:r>
        <w:rPr>
          <w:rFonts w:eastAsia="仿宋_GB2312" w:hint="eastAsia"/>
          <w:sz w:val="30"/>
        </w:rPr>
        <w:t>0</w:t>
      </w:r>
      <w:r>
        <w:rPr>
          <w:rFonts w:eastAsia="仿宋_GB2312" w:hint="eastAsia"/>
          <w:sz w:val="30"/>
        </w:rPr>
        <w:t>个，“差”项目</w:t>
      </w:r>
      <w:r>
        <w:rPr>
          <w:rFonts w:eastAsia="仿宋_GB2312" w:hint="eastAsia"/>
          <w:sz w:val="30"/>
        </w:rPr>
        <w:t>0</w:t>
      </w:r>
      <w:r>
        <w:rPr>
          <w:rFonts w:eastAsia="仿宋_GB2312" w:hint="eastAsia"/>
          <w:sz w:val="30"/>
        </w:rPr>
        <w:t>个，评优率为</w:t>
      </w:r>
      <w:r>
        <w:rPr>
          <w:rFonts w:eastAsia="仿宋_GB2312" w:hint="eastAsia"/>
          <w:sz w:val="30"/>
        </w:rPr>
        <w:t>100.00%</w:t>
      </w:r>
      <w:r>
        <w:rPr>
          <w:rFonts w:eastAsia="仿宋_GB2312" w:hint="eastAsia"/>
          <w:sz w:val="30"/>
        </w:rPr>
        <w:t>。其中，一般公共预算一级项目</w:t>
      </w:r>
      <w:r>
        <w:rPr>
          <w:rFonts w:eastAsia="仿宋_GB2312" w:hint="eastAsia"/>
          <w:sz w:val="30"/>
        </w:rPr>
        <w:t>10</w:t>
      </w:r>
      <w:r>
        <w:rPr>
          <w:rFonts w:eastAsia="仿宋_GB2312" w:hint="eastAsia"/>
          <w:sz w:val="30"/>
        </w:rPr>
        <w:t>个，二级项目</w:t>
      </w:r>
      <w:r>
        <w:rPr>
          <w:rFonts w:eastAsia="仿宋_GB2312" w:hint="eastAsia"/>
          <w:sz w:val="30"/>
        </w:rPr>
        <w:t>0</w:t>
      </w:r>
      <w:r>
        <w:rPr>
          <w:rFonts w:eastAsia="仿宋_GB2312" w:hint="eastAsia"/>
          <w:sz w:val="30"/>
        </w:rPr>
        <w:t>个，共涉及资金</w:t>
      </w:r>
      <w:r>
        <w:rPr>
          <w:rFonts w:eastAsia="仿宋_GB2312" w:hint="eastAsia"/>
          <w:sz w:val="30"/>
        </w:rPr>
        <w:t>1329.55</w:t>
      </w:r>
      <w:r>
        <w:rPr>
          <w:rFonts w:eastAsia="仿宋_GB2312" w:hint="eastAsia"/>
          <w:sz w:val="30"/>
        </w:rPr>
        <w:t>万元，占一般公共预算项目支出总额的</w:t>
      </w:r>
      <w:r>
        <w:rPr>
          <w:rFonts w:eastAsia="仿宋_GB2312" w:hint="eastAsia"/>
          <w:sz w:val="30"/>
        </w:rPr>
        <w:t>100.00%</w:t>
      </w:r>
      <w:r>
        <w:rPr>
          <w:rFonts w:eastAsia="仿宋_GB2312" w:hint="eastAsia"/>
          <w:sz w:val="30"/>
        </w:rPr>
        <w:t>；政府性基金预算一级项目</w:t>
      </w:r>
      <w:r>
        <w:rPr>
          <w:rFonts w:eastAsia="仿宋_GB2312" w:hint="eastAsia"/>
          <w:sz w:val="30"/>
        </w:rPr>
        <w:t>0</w:t>
      </w:r>
      <w:r>
        <w:rPr>
          <w:rFonts w:eastAsia="仿宋_GB2312" w:hint="eastAsia"/>
          <w:sz w:val="30"/>
        </w:rPr>
        <w:t>个，二级项目</w:t>
      </w:r>
      <w:r>
        <w:rPr>
          <w:rFonts w:eastAsia="仿宋_GB2312" w:hint="eastAsia"/>
          <w:sz w:val="30"/>
        </w:rPr>
        <w:t>0</w:t>
      </w:r>
      <w:r>
        <w:rPr>
          <w:rFonts w:eastAsia="仿宋_GB2312" w:hint="eastAsia"/>
          <w:sz w:val="30"/>
        </w:rPr>
        <w:t>个</w:t>
      </w:r>
      <w:r>
        <w:rPr>
          <w:rFonts w:eastAsia="仿宋_GB2312" w:hint="eastAsia"/>
          <w:sz w:val="30"/>
        </w:rPr>
        <w:t xml:space="preserve">, </w:t>
      </w:r>
      <w:r>
        <w:rPr>
          <w:rFonts w:eastAsia="仿宋_GB2312" w:hint="eastAsia"/>
          <w:sz w:val="30"/>
        </w:rPr>
        <w:t>共涉及资金</w:t>
      </w:r>
      <w:r>
        <w:rPr>
          <w:rFonts w:eastAsia="仿宋_GB2312" w:hint="eastAsia"/>
          <w:sz w:val="30"/>
        </w:rPr>
        <w:t>0.00</w:t>
      </w:r>
      <w:r>
        <w:rPr>
          <w:rFonts w:eastAsia="仿宋_GB2312" w:hint="eastAsia"/>
          <w:sz w:val="30"/>
        </w:rPr>
        <w:t>万元，占政府性基金预算项目支出总额的</w:t>
      </w:r>
      <w:r>
        <w:rPr>
          <w:rFonts w:eastAsia="仿宋_GB2312" w:hint="eastAsia"/>
          <w:sz w:val="30"/>
        </w:rPr>
        <w:t>0.00%</w:t>
      </w:r>
      <w:r>
        <w:rPr>
          <w:rFonts w:eastAsia="仿宋_GB2312" w:hint="eastAsia"/>
          <w:sz w:val="30"/>
        </w:rPr>
        <w:t>；社保基金预算一级项目</w:t>
      </w:r>
      <w:r>
        <w:rPr>
          <w:rFonts w:eastAsia="仿宋_GB2312" w:hint="eastAsia"/>
          <w:sz w:val="30"/>
        </w:rPr>
        <w:t>0</w:t>
      </w:r>
      <w:r>
        <w:rPr>
          <w:rFonts w:eastAsia="仿宋_GB2312" w:hint="eastAsia"/>
          <w:sz w:val="30"/>
        </w:rPr>
        <w:t>个，二级项目</w:t>
      </w:r>
      <w:r>
        <w:rPr>
          <w:rFonts w:eastAsia="仿宋_GB2312" w:hint="eastAsia"/>
          <w:sz w:val="30"/>
        </w:rPr>
        <w:t>0</w:t>
      </w:r>
      <w:r>
        <w:rPr>
          <w:rFonts w:eastAsia="仿宋_GB2312" w:hint="eastAsia"/>
          <w:sz w:val="30"/>
        </w:rPr>
        <w:t>个</w:t>
      </w:r>
      <w:r>
        <w:rPr>
          <w:rFonts w:eastAsia="仿宋_GB2312" w:hint="eastAsia"/>
          <w:sz w:val="30"/>
        </w:rPr>
        <w:t xml:space="preserve">, </w:t>
      </w:r>
      <w:r>
        <w:rPr>
          <w:rFonts w:eastAsia="仿宋_GB2312" w:hint="eastAsia"/>
          <w:sz w:val="30"/>
        </w:rPr>
        <w:t>共涉及资金</w:t>
      </w:r>
      <w:r>
        <w:rPr>
          <w:rFonts w:eastAsia="仿宋_GB2312" w:hint="eastAsia"/>
          <w:sz w:val="30"/>
        </w:rPr>
        <w:t>0.00</w:t>
      </w:r>
      <w:r>
        <w:rPr>
          <w:rFonts w:eastAsia="仿宋_GB2312" w:hint="eastAsia"/>
          <w:sz w:val="30"/>
        </w:rPr>
        <w:t>万元，占社保基金预算项目支出总额的</w:t>
      </w:r>
      <w:r>
        <w:rPr>
          <w:rFonts w:eastAsia="仿宋_GB2312" w:hint="eastAsia"/>
          <w:sz w:val="30"/>
        </w:rPr>
        <w:t>0.00%</w:t>
      </w:r>
      <w:r>
        <w:rPr>
          <w:rFonts w:eastAsia="仿宋_GB2312" w:hint="eastAsia"/>
          <w:sz w:val="30"/>
        </w:rPr>
        <w:t>；国有资本经营预算一级项目</w:t>
      </w:r>
      <w:r>
        <w:rPr>
          <w:rFonts w:eastAsia="仿宋_GB2312" w:hint="eastAsia"/>
          <w:sz w:val="30"/>
        </w:rPr>
        <w:t>0</w:t>
      </w:r>
      <w:r>
        <w:rPr>
          <w:rFonts w:eastAsia="仿宋_GB2312" w:hint="eastAsia"/>
          <w:sz w:val="30"/>
        </w:rPr>
        <w:t>个，二级项目</w:t>
      </w:r>
      <w:r>
        <w:rPr>
          <w:rFonts w:eastAsia="仿宋_GB2312" w:hint="eastAsia"/>
          <w:sz w:val="30"/>
        </w:rPr>
        <w:t>0</w:t>
      </w:r>
      <w:r>
        <w:rPr>
          <w:rFonts w:eastAsia="仿宋_GB2312" w:hint="eastAsia"/>
          <w:sz w:val="30"/>
        </w:rPr>
        <w:t>个</w:t>
      </w:r>
      <w:r>
        <w:rPr>
          <w:rFonts w:eastAsia="仿宋_GB2312" w:hint="eastAsia"/>
          <w:sz w:val="30"/>
        </w:rPr>
        <w:t xml:space="preserve">, </w:t>
      </w:r>
      <w:r>
        <w:rPr>
          <w:rFonts w:eastAsia="仿宋_GB2312" w:hint="eastAsia"/>
          <w:sz w:val="30"/>
        </w:rPr>
        <w:t>共涉及资金</w:t>
      </w:r>
      <w:r>
        <w:rPr>
          <w:rFonts w:eastAsia="仿宋_GB2312" w:hint="eastAsia"/>
          <w:sz w:val="30"/>
        </w:rPr>
        <w:t>0.00</w:t>
      </w:r>
      <w:r>
        <w:rPr>
          <w:rFonts w:eastAsia="仿宋_GB2312" w:hint="eastAsia"/>
          <w:sz w:val="30"/>
        </w:rPr>
        <w:t>万元，占国有资本经营预算项目支出总额的</w:t>
      </w:r>
      <w:r>
        <w:rPr>
          <w:rFonts w:eastAsia="仿宋_GB2312" w:hint="eastAsia"/>
          <w:sz w:val="30"/>
        </w:rPr>
        <w:t>0.00%</w:t>
      </w:r>
      <w:r>
        <w:rPr>
          <w:rFonts w:eastAsia="仿宋_GB2312" w:hint="eastAsia"/>
          <w:sz w:val="30"/>
        </w:rPr>
        <w:t>。自评情况详见《</w:t>
      </w:r>
      <w:r>
        <w:rPr>
          <w:rFonts w:eastAsia="仿宋_GB2312" w:hint="eastAsia"/>
          <w:sz w:val="30"/>
        </w:rPr>
        <w:t>2021</w:t>
      </w:r>
      <w:r>
        <w:rPr>
          <w:rFonts w:eastAsia="仿宋_GB2312" w:hint="eastAsia"/>
          <w:sz w:val="30"/>
        </w:rPr>
        <w:t>年度市级部门绩效自评情况统计表》《</w:t>
      </w:r>
      <w:r>
        <w:rPr>
          <w:rFonts w:eastAsia="仿宋_GB2312" w:hint="eastAsia"/>
          <w:sz w:val="30"/>
        </w:rPr>
        <w:t>2021</w:t>
      </w:r>
      <w:r>
        <w:rPr>
          <w:rFonts w:eastAsia="仿宋_GB2312" w:hint="eastAsia"/>
          <w:sz w:val="30"/>
        </w:rPr>
        <w:t>年度县级项目支出绩效自评表》。</w:t>
      </w:r>
    </w:p>
    <w:p w:rsidR="000D1F55" w:rsidRDefault="00D93171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本部门整体支出合计</w:t>
      </w:r>
      <w:r>
        <w:rPr>
          <w:rFonts w:eastAsia="仿宋_GB2312" w:hint="eastAsia"/>
          <w:sz w:val="30"/>
        </w:rPr>
        <w:t>1406.27</w:t>
      </w:r>
      <w:r>
        <w:rPr>
          <w:rFonts w:eastAsia="仿宋_GB2312" w:hint="eastAsia"/>
          <w:sz w:val="30"/>
        </w:rPr>
        <w:t>万元，包括基本支出</w:t>
      </w:r>
      <w:r>
        <w:rPr>
          <w:rFonts w:eastAsia="仿宋_GB2312" w:hint="eastAsia"/>
          <w:sz w:val="30"/>
        </w:rPr>
        <w:t>75.15</w:t>
      </w:r>
      <w:r>
        <w:rPr>
          <w:rFonts w:eastAsia="仿宋_GB2312" w:hint="eastAsia"/>
          <w:sz w:val="30"/>
        </w:rPr>
        <w:t>万元，项目支出</w:t>
      </w:r>
      <w:r>
        <w:rPr>
          <w:rFonts w:eastAsia="仿宋_GB2312" w:hint="eastAsia"/>
          <w:sz w:val="30"/>
        </w:rPr>
        <w:t>1331.12</w:t>
      </w:r>
      <w:r>
        <w:rPr>
          <w:rFonts w:eastAsia="仿宋_GB2312" w:hint="eastAsia"/>
          <w:sz w:val="30"/>
        </w:rPr>
        <w:t>万元，其他支出</w:t>
      </w:r>
      <w:r>
        <w:rPr>
          <w:rFonts w:eastAsia="仿宋_GB2312" w:hint="eastAsia"/>
          <w:sz w:val="30"/>
        </w:rPr>
        <w:t>0.00</w:t>
      </w:r>
      <w:r>
        <w:rPr>
          <w:rFonts w:eastAsia="仿宋_GB2312" w:hint="eastAsia"/>
          <w:sz w:val="30"/>
        </w:rPr>
        <w:t>万元。。部门整体支出绩效评价自评综合得分</w:t>
      </w:r>
      <w:r>
        <w:rPr>
          <w:rFonts w:eastAsia="仿宋_GB2312" w:hint="eastAsia"/>
          <w:sz w:val="30"/>
        </w:rPr>
        <w:t>90.83</w:t>
      </w:r>
      <w:r>
        <w:rPr>
          <w:rFonts w:eastAsia="仿宋_GB2312" w:hint="eastAsia"/>
          <w:sz w:val="30"/>
        </w:rPr>
        <w:t>分，综合评价等级“优”。自评情况详见《</w:t>
      </w:r>
      <w:r>
        <w:rPr>
          <w:rFonts w:eastAsia="仿宋_GB2312" w:hint="eastAsia"/>
          <w:sz w:val="30"/>
        </w:rPr>
        <w:t>2021</w:t>
      </w:r>
      <w:r>
        <w:rPr>
          <w:rFonts w:eastAsia="仿宋_GB2312" w:hint="eastAsia"/>
          <w:sz w:val="30"/>
        </w:rPr>
        <w:t>年度部门整体支出绩效自评情况表》</w:t>
      </w:r>
    </w:p>
    <w:p w:rsidR="000D1F55" w:rsidRDefault="00D93171">
      <w:pPr>
        <w:numPr>
          <w:ilvl w:val="0"/>
          <w:numId w:val="2"/>
        </w:num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绩效目标实现情况</w:t>
      </w:r>
    </w:p>
    <w:p w:rsidR="000D1F55" w:rsidRDefault="00D93171">
      <w:pPr>
        <w:numPr>
          <w:ilvl w:val="0"/>
          <w:numId w:val="3"/>
        </w:numPr>
        <w:spacing w:line="360" w:lineRule="auto"/>
        <w:ind w:firstLineChars="100" w:firstLine="32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部门整体支出绩效目标完成情况</w:t>
      </w:r>
    </w:p>
    <w:p w:rsidR="000D1F55" w:rsidRDefault="00D93171">
      <w:pPr>
        <w:spacing w:line="360" w:lineRule="auto"/>
        <w:ind w:firstLineChars="200" w:firstLine="640"/>
        <w:rPr>
          <w:rFonts w:eastAsia="方正仿宋_GBK"/>
          <w:sz w:val="28"/>
        </w:rPr>
      </w:pPr>
      <w:r>
        <w:rPr>
          <w:rFonts w:eastAsia="仿宋_GB2312" w:hint="eastAsia"/>
          <w:sz w:val="32"/>
          <w:szCs w:val="32"/>
        </w:rPr>
        <w:t>紧紧围绕县委、县政府中心工作，认真贯彻落实《机关事务管理条例》及《河北省机关事务管理办法》文件精神，在本年度内，做好预算安排及支出工作，因执行中增加项目超出本年度预算，加强机关事务管理，规范机关事务工作，做好中央空调等相关设备设施的维保工作、做好机关食堂、</w:t>
      </w:r>
      <w:r>
        <w:rPr>
          <w:rFonts w:eastAsia="仿宋_GB2312" w:hint="eastAsia"/>
          <w:sz w:val="32"/>
          <w:szCs w:val="32"/>
        </w:rPr>
        <w:lastRenderedPageBreak/>
        <w:t>会议服务等管理工作，保证人员的工资支付率达到</w:t>
      </w:r>
      <w:r>
        <w:rPr>
          <w:rFonts w:eastAsia="仿宋_GB2312" w:hint="eastAsia"/>
          <w:sz w:val="32"/>
          <w:szCs w:val="32"/>
        </w:rPr>
        <w:t>100%</w:t>
      </w:r>
      <w:r>
        <w:rPr>
          <w:rFonts w:eastAsia="仿宋_GB2312" w:hint="eastAsia"/>
          <w:sz w:val="32"/>
          <w:szCs w:val="32"/>
        </w:rPr>
        <w:t>，及时缴纳各类保险，从而保障市民中心的正常运行和市民中心内部人员的正常工作环境，保障我单位人员的工资发放。达到降低运行成本，建设节约型机关的目标，力争将机关事务管理工作水平迈向新台阶</w:t>
      </w:r>
      <w:r>
        <w:rPr>
          <w:rFonts w:eastAsia="方正仿宋_GBK" w:hint="eastAsia"/>
          <w:sz w:val="28"/>
        </w:rPr>
        <w:t>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我部门认真履职，基本支出保障了机关在人员待遇发放和日常办公需求，完成了年初目标，项目支出保障了各个项目正常实施，保障了市民中心正常运转，个别项目缩减预算造成部分偏差，其他完成情况良好，财务管理和资产管理情况良好，绩效管理达到部门要求，绩效评价</w:t>
      </w:r>
      <w:r>
        <w:rPr>
          <w:rFonts w:eastAsia="仿宋_GB2312" w:hint="eastAsia"/>
          <w:sz w:val="32"/>
          <w:szCs w:val="32"/>
        </w:rPr>
        <w:t>100.00%</w:t>
      </w:r>
      <w:r>
        <w:rPr>
          <w:rFonts w:eastAsia="仿宋_GB2312" w:hint="eastAsia"/>
          <w:sz w:val="32"/>
          <w:szCs w:val="32"/>
        </w:rPr>
        <w:t>覆盖。我部门按相关要求、程序、预算报表格式编制部门预算，按照部门决算布置要求进行决算编制。按规定的时间报送财政局并及时在昌黎县府门户网站进行公示，部门产出执行良好，部门执行效果达到指标要求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我部门人员管理未出现超出人员编制情况。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预算编制情况，按照《预算法》及其实施条例的相关规定科学合理编制预算，严格执行预算。完成情况良好，支出进度良好，出现部分项目结转资金，在执行过程中与年初预算略有偏差，预算调整率超出</w:t>
      </w:r>
      <w:r>
        <w:rPr>
          <w:rFonts w:eastAsia="仿宋_GB2312" w:hint="eastAsia"/>
          <w:sz w:val="32"/>
          <w:szCs w:val="32"/>
        </w:rPr>
        <w:t>16.34%</w:t>
      </w:r>
      <w:r>
        <w:rPr>
          <w:rFonts w:eastAsia="仿宋_GB2312" w:hint="eastAsia"/>
          <w:sz w:val="32"/>
          <w:szCs w:val="32"/>
        </w:rPr>
        <w:t>；支出进度率</w:t>
      </w:r>
      <w:r>
        <w:rPr>
          <w:rFonts w:eastAsia="仿宋_GB2312" w:hint="eastAsia"/>
          <w:sz w:val="32"/>
          <w:szCs w:val="32"/>
        </w:rPr>
        <w:t>100%</w:t>
      </w:r>
      <w:r>
        <w:rPr>
          <w:rFonts w:eastAsia="仿宋_GB2312" w:hint="eastAsia"/>
          <w:sz w:val="32"/>
          <w:szCs w:val="32"/>
        </w:rPr>
        <w:t>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严格按照“三公”经费的政策要求执，因未发生三公经费。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严格执行政府采购程序，执行率</w:t>
      </w:r>
      <w:r>
        <w:rPr>
          <w:rFonts w:eastAsia="仿宋_GB2312" w:hint="eastAsia"/>
          <w:sz w:val="32"/>
          <w:szCs w:val="32"/>
        </w:rPr>
        <w:t>100.00%</w:t>
      </w:r>
      <w:r w:rsidR="009060F5">
        <w:rPr>
          <w:rFonts w:eastAsia="仿宋_GB2312" w:hint="eastAsia"/>
          <w:sz w:val="32"/>
          <w:szCs w:val="32"/>
        </w:rPr>
        <w:t>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我部门建立了相关的内控管理制度，使得财务管理更加规范，严格按照规章规定执行。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对固定资产的管理严格执行上级主管部门要求，及时登记资产卡片并入账</w:t>
      </w:r>
      <w:r>
        <w:rPr>
          <w:rFonts w:eastAsia="仿宋_GB2312" w:hint="eastAsia"/>
          <w:sz w:val="32"/>
          <w:szCs w:val="32"/>
        </w:rPr>
        <w:t>100.00%</w:t>
      </w:r>
      <w:r>
        <w:rPr>
          <w:rFonts w:eastAsia="仿宋_GB2312" w:hint="eastAsia"/>
          <w:sz w:val="32"/>
          <w:szCs w:val="32"/>
        </w:rPr>
        <w:t>，定期进行清查和盘点。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绩效管理，认真分析本部门履职职责，细致划分绩效目标，使得绩效目标贴近实际工作内容，更易进行评价，</w:t>
      </w:r>
      <w:r>
        <w:rPr>
          <w:rFonts w:eastAsia="仿宋_GB2312" w:hint="eastAsia"/>
          <w:sz w:val="32"/>
          <w:szCs w:val="32"/>
        </w:rPr>
        <w:t>100.0%</w:t>
      </w:r>
      <w:r>
        <w:rPr>
          <w:rFonts w:eastAsia="仿宋_GB2312" w:hint="eastAsia"/>
          <w:sz w:val="32"/>
          <w:szCs w:val="32"/>
        </w:rPr>
        <w:t>对项目资金进行评价。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我部门按相关要求、程序、预算报表格式编制部门预算，按照部门决算布置要求进行决算编制。按规定的时间报送财政局并及时在昌黎政府门户网站进行公示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（二）项目支出绩效目标完成情况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我部门</w:t>
      </w: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年年初专项项目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个，执行过程中调增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个共计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个项目，涉及项目资金</w:t>
      </w:r>
      <w:r>
        <w:rPr>
          <w:rFonts w:eastAsia="仿宋_GB2312" w:hint="eastAsia"/>
          <w:sz w:val="32"/>
          <w:szCs w:val="32"/>
        </w:rPr>
        <w:t>1329.55</w:t>
      </w:r>
      <w:r>
        <w:rPr>
          <w:rFonts w:eastAsia="仿宋_GB2312" w:hint="eastAsia"/>
          <w:sz w:val="32"/>
          <w:szCs w:val="32"/>
        </w:rPr>
        <w:t>万元。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年度履职期间，认真执行年初绩效目标。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合理安排资金，并严格把关，做到严谨规范，对于办公需求及时满足，认真按时限、按要求、按规定，严把程序关和手续关，保障了机关正常运转。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、本单位人员保障类项目，保障了在职</w:t>
      </w:r>
      <w:r>
        <w:rPr>
          <w:rFonts w:eastAsia="仿宋_GB2312" w:hint="eastAsia"/>
          <w:sz w:val="32"/>
          <w:szCs w:val="32"/>
        </w:rPr>
        <w:t>37</w:t>
      </w:r>
      <w:r>
        <w:rPr>
          <w:rFonts w:eastAsia="仿宋_GB2312" w:hint="eastAsia"/>
          <w:sz w:val="32"/>
          <w:szCs w:val="32"/>
        </w:rPr>
        <w:t>名人员工资和福利，提高工作履职积极性，执行情况良好。。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、中心运转类经费，保障了市民中心</w:t>
      </w:r>
      <w:r>
        <w:rPr>
          <w:rFonts w:eastAsia="仿宋_GB2312" w:hint="eastAsia"/>
          <w:sz w:val="32"/>
          <w:szCs w:val="32"/>
        </w:rPr>
        <w:t>35</w:t>
      </w:r>
      <w:r>
        <w:rPr>
          <w:rFonts w:eastAsia="仿宋_GB2312" w:hint="eastAsia"/>
          <w:sz w:val="32"/>
          <w:szCs w:val="32"/>
        </w:rPr>
        <w:t>家单位的正常运转，基本保障水电和零星维修项目。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、专项类维修项目保障了市民中心各类各设备的正常</w:t>
      </w:r>
      <w:r>
        <w:rPr>
          <w:rFonts w:eastAsia="仿宋_GB2312" w:hint="eastAsia"/>
          <w:sz w:val="32"/>
          <w:szCs w:val="32"/>
        </w:rPr>
        <w:lastRenderedPageBreak/>
        <w:t>运转。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未有未完成绩效目标或偏离绩效目标较大的内容。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存在问题：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绩效目标设立不够细化和量化，资金使用效益有待进一步提</w:t>
      </w:r>
      <w:r>
        <w:rPr>
          <w:rFonts w:eastAsia="仿宋_GB2312" w:hint="eastAsia"/>
          <w:sz w:val="32"/>
          <w:szCs w:val="32"/>
        </w:rPr>
        <w:t>、缺少更加具体的佐证材料。</w:t>
      </w:r>
    </w:p>
    <w:p w:rsidR="000D1F55" w:rsidRDefault="00D93171">
      <w:pPr>
        <w:numPr>
          <w:ilvl w:val="0"/>
          <w:numId w:val="2"/>
        </w:num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绩效目标设定质量情况</w:t>
      </w:r>
    </w:p>
    <w:p w:rsidR="000D1F55" w:rsidRDefault="00D93171">
      <w:pPr>
        <w:numPr>
          <w:ilvl w:val="0"/>
          <w:numId w:val="4"/>
        </w:num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整体绩效目标设定质量情况。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通过对</w:t>
      </w: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年的整体评价结果来看，</w:t>
      </w: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年我部门整理绩效目标设定质量情况良好，便于各个项目的评价，有效反应部门的整体运转情况和出现的具体问题，利于下年度整改和进一步提高部门运转效率。</w:t>
      </w:r>
    </w:p>
    <w:p w:rsidR="000D1F55" w:rsidRDefault="00D93171">
      <w:pPr>
        <w:numPr>
          <w:ilvl w:val="0"/>
          <w:numId w:val="4"/>
        </w:num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项目支出绩效目标设定质量情况。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我部门年初项目支出设定的绩效目标质量较好，全面的反映了各个项目的运行情况，绩效指标比较全面、科学合理易于评价。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我部门为推动预算绩效管理工作的可持续发展。将考核结果与</w:t>
      </w:r>
      <w:r>
        <w:rPr>
          <w:rFonts w:eastAsia="仿宋_GB2312"/>
          <w:sz w:val="32"/>
          <w:szCs w:val="32"/>
        </w:rPr>
        <w:t>下年度预算调整</w:t>
      </w:r>
      <w:r>
        <w:rPr>
          <w:rFonts w:eastAsia="仿宋_GB2312" w:hint="eastAsia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预算编制挂钩，作为重要依据，促进</w:t>
      </w:r>
      <w:r>
        <w:rPr>
          <w:rFonts w:eastAsia="仿宋_GB2312" w:hint="eastAsia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严格按照预算要求完成工作，提高预算资金的利用效率。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以单位内控为保障手段，根据国家相关政策建立健全并逐步完善单位内控管理制度，加强管理意识，严格按照内部管理控制制度的相关制度和要求，积极履职单位的各种职责</w:t>
      </w:r>
      <w:r>
        <w:rPr>
          <w:rFonts w:eastAsia="仿宋_GB2312" w:hint="eastAsia"/>
          <w:sz w:val="32"/>
          <w:szCs w:val="32"/>
        </w:rPr>
        <w:lastRenderedPageBreak/>
        <w:t>活动，对产生经济活动的风险进行防范和管控。</w:t>
      </w:r>
    </w:p>
    <w:p w:rsidR="000D1F55" w:rsidRDefault="00D93171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通过制定相关制度、实施措施和执行程序，逐步完善单位财务和业务相关制度。全方位提升单位从预算编制、预算执行、事中监控、事后评价的全过程执行效率和质量。</w:t>
      </w:r>
    </w:p>
    <w:p w:rsidR="000D1F55" w:rsidRDefault="00D93171">
      <w:pPr>
        <w:snapToGrid w:val="0"/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五、整改措施及结果应用</w:t>
      </w:r>
    </w:p>
    <w:p w:rsidR="009060F5" w:rsidRDefault="009060F5" w:rsidP="009060F5">
      <w:pPr>
        <w:pStyle w:val="a5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楷体" w:eastAsia="楷体" w:hAnsi="楷体" w:cs="??_GB2312"/>
          <w:bCs/>
          <w:color w:val="333333"/>
          <w:sz w:val="32"/>
          <w:szCs w:val="32"/>
          <w:shd w:val="clear" w:color="auto" w:fill="FFFFFF"/>
        </w:rPr>
      </w:pPr>
      <w:r>
        <w:rPr>
          <w:rFonts w:ascii="楷体" w:eastAsia="楷体" w:hAnsi="楷体" w:cs="??_GB2312" w:hint="eastAsia"/>
          <w:bCs/>
          <w:color w:val="333333"/>
          <w:sz w:val="32"/>
          <w:szCs w:val="32"/>
          <w:shd w:val="clear" w:color="auto" w:fill="FFFFFF"/>
        </w:rPr>
        <w:t>（一）结果应用</w:t>
      </w:r>
    </w:p>
    <w:p w:rsidR="009060F5" w:rsidRPr="00810969" w:rsidRDefault="009060F5" w:rsidP="00810969">
      <w:pPr>
        <w:spacing w:line="360" w:lineRule="auto"/>
        <w:ind w:firstLineChars="200" w:firstLine="640"/>
        <w:rPr>
          <w:rFonts w:ascii="仿宋_GB2312" w:eastAsia="仿宋_GB2312" w:hAnsi="仿宋" w:cs="??_GB2312" w:hint="eastAsia"/>
          <w:color w:val="333333"/>
          <w:sz w:val="32"/>
          <w:szCs w:val="32"/>
          <w:shd w:val="clear" w:color="auto" w:fill="FFFFFF"/>
        </w:rPr>
      </w:pPr>
      <w:r w:rsidRPr="00810969">
        <w:rPr>
          <w:rFonts w:ascii="仿宋_GB2312" w:eastAsia="仿宋_GB2312" w:hAnsi="仿宋" w:cs="??_GB2312" w:hint="eastAsia"/>
          <w:color w:val="333333"/>
          <w:sz w:val="32"/>
          <w:szCs w:val="32"/>
          <w:shd w:val="clear" w:color="auto" w:fill="FFFFFF"/>
        </w:rPr>
        <w:t>本次绩效自评为优，结果及内容将在政府官网进行公开，作为以后年度资金分配依据，接受社会监督。</w:t>
      </w:r>
    </w:p>
    <w:p w:rsidR="009060F5" w:rsidRDefault="009060F5" w:rsidP="009060F5">
      <w:pPr>
        <w:pStyle w:val="a5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楷体" w:eastAsia="楷体" w:hAnsi="楷体" w:cs="??_GB2312"/>
          <w:bCs/>
          <w:color w:val="333333"/>
          <w:sz w:val="32"/>
          <w:szCs w:val="32"/>
          <w:shd w:val="clear" w:color="auto" w:fill="FFFFFF"/>
        </w:rPr>
      </w:pPr>
      <w:r>
        <w:rPr>
          <w:rFonts w:ascii="楷体" w:eastAsia="楷体" w:hAnsi="楷体" w:cs="??_GB2312" w:hint="eastAsia"/>
          <w:bCs/>
          <w:color w:val="333333"/>
          <w:sz w:val="32"/>
          <w:szCs w:val="32"/>
          <w:shd w:val="clear" w:color="auto" w:fill="FFFFFF"/>
        </w:rPr>
        <w:t>（二）整改措施</w:t>
      </w:r>
    </w:p>
    <w:p w:rsidR="009060F5" w:rsidRPr="00810969" w:rsidRDefault="009060F5" w:rsidP="009060F5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" w:eastAsia="仿宋" w:hAnsi="仿宋" w:cs="??_GB2312" w:hint="eastAsia"/>
          <w:color w:val="333333"/>
          <w:sz w:val="32"/>
          <w:szCs w:val="32"/>
          <w:shd w:val="clear" w:color="auto" w:fill="FFFFFF"/>
        </w:rPr>
        <w:t>1、</w:t>
      </w:r>
      <w:r>
        <w:rPr>
          <w:rFonts w:eastAsia="仿宋_GB2312" w:hint="eastAsia"/>
          <w:sz w:val="32"/>
          <w:szCs w:val="32"/>
        </w:rPr>
        <w:t>针对绩效自评涉及满意度调查等方面存在的问题，研究制定的整改思路和工作措施，在</w:t>
      </w:r>
      <w:r>
        <w:rPr>
          <w:rFonts w:eastAsia="仿宋_GB2312" w:hint="eastAsia"/>
          <w:sz w:val="32"/>
          <w:szCs w:val="32"/>
          <w:lang w:val="zh-CN"/>
        </w:rPr>
        <w:t>健全制度、完善政策、改进管理、优化</w:t>
      </w:r>
      <w:r>
        <w:rPr>
          <w:rFonts w:eastAsia="仿宋_GB2312" w:hint="eastAsia"/>
          <w:sz w:val="32"/>
          <w:szCs w:val="32"/>
        </w:rPr>
        <w:t>流程等提高部门绩效方面的具体做法，在</w:t>
      </w:r>
      <w:r>
        <w:rPr>
          <w:rFonts w:eastAsia="仿宋_GB2312" w:hint="eastAsia"/>
          <w:sz w:val="32"/>
          <w:szCs w:val="32"/>
          <w:lang w:val="zh-CN"/>
        </w:rPr>
        <w:t>整合资金、调整项目及改善投向等优化部门支出结构方面的安排等</w:t>
      </w:r>
      <w:r w:rsidRPr="00810969">
        <w:rPr>
          <w:rFonts w:ascii="仿宋_GB2312" w:eastAsia="仿宋_GB2312" w:hint="eastAsia"/>
          <w:sz w:val="32"/>
          <w:szCs w:val="32"/>
          <w:lang w:val="zh-CN"/>
        </w:rPr>
        <w:t>结果应用情况。</w:t>
      </w:r>
    </w:p>
    <w:p w:rsidR="009060F5" w:rsidRPr="00810969" w:rsidRDefault="009060F5" w:rsidP="009060F5">
      <w:pPr>
        <w:pStyle w:val="a5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" w:cs="??_GB2312" w:hint="eastAsia"/>
          <w:color w:val="333333"/>
          <w:sz w:val="32"/>
          <w:szCs w:val="32"/>
          <w:shd w:val="clear" w:color="auto" w:fill="FFFFFF"/>
        </w:rPr>
      </w:pPr>
      <w:r w:rsidRPr="00810969">
        <w:rPr>
          <w:rFonts w:ascii="仿宋_GB2312" w:eastAsia="仿宋_GB2312" w:hAnsi="仿宋" w:cs="??_GB2312" w:hint="eastAsia"/>
          <w:color w:val="333333"/>
          <w:sz w:val="32"/>
          <w:szCs w:val="32"/>
          <w:shd w:val="clear" w:color="auto" w:fill="FFFFFF"/>
        </w:rPr>
        <w:t>2、细化预算编制工作，认真做好预算的编制。要进一步加强预算管理意识，严格按照预算编制的相关制度和要求，公用经费根据单位的年度工作重点和项目专项工作规划，本着“勤俭节约、保障运转”的原则进行预算的编制，编制范围尽可能的全面，进一步提高预算编制的完整性、科学性、合理性。</w:t>
      </w:r>
    </w:p>
    <w:p w:rsidR="009060F5" w:rsidRPr="00810969" w:rsidRDefault="009060F5" w:rsidP="009060F5">
      <w:pPr>
        <w:pStyle w:val="a5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" w:cs="??_GB2312" w:hint="eastAsia"/>
          <w:color w:val="333333"/>
          <w:sz w:val="32"/>
          <w:szCs w:val="32"/>
          <w:shd w:val="clear" w:color="auto" w:fill="FFFFFF"/>
        </w:rPr>
      </w:pPr>
      <w:r w:rsidRPr="00810969">
        <w:rPr>
          <w:rFonts w:ascii="仿宋_GB2312" w:eastAsia="仿宋_GB2312" w:hAnsi="仿宋" w:cs="??_GB2312" w:hint="eastAsia"/>
          <w:color w:val="333333"/>
          <w:sz w:val="32"/>
          <w:szCs w:val="32"/>
          <w:shd w:val="clear" w:color="auto" w:fill="FFFFFF"/>
        </w:rPr>
        <w:lastRenderedPageBreak/>
        <w:t>3、加强预算执行力度，减少资金沉淀，要加快督促项目工程的实施和验收，完善财务报账手续，防止项目资金滞留。</w:t>
      </w:r>
    </w:p>
    <w:p w:rsidR="009060F5" w:rsidRPr="00810969" w:rsidRDefault="009060F5" w:rsidP="009060F5">
      <w:pPr>
        <w:pStyle w:val="a5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" w:cs="??_GB2312" w:hint="eastAsia"/>
          <w:color w:val="333333"/>
          <w:sz w:val="32"/>
          <w:szCs w:val="32"/>
          <w:shd w:val="clear" w:color="auto" w:fill="FFFFFF"/>
        </w:rPr>
      </w:pPr>
      <w:r w:rsidRPr="00810969">
        <w:rPr>
          <w:rFonts w:ascii="仿宋_GB2312" w:eastAsia="仿宋_GB2312" w:hAnsi="仿宋" w:cs="??_GB2312" w:hint="eastAsia"/>
          <w:color w:val="333333"/>
          <w:sz w:val="32"/>
          <w:szCs w:val="32"/>
          <w:shd w:val="clear" w:color="auto" w:fill="FFFFFF"/>
        </w:rPr>
        <w:t>4、加强财务管理，严格财务审核，经费支出严格按预算规定项目的财务支出内容进行财务核算，在预算金额内严格控制费用的支出。加强政策学习，提高思想认识，组织相关人员认真学习《预算法》等相关法规、制度，提高单位领导对财务管理政策的重视。</w:t>
      </w:r>
    </w:p>
    <w:p w:rsidR="000D1F55" w:rsidRPr="009060F5" w:rsidRDefault="000D1F55">
      <w:pPr>
        <w:pStyle w:val="a5"/>
        <w:widowControl/>
        <w:shd w:val="clear" w:color="auto" w:fill="FFFFFF"/>
        <w:spacing w:beforeAutospacing="0" w:afterAutospacing="0" w:line="540" w:lineRule="atLeast"/>
        <w:jc w:val="right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</w:p>
    <w:p w:rsidR="000D1F55" w:rsidRDefault="000D1F55">
      <w:pPr>
        <w:pStyle w:val="a5"/>
        <w:widowControl/>
        <w:shd w:val="clear" w:color="auto" w:fill="FFFFFF"/>
        <w:spacing w:beforeAutospacing="0" w:afterAutospacing="0" w:line="540" w:lineRule="atLeast"/>
        <w:jc w:val="right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</w:p>
    <w:p w:rsidR="000D1F55" w:rsidRDefault="000D1F55">
      <w:pPr>
        <w:pStyle w:val="a5"/>
        <w:widowControl/>
        <w:shd w:val="clear" w:color="auto" w:fill="FFFFFF"/>
        <w:spacing w:beforeAutospacing="0" w:afterAutospacing="0" w:line="540" w:lineRule="atLeast"/>
        <w:jc w:val="right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</w:p>
    <w:p w:rsidR="000D1F55" w:rsidRDefault="000D1F55">
      <w:pPr>
        <w:pStyle w:val="a5"/>
        <w:widowControl/>
        <w:shd w:val="clear" w:color="auto" w:fill="FFFFFF"/>
        <w:spacing w:beforeAutospacing="0" w:afterAutospacing="0" w:line="540" w:lineRule="atLeast"/>
        <w:jc w:val="right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</w:p>
    <w:p w:rsidR="000D1F55" w:rsidRDefault="00D93171">
      <w:pPr>
        <w:pStyle w:val="a5"/>
        <w:widowControl/>
        <w:shd w:val="clear" w:color="auto" w:fill="FFFFFF"/>
        <w:wordWrap w:val="0"/>
        <w:spacing w:beforeAutospacing="0" w:afterAutospacing="0" w:line="540" w:lineRule="atLeast"/>
        <w:jc w:val="right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昌黎县机关事务服务中心</w:t>
      </w:r>
    </w:p>
    <w:p w:rsidR="000D1F55" w:rsidRDefault="00D93171">
      <w:pPr>
        <w:pStyle w:val="a5"/>
        <w:widowControl/>
        <w:shd w:val="clear" w:color="auto" w:fill="FFFFFF"/>
        <w:wordWrap w:val="0"/>
        <w:spacing w:beforeAutospacing="0" w:afterAutospacing="0" w:line="540" w:lineRule="atLeast"/>
        <w:jc w:val="right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2022年</w:t>
      </w:r>
      <w:r w:rsidR="009060F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月</w:t>
      </w:r>
      <w:r w:rsidR="009060F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28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日 </w:t>
      </w:r>
    </w:p>
    <w:sectPr w:rsidR="000D1F55" w:rsidSect="000D1F5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F68" w:rsidRDefault="005A5F68" w:rsidP="000D1F55">
      <w:r>
        <w:separator/>
      </w:r>
    </w:p>
  </w:endnote>
  <w:endnote w:type="continuationSeparator" w:id="1">
    <w:p w:rsidR="005A5F68" w:rsidRDefault="005A5F68" w:rsidP="000D1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宋体"/>
    <w:panose1 w:val="02000000000000000000"/>
    <w:charset w:val="86"/>
    <w:family w:val="roman"/>
    <w:pitch w:val="default"/>
    <w:sig w:usb0="00000000" w:usb1="00000000" w:usb2="00000000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F55" w:rsidRDefault="00572DE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0D1F55" w:rsidRDefault="00572DE5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D93171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10969">
                  <w:rPr>
                    <w:noProof/>
                  </w:rPr>
                  <w:t>8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F68" w:rsidRDefault="005A5F68" w:rsidP="000D1F55">
      <w:r>
        <w:separator/>
      </w:r>
    </w:p>
  </w:footnote>
  <w:footnote w:type="continuationSeparator" w:id="1">
    <w:p w:rsidR="005A5F68" w:rsidRDefault="005A5F68" w:rsidP="000D1F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052C61"/>
    <w:multiLevelType w:val="singleLevel"/>
    <w:tmpl w:val="CC052C6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E6538"/>
    <w:multiLevelType w:val="singleLevel"/>
    <w:tmpl w:val="EBAE653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9957124"/>
    <w:multiLevelType w:val="singleLevel"/>
    <w:tmpl w:val="1995712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C0EB0ED"/>
    <w:multiLevelType w:val="singleLevel"/>
    <w:tmpl w:val="7C0EB0E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12867"/>
    <w:rsid w:val="000D1F55"/>
    <w:rsid w:val="00412867"/>
    <w:rsid w:val="00437979"/>
    <w:rsid w:val="00456F3B"/>
    <w:rsid w:val="00572DE5"/>
    <w:rsid w:val="005A5F68"/>
    <w:rsid w:val="007C06A7"/>
    <w:rsid w:val="00810969"/>
    <w:rsid w:val="009060F5"/>
    <w:rsid w:val="00C4103C"/>
    <w:rsid w:val="00CF224B"/>
    <w:rsid w:val="00D85B72"/>
    <w:rsid w:val="00D93171"/>
    <w:rsid w:val="00F669A4"/>
    <w:rsid w:val="024D6F9F"/>
    <w:rsid w:val="03D0014E"/>
    <w:rsid w:val="05530C4B"/>
    <w:rsid w:val="077A3B4A"/>
    <w:rsid w:val="07B63FBA"/>
    <w:rsid w:val="08986F9A"/>
    <w:rsid w:val="092B2D4F"/>
    <w:rsid w:val="095D751E"/>
    <w:rsid w:val="09977F10"/>
    <w:rsid w:val="09DC2579"/>
    <w:rsid w:val="0B181275"/>
    <w:rsid w:val="0C120B17"/>
    <w:rsid w:val="0D912F05"/>
    <w:rsid w:val="129D0A64"/>
    <w:rsid w:val="12E56B03"/>
    <w:rsid w:val="148B0403"/>
    <w:rsid w:val="14E51E69"/>
    <w:rsid w:val="16F42A6A"/>
    <w:rsid w:val="17CE5752"/>
    <w:rsid w:val="18576D1E"/>
    <w:rsid w:val="19430980"/>
    <w:rsid w:val="1BFD58C2"/>
    <w:rsid w:val="1C2C0501"/>
    <w:rsid w:val="1C6B232F"/>
    <w:rsid w:val="1D360C07"/>
    <w:rsid w:val="1DDF40E3"/>
    <w:rsid w:val="1E5840CD"/>
    <w:rsid w:val="1ED615BE"/>
    <w:rsid w:val="1FBB79AF"/>
    <w:rsid w:val="23B26896"/>
    <w:rsid w:val="27B24DB3"/>
    <w:rsid w:val="283B37BF"/>
    <w:rsid w:val="29D86EF7"/>
    <w:rsid w:val="2C972B32"/>
    <w:rsid w:val="2DDD2768"/>
    <w:rsid w:val="362D31A3"/>
    <w:rsid w:val="36651CD7"/>
    <w:rsid w:val="38B469AC"/>
    <w:rsid w:val="3A6B6CE4"/>
    <w:rsid w:val="3AD777CF"/>
    <w:rsid w:val="3BF57A54"/>
    <w:rsid w:val="3BFF2D48"/>
    <w:rsid w:val="3C662979"/>
    <w:rsid w:val="3D5C2229"/>
    <w:rsid w:val="3D931E77"/>
    <w:rsid w:val="3ED407F8"/>
    <w:rsid w:val="45014FA1"/>
    <w:rsid w:val="46B3316A"/>
    <w:rsid w:val="46E1301B"/>
    <w:rsid w:val="48260DF0"/>
    <w:rsid w:val="482F238F"/>
    <w:rsid w:val="48761D5A"/>
    <w:rsid w:val="49BE416D"/>
    <w:rsid w:val="4D3E199D"/>
    <w:rsid w:val="4D873156"/>
    <w:rsid w:val="4EB42B9F"/>
    <w:rsid w:val="4F222F32"/>
    <w:rsid w:val="50455330"/>
    <w:rsid w:val="508B5328"/>
    <w:rsid w:val="508E71CE"/>
    <w:rsid w:val="5256605C"/>
    <w:rsid w:val="52950EA0"/>
    <w:rsid w:val="52D27021"/>
    <w:rsid w:val="55071F57"/>
    <w:rsid w:val="559B1CF3"/>
    <w:rsid w:val="56076830"/>
    <w:rsid w:val="56CE0D17"/>
    <w:rsid w:val="57563B83"/>
    <w:rsid w:val="57EE1891"/>
    <w:rsid w:val="57FE512F"/>
    <w:rsid w:val="58D10B76"/>
    <w:rsid w:val="59450230"/>
    <w:rsid w:val="594C044D"/>
    <w:rsid w:val="5A89250B"/>
    <w:rsid w:val="5BDE16DC"/>
    <w:rsid w:val="5C042304"/>
    <w:rsid w:val="5D6C40C3"/>
    <w:rsid w:val="5E0E1725"/>
    <w:rsid w:val="60367520"/>
    <w:rsid w:val="61BF59FA"/>
    <w:rsid w:val="636F6FE4"/>
    <w:rsid w:val="63C169AF"/>
    <w:rsid w:val="63CF1E7F"/>
    <w:rsid w:val="64B3787C"/>
    <w:rsid w:val="65F866C9"/>
    <w:rsid w:val="6695612B"/>
    <w:rsid w:val="68D0380E"/>
    <w:rsid w:val="6B8D29F4"/>
    <w:rsid w:val="6CCB6AE5"/>
    <w:rsid w:val="6D5106D2"/>
    <w:rsid w:val="6E0772EA"/>
    <w:rsid w:val="70E7514C"/>
    <w:rsid w:val="713316A3"/>
    <w:rsid w:val="726C5969"/>
    <w:rsid w:val="72C85311"/>
    <w:rsid w:val="73B140FB"/>
    <w:rsid w:val="7512148F"/>
    <w:rsid w:val="77A31B69"/>
    <w:rsid w:val="78F43D98"/>
    <w:rsid w:val="7A927CBE"/>
    <w:rsid w:val="7BD53997"/>
    <w:rsid w:val="7DCF2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F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D1F5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D1F5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rsid w:val="000D1F55"/>
    <w:pPr>
      <w:spacing w:beforeAutospacing="1" w:afterAutospacing="1"/>
      <w:jc w:val="left"/>
    </w:pPr>
    <w:rPr>
      <w:kern w:val="0"/>
      <w:sz w:val="24"/>
    </w:rPr>
  </w:style>
  <w:style w:type="paragraph" w:customStyle="1" w:styleId="CharCharCharChar">
    <w:name w:val="Char Char Char Char"/>
    <w:basedOn w:val="a"/>
    <w:qFormat/>
    <w:rsid w:val="000D1F55"/>
    <w:rPr>
      <w:rFonts w:ascii="Tahoma" w:hAnsi="Tahoma"/>
      <w:sz w:val="24"/>
      <w:szCs w:val="20"/>
    </w:rPr>
  </w:style>
  <w:style w:type="character" w:customStyle="1" w:styleId="font21">
    <w:name w:val="font21"/>
    <w:basedOn w:val="a0"/>
    <w:qFormat/>
    <w:rsid w:val="000D1F55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bjh-p">
    <w:name w:val="bjh-p"/>
    <w:basedOn w:val="a0"/>
    <w:qFormat/>
    <w:rsid w:val="000D1F55"/>
  </w:style>
  <w:style w:type="character" w:customStyle="1" w:styleId="font11">
    <w:name w:val="font11"/>
    <w:basedOn w:val="a0"/>
    <w:qFormat/>
    <w:rsid w:val="000D1F55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sid w:val="000D1F55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01">
    <w:name w:val="font01"/>
    <w:basedOn w:val="a0"/>
    <w:qFormat/>
    <w:rsid w:val="000D1F55"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customStyle="1" w:styleId="Char">
    <w:name w:val="Char"/>
    <w:basedOn w:val="a"/>
    <w:rsid w:val="009060F5"/>
    <w:pPr>
      <w:widowControl/>
      <w:spacing w:after="160" w:line="240" w:lineRule="exact"/>
      <w:jc w:val="left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611</Words>
  <Characters>3485</Characters>
  <Application>Microsoft Office Word</Application>
  <DocSecurity>0</DocSecurity>
  <Lines>29</Lines>
  <Paragraphs>8</Paragraphs>
  <ScaleCrop>false</ScaleCrop>
  <Company>微软中国</Company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2021-05-20T06:10:00Z</cp:lastPrinted>
  <dcterms:created xsi:type="dcterms:W3CDTF">2020-10-26T02:25:00Z</dcterms:created>
  <dcterms:modified xsi:type="dcterms:W3CDTF">2022-03-23T06:34:00Z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