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12</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436昌黎县重点项目服务中心</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44.67</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33.96</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4.94</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3.30</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2.47</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44.67</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44.67</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44.67</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44.67</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436昌黎县重点项目服务中心</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44.67</w:t>
            </w:r>
          </w:p>
        </w:tc>
        <w:tc>
          <w:tcPr>
            <w:tcW w:w="1134" w:type="dxa"/>
            <w:tcBorders>
              <w:top w:val="single" w:sz="6" w:space="0" w:color="auto"/>
              <w:left w:val="single" w:sz="6" w:space="0" w:color="auto"/>
              <w:right w:val="single" w:sz="6" w:space="0" w:color="auto"/>
            </w:tcBorders>
            <w:vAlign w:val="center"/>
          </w:tcPr>
          <w:p>
            <w:pPr>
              <w:pStyle w:val="23"/>
            </w:pPr>
            <w:r>
              <w:t>44.67</w:t>
            </w:r>
          </w:p>
        </w:tc>
        <w:tc>
          <w:tcPr>
            <w:tcW w:w="1134" w:type="dxa"/>
            <w:tcBorders>
              <w:top w:val="single" w:sz="6" w:space="0" w:color="auto"/>
              <w:left w:val="single" w:sz="6" w:space="0" w:color="auto"/>
              <w:right w:val="single" w:sz="6" w:space="0" w:color="auto"/>
            </w:tcBorders>
            <w:vAlign w:val="center"/>
          </w:tcPr>
          <w:p>
            <w:pPr>
              <w:pStyle w:val="23"/>
            </w:pPr>
            <w:r>
              <w:t>44.67</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33.96</w:t>
            </w:r>
          </w:p>
        </w:tc>
        <w:tc>
          <w:tcPr>
            <w:tcW w:w="1134" w:type="dxa"/>
            <w:tcBorders>
              <w:top w:val="single" w:sz="6" w:space="0" w:color="auto"/>
              <w:left w:val="single" w:sz="6" w:space="0" w:color="auto"/>
              <w:right w:val="single" w:sz="6" w:space="0" w:color="auto"/>
            </w:tcBorders>
            <w:vAlign w:val="center"/>
          </w:tcPr>
          <w:p>
            <w:pPr>
              <w:pStyle w:val="19"/>
            </w:pPr>
            <w:r>
              <w:t>33.96</w:t>
            </w:r>
          </w:p>
        </w:tc>
        <w:tc>
          <w:tcPr>
            <w:tcW w:w="1134" w:type="dxa"/>
            <w:tcBorders>
              <w:top w:val="single" w:sz="6" w:space="0" w:color="auto"/>
              <w:left w:val="single" w:sz="6" w:space="0" w:color="auto"/>
              <w:right w:val="single" w:sz="6" w:space="0" w:color="auto"/>
            </w:tcBorders>
            <w:vAlign w:val="center"/>
          </w:tcPr>
          <w:p>
            <w:pPr>
              <w:pStyle w:val="19"/>
            </w:pPr>
            <w:r>
              <w:t>33.96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20104</w:t>
            </w:r>
          </w:p>
        </w:tc>
        <w:tc>
          <w:tcPr>
            <w:tcW w:w="1559" w:type="dxa"/>
            <w:tcBorders>
              <w:top w:val="single" w:sz="6" w:space="0" w:color="auto"/>
              <w:left w:val="single" w:sz="6" w:space="0" w:color="auto"/>
              <w:right w:val="single" w:sz="6" w:space="0" w:color="auto"/>
            </w:tcBorders>
            <w:vAlign w:val="center"/>
          </w:tcPr>
          <w:p>
            <w:pPr>
              <w:pStyle w:val="20"/>
            </w:pPr>
            <w:r>
              <w:t>发展与改革事务</w:t>
            </w:r>
          </w:p>
        </w:tc>
        <w:tc>
          <w:tcPr>
            <w:tcW w:w="1134" w:type="dxa"/>
            <w:tcBorders>
              <w:top w:val="single" w:sz="6" w:space="0" w:color="auto"/>
              <w:left w:val="single" w:sz="6" w:space="0" w:color="auto"/>
              <w:right w:val="single" w:sz="6" w:space="0" w:color="auto"/>
            </w:tcBorders>
            <w:vAlign w:val="center"/>
          </w:tcPr>
          <w:p>
            <w:pPr>
              <w:pStyle w:val="19"/>
            </w:pPr>
            <w:r>
              <w:t>33.96</w:t>
            </w:r>
          </w:p>
        </w:tc>
        <w:tc>
          <w:tcPr>
            <w:tcW w:w="1134" w:type="dxa"/>
            <w:tcBorders>
              <w:top w:val="single" w:sz="6" w:space="0" w:color="auto"/>
              <w:left w:val="single" w:sz="6" w:space="0" w:color="auto"/>
              <w:right w:val="single" w:sz="6" w:space="0" w:color="auto"/>
            </w:tcBorders>
            <w:vAlign w:val="center"/>
          </w:tcPr>
          <w:p>
            <w:pPr>
              <w:pStyle w:val="19"/>
            </w:pPr>
            <w:r>
              <w:t>33.96</w:t>
            </w:r>
          </w:p>
        </w:tc>
        <w:tc>
          <w:tcPr>
            <w:tcW w:w="1134" w:type="dxa"/>
            <w:tcBorders>
              <w:top w:val="single" w:sz="6" w:space="0" w:color="auto"/>
              <w:left w:val="single" w:sz="6" w:space="0" w:color="auto"/>
              <w:right w:val="single" w:sz="6" w:space="0" w:color="auto"/>
            </w:tcBorders>
            <w:vAlign w:val="center"/>
          </w:tcPr>
          <w:p>
            <w:pPr>
              <w:pStyle w:val="19"/>
            </w:pPr>
            <w:r>
              <w:t>33.96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2010450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33.96</w:t>
            </w:r>
          </w:p>
        </w:tc>
        <w:tc>
          <w:tcPr>
            <w:tcW w:w="1134" w:type="dxa"/>
            <w:tcBorders>
              <w:top w:val="single" w:sz="6" w:space="0" w:color="auto"/>
              <w:left w:val="single" w:sz="6" w:space="0" w:color="auto"/>
              <w:right w:val="single" w:sz="6" w:space="0" w:color="auto"/>
            </w:tcBorders>
            <w:vAlign w:val="center"/>
          </w:tcPr>
          <w:p>
            <w:pPr>
              <w:pStyle w:val="19"/>
            </w:pPr>
            <w:r>
              <w:t>33.96</w:t>
            </w:r>
          </w:p>
        </w:tc>
        <w:tc>
          <w:tcPr>
            <w:tcW w:w="1134" w:type="dxa"/>
            <w:tcBorders>
              <w:top w:val="single" w:sz="6" w:space="0" w:color="auto"/>
              <w:left w:val="single" w:sz="6" w:space="0" w:color="auto"/>
              <w:right w:val="single" w:sz="6" w:space="0" w:color="auto"/>
            </w:tcBorders>
            <w:vAlign w:val="center"/>
          </w:tcPr>
          <w:p>
            <w:pPr>
              <w:pStyle w:val="19"/>
            </w:pPr>
            <w:r>
              <w:t>33.96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4.94</w:t>
            </w:r>
          </w:p>
        </w:tc>
        <w:tc>
          <w:tcPr>
            <w:tcW w:w="1134" w:type="dxa"/>
            <w:tcBorders>
              <w:top w:val="single" w:sz="6" w:space="0" w:color="auto"/>
              <w:left w:val="single" w:sz="6" w:space="0" w:color="auto"/>
              <w:right w:val="single" w:sz="6" w:space="0" w:color="auto"/>
            </w:tcBorders>
            <w:vAlign w:val="center"/>
          </w:tcPr>
          <w:p>
            <w:pPr>
              <w:pStyle w:val="19"/>
            </w:pPr>
            <w:r>
              <w:t>4.94</w:t>
            </w:r>
          </w:p>
        </w:tc>
        <w:tc>
          <w:tcPr>
            <w:tcW w:w="1134" w:type="dxa"/>
            <w:tcBorders>
              <w:top w:val="single" w:sz="6" w:space="0" w:color="auto"/>
              <w:left w:val="single" w:sz="6" w:space="0" w:color="auto"/>
              <w:right w:val="single" w:sz="6" w:space="0" w:color="auto"/>
            </w:tcBorders>
            <w:vAlign w:val="center"/>
          </w:tcPr>
          <w:p>
            <w:pPr>
              <w:pStyle w:val="19"/>
            </w:pPr>
            <w:r>
              <w:t>4.94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4.94</w:t>
            </w:r>
          </w:p>
        </w:tc>
        <w:tc>
          <w:tcPr>
            <w:tcW w:w="1134" w:type="dxa"/>
            <w:tcBorders>
              <w:top w:val="single" w:sz="6" w:space="0" w:color="auto"/>
              <w:left w:val="single" w:sz="6" w:space="0" w:color="auto"/>
              <w:right w:val="single" w:sz="6" w:space="0" w:color="auto"/>
            </w:tcBorders>
            <w:vAlign w:val="center"/>
          </w:tcPr>
          <w:p>
            <w:pPr>
              <w:pStyle w:val="19"/>
            </w:pPr>
            <w:r>
              <w:t>4.94</w:t>
            </w:r>
          </w:p>
        </w:tc>
        <w:tc>
          <w:tcPr>
            <w:tcW w:w="1134" w:type="dxa"/>
            <w:tcBorders>
              <w:top w:val="single" w:sz="6" w:space="0" w:color="auto"/>
              <w:left w:val="single" w:sz="6" w:space="0" w:color="auto"/>
              <w:right w:val="single" w:sz="6" w:space="0" w:color="auto"/>
            </w:tcBorders>
            <w:vAlign w:val="center"/>
          </w:tcPr>
          <w:p>
            <w:pPr>
              <w:pStyle w:val="19"/>
            </w:pPr>
            <w:r>
              <w:t>4.94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4.94</w:t>
            </w:r>
          </w:p>
        </w:tc>
        <w:tc>
          <w:tcPr>
            <w:tcW w:w="1134" w:type="dxa"/>
            <w:tcBorders>
              <w:top w:val="single" w:sz="6" w:space="0" w:color="auto"/>
              <w:left w:val="single" w:sz="6" w:space="0" w:color="auto"/>
              <w:right w:val="single" w:sz="6" w:space="0" w:color="auto"/>
            </w:tcBorders>
            <w:vAlign w:val="center"/>
          </w:tcPr>
          <w:p>
            <w:pPr>
              <w:pStyle w:val="19"/>
            </w:pPr>
            <w:r>
              <w:t>4.94</w:t>
            </w:r>
          </w:p>
        </w:tc>
        <w:tc>
          <w:tcPr>
            <w:tcW w:w="1134" w:type="dxa"/>
            <w:tcBorders>
              <w:top w:val="single" w:sz="6" w:space="0" w:color="auto"/>
              <w:left w:val="single" w:sz="6" w:space="0" w:color="auto"/>
              <w:right w:val="single" w:sz="6" w:space="0" w:color="auto"/>
            </w:tcBorders>
            <w:vAlign w:val="center"/>
          </w:tcPr>
          <w:p>
            <w:pPr>
              <w:pStyle w:val="19"/>
            </w:pPr>
            <w:r>
              <w:t>4.94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2.47</w:t>
            </w:r>
          </w:p>
        </w:tc>
        <w:tc>
          <w:tcPr>
            <w:tcW w:w="1134" w:type="dxa"/>
            <w:tcBorders>
              <w:top w:val="single" w:sz="6" w:space="0" w:color="auto"/>
              <w:left w:val="single" w:sz="6" w:space="0" w:color="auto"/>
              <w:right w:val="single" w:sz="6" w:space="0" w:color="auto"/>
            </w:tcBorders>
            <w:vAlign w:val="center"/>
          </w:tcPr>
          <w:p>
            <w:pPr>
              <w:pStyle w:val="19"/>
            </w:pPr>
            <w:r>
              <w:t>2.47</w:t>
            </w:r>
          </w:p>
        </w:tc>
        <w:tc>
          <w:tcPr>
            <w:tcW w:w="1134" w:type="dxa"/>
            <w:tcBorders>
              <w:top w:val="single" w:sz="6" w:space="0" w:color="auto"/>
              <w:left w:val="single" w:sz="6" w:space="0" w:color="auto"/>
              <w:right w:val="single" w:sz="6" w:space="0" w:color="auto"/>
            </w:tcBorders>
            <w:vAlign w:val="center"/>
          </w:tcPr>
          <w:p>
            <w:pPr>
              <w:pStyle w:val="19"/>
            </w:pPr>
            <w:r>
              <w:t>2.47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2.47</w:t>
            </w:r>
          </w:p>
        </w:tc>
        <w:tc>
          <w:tcPr>
            <w:tcW w:w="1134" w:type="dxa"/>
            <w:tcBorders>
              <w:top w:val="single" w:sz="6" w:space="0" w:color="auto"/>
              <w:left w:val="single" w:sz="6" w:space="0" w:color="auto"/>
              <w:right w:val="single" w:sz="6" w:space="0" w:color="auto"/>
            </w:tcBorders>
            <w:vAlign w:val="center"/>
          </w:tcPr>
          <w:p>
            <w:pPr>
              <w:pStyle w:val="19"/>
            </w:pPr>
            <w:r>
              <w:t>2.47</w:t>
            </w:r>
          </w:p>
        </w:tc>
        <w:tc>
          <w:tcPr>
            <w:tcW w:w="1134" w:type="dxa"/>
            <w:tcBorders>
              <w:top w:val="single" w:sz="6" w:space="0" w:color="auto"/>
              <w:left w:val="single" w:sz="6" w:space="0" w:color="auto"/>
              <w:right w:val="single" w:sz="6" w:space="0" w:color="auto"/>
            </w:tcBorders>
            <w:vAlign w:val="center"/>
          </w:tcPr>
          <w:p>
            <w:pPr>
              <w:pStyle w:val="19"/>
            </w:pPr>
            <w:r>
              <w:t>2.47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2.47</w:t>
            </w:r>
          </w:p>
        </w:tc>
        <w:tc>
          <w:tcPr>
            <w:tcW w:w="1134" w:type="dxa"/>
            <w:tcBorders>
              <w:top w:val="single" w:sz="6" w:space="0" w:color="auto"/>
              <w:left w:val="single" w:sz="6" w:space="0" w:color="auto"/>
              <w:right w:val="single" w:sz="6" w:space="0" w:color="auto"/>
            </w:tcBorders>
            <w:vAlign w:val="center"/>
          </w:tcPr>
          <w:p>
            <w:pPr>
              <w:pStyle w:val="19"/>
            </w:pPr>
            <w:r>
              <w:t>2.47</w:t>
            </w:r>
          </w:p>
        </w:tc>
        <w:tc>
          <w:tcPr>
            <w:tcW w:w="1134" w:type="dxa"/>
            <w:tcBorders>
              <w:top w:val="single" w:sz="6" w:space="0" w:color="auto"/>
              <w:left w:val="single" w:sz="6" w:space="0" w:color="auto"/>
              <w:right w:val="single" w:sz="6" w:space="0" w:color="auto"/>
            </w:tcBorders>
            <w:vAlign w:val="center"/>
          </w:tcPr>
          <w:p>
            <w:pPr>
              <w:pStyle w:val="19"/>
            </w:pPr>
            <w:r>
              <w:t>2.47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436昌黎县重点项目服务中心</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44.67</w:t>
            </w:r>
          </w:p>
        </w:tc>
        <w:tc>
          <w:tcPr>
            <w:tcW w:w="1361" w:type="dxa"/>
            <w:tcBorders>
              <w:top w:val="single" w:sz="6" w:space="0" w:color="auto"/>
              <w:left w:val="single" w:sz="6" w:space="0" w:color="auto"/>
              <w:right w:val="single" w:sz="6" w:space="0" w:color="auto"/>
            </w:tcBorders>
            <w:vAlign w:val="center"/>
          </w:tcPr>
          <w:p>
            <w:pPr>
              <w:pStyle w:val="23"/>
            </w:pPr>
            <w:r>
              <w:t>44.67</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33.96</w:t>
            </w:r>
          </w:p>
        </w:tc>
        <w:tc>
          <w:tcPr>
            <w:tcW w:w="1361" w:type="dxa"/>
            <w:tcBorders>
              <w:top w:val="single" w:sz="6" w:space="0" w:color="auto"/>
              <w:left w:val="single" w:sz="6" w:space="0" w:color="auto"/>
              <w:right w:val="single" w:sz="6" w:space="0" w:color="auto"/>
            </w:tcBorders>
            <w:vAlign w:val="center"/>
          </w:tcPr>
          <w:p>
            <w:pPr>
              <w:pStyle w:val="19"/>
            </w:pPr>
            <w:r>
              <w:t>33.96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20104</w:t>
            </w:r>
          </w:p>
        </w:tc>
        <w:tc>
          <w:tcPr>
            <w:tcW w:w="4535" w:type="dxa"/>
            <w:tcBorders>
              <w:top w:val="single" w:sz="6" w:space="0" w:color="auto"/>
              <w:left w:val="single" w:sz="6" w:space="0" w:color="auto"/>
              <w:right w:val="single" w:sz="6" w:space="0" w:color="auto"/>
            </w:tcBorders>
            <w:vAlign w:val="center"/>
          </w:tcPr>
          <w:p>
            <w:pPr>
              <w:pStyle w:val="20"/>
            </w:pPr>
            <w:r>
              <w:t>发展与改革事务</w:t>
            </w:r>
          </w:p>
        </w:tc>
        <w:tc>
          <w:tcPr>
            <w:tcW w:w="1361" w:type="dxa"/>
            <w:tcBorders>
              <w:top w:val="single" w:sz="6" w:space="0" w:color="auto"/>
              <w:left w:val="single" w:sz="6" w:space="0" w:color="auto"/>
              <w:right w:val="single" w:sz="6" w:space="0" w:color="auto"/>
            </w:tcBorders>
            <w:vAlign w:val="center"/>
          </w:tcPr>
          <w:p>
            <w:pPr>
              <w:pStyle w:val="19"/>
            </w:pPr>
            <w:r>
              <w:t>33.96</w:t>
            </w:r>
          </w:p>
        </w:tc>
        <w:tc>
          <w:tcPr>
            <w:tcW w:w="1361" w:type="dxa"/>
            <w:tcBorders>
              <w:top w:val="single" w:sz="6" w:space="0" w:color="auto"/>
              <w:left w:val="single" w:sz="6" w:space="0" w:color="auto"/>
              <w:right w:val="single" w:sz="6" w:space="0" w:color="auto"/>
            </w:tcBorders>
            <w:vAlign w:val="center"/>
          </w:tcPr>
          <w:p>
            <w:pPr>
              <w:pStyle w:val="19"/>
            </w:pPr>
            <w:r>
              <w:t>33.96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2010450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33.96</w:t>
            </w:r>
          </w:p>
        </w:tc>
        <w:tc>
          <w:tcPr>
            <w:tcW w:w="1361" w:type="dxa"/>
            <w:tcBorders>
              <w:top w:val="single" w:sz="6" w:space="0" w:color="auto"/>
              <w:left w:val="single" w:sz="6" w:space="0" w:color="auto"/>
              <w:right w:val="single" w:sz="6" w:space="0" w:color="auto"/>
            </w:tcBorders>
            <w:vAlign w:val="center"/>
          </w:tcPr>
          <w:p>
            <w:pPr>
              <w:pStyle w:val="19"/>
            </w:pPr>
            <w:r>
              <w:t>33.96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4.94</w:t>
            </w:r>
          </w:p>
        </w:tc>
        <w:tc>
          <w:tcPr>
            <w:tcW w:w="1361" w:type="dxa"/>
            <w:tcBorders>
              <w:top w:val="single" w:sz="6" w:space="0" w:color="auto"/>
              <w:left w:val="single" w:sz="6" w:space="0" w:color="auto"/>
              <w:right w:val="single" w:sz="6" w:space="0" w:color="auto"/>
            </w:tcBorders>
            <w:vAlign w:val="center"/>
          </w:tcPr>
          <w:p>
            <w:pPr>
              <w:pStyle w:val="19"/>
            </w:pPr>
            <w:r>
              <w:t>4.94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4.94</w:t>
            </w:r>
          </w:p>
        </w:tc>
        <w:tc>
          <w:tcPr>
            <w:tcW w:w="1361" w:type="dxa"/>
            <w:tcBorders>
              <w:top w:val="single" w:sz="6" w:space="0" w:color="auto"/>
              <w:left w:val="single" w:sz="6" w:space="0" w:color="auto"/>
              <w:right w:val="single" w:sz="6" w:space="0" w:color="auto"/>
            </w:tcBorders>
            <w:vAlign w:val="center"/>
          </w:tcPr>
          <w:p>
            <w:pPr>
              <w:pStyle w:val="19"/>
            </w:pPr>
            <w:r>
              <w:t>4.94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4.94</w:t>
            </w:r>
          </w:p>
        </w:tc>
        <w:tc>
          <w:tcPr>
            <w:tcW w:w="1361" w:type="dxa"/>
            <w:tcBorders>
              <w:top w:val="single" w:sz="6" w:space="0" w:color="auto"/>
              <w:left w:val="single" w:sz="6" w:space="0" w:color="auto"/>
              <w:right w:val="single" w:sz="6" w:space="0" w:color="auto"/>
            </w:tcBorders>
            <w:vAlign w:val="center"/>
          </w:tcPr>
          <w:p>
            <w:pPr>
              <w:pStyle w:val="19"/>
            </w:pPr>
            <w:r>
              <w:t>4.94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3.30</w:t>
            </w:r>
          </w:p>
        </w:tc>
        <w:tc>
          <w:tcPr>
            <w:tcW w:w="1361" w:type="dxa"/>
            <w:tcBorders>
              <w:top w:val="single" w:sz="6" w:space="0" w:color="auto"/>
              <w:left w:val="single" w:sz="6" w:space="0" w:color="auto"/>
              <w:right w:val="single" w:sz="6" w:space="0" w:color="auto"/>
            </w:tcBorders>
            <w:vAlign w:val="center"/>
          </w:tcPr>
          <w:p>
            <w:pPr>
              <w:pStyle w:val="19"/>
            </w:pPr>
            <w:r>
              <w:t>3.30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3.30</w:t>
            </w:r>
          </w:p>
        </w:tc>
        <w:tc>
          <w:tcPr>
            <w:tcW w:w="1361" w:type="dxa"/>
            <w:tcBorders>
              <w:top w:val="single" w:sz="6" w:space="0" w:color="auto"/>
              <w:left w:val="single" w:sz="6" w:space="0" w:color="auto"/>
              <w:right w:val="single" w:sz="6" w:space="0" w:color="auto"/>
            </w:tcBorders>
            <w:vAlign w:val="center"/>
          </w:tcPr>
          <w:p>
            <w:pPr>
              <w:pStyle w:val="19"/>
            </w:pPr>
            <w:r>
              <w:t>3.30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3.30</w:t>
            </w:r>
          </w:p>
        </w:tc>
        <w:tc>
          <w:tcPr>
            <w:tcW w:w="1361" w:type="dxa"/>
            <w:tcBorders>
              <w:top w:val="single" w:sz="6" w:space="0" w:color="auto"/>
              <w:left w:val="single" w:sz="6" w:space="0" w:color="auto"/>
              <w:right w:val="single" w:sz="6" w:space="0" w:color="auto"/>
            </w:tcBorders>
            <w:vAlign w:val="center"/>
          </w:tcPr>
          <w:p>
            <w:pPr>
              <w:pStyle w:val="19"/>
            </w:pPr>
            <w:r>
              <w:t>3.30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2.47</w:t>
            </w:r>
          </w:p>
        </w:tc>
        <w:tc>
          <w:tcPr>
            <w:tcW w:w="1361" w:type="dxa"/>
            <w:tcBorders>
              <w:top w:val="single" w:sz="6" w:space="0" w:color="auto"/>
              <w:left w:val="single" w:sz="6" w:space="0" w:color="auto"/>
              <w:right w:val="single" w:sz="6" w:space="0" w:color="auto"/>
            </w:tcBorders>
            <w:vAlign w:val="center"/>
          </w:tcPr>
          <w:p>
            <w:pPr>
              <w:pStyle w:val="19"/>
            </w:pPr>
            <w:r>
              <w:t>2.47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2.47</w:t>
            </w:r>
          </w:p>
        </w:tc>
        <w:tc>
          <w:tcPr>
            <w:tcW w:w="1361" w:type="dxa"/>
            <w:tcBorders>
              <w:top w:val="single" w:sz="6" w:space="0" w:color="auto"/>
              <w:left w:val="single" w:sz="6" w:space="0" w:color="auto"/>
              <w:right w:val="single" w:sz="6" w:space="0" w:color="auto"/>
            </w:tcBorders>
            <w:vAlign w:val="center"/>
          </w:tcPr>
          <w:p>
            <w:pPr>
              <w:pStyle w:val="19"/>
            </w:pPr>
            <w:r>
              <w:t>2.47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2.47</w:t>
            </w:r>
          </w:p>
        </w:tc>
        <w:tc>
          <w:tcPr>
            <w:tcW w:w="1361" w:type="dxa"/>
            <w:tcBorders>
              <w:top w:val="single" w:sz="6" w:space="0" w:color="auto"/>
              <w:left w:val="single" w:sz="6" w:space="0" w:color="auto"/>
              <w:right w:val="single" w:sz="6" w:space="0" w:color="auto"/>
            </w:tcBorders>
            <w:vAlign w:val="center"/>
          </w:tcPr>
          <w:p>
            <w:pPr>
              <w:pStyle w:val="19"/>
            </w:pPr>
            <w:r>
              <w:t>2.47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436昌黎县重点项目服务中心</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44.67</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33.96</w:t>
            </w:r>
          </w:p>
        </w:tc>
        <w:tc>
          <w:tcPr>
            <w:tcW w:w="1474" w:type="dxa"/>
            <w:tcBorders>
              <w:top w:val="single" w:sz="6" w:space="0" w:color="auto"/>
              <w:left w:val="single" w:sz="6" w:space="0" w:color="auto"/>
              <w:right w:val="single" w:sz="6" w:space="0" w:color="auto"/>
            </w:tcBorders>
            <w:vAlign w:val="center"/>
          </w:tcPr>
          <w:p>
            <w:pPr>
              <w:pStyle w:val="19"/>
            </w:pPr>
            <w:r>
              <w:t>33.96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4.94</w:t>
            </w:r>
          </w:p>
        </w:tc>
        <w:tc>
          <w:tcPr>
            <w:tcW w:w="1474" w:type="dxa"/>
            <w:tcBorders>
              <w:top w:val="single" w:sz="6" w:space="0" w:color="auto"/>
              <w:left w:val="single" w:sz="6" w:space="0" w:color="auto"/>
              <w:right w:val="single" w:sz="6" w:space="0" w:color="auto"/>
            </w:tcBorders>
            <w:vAlign w:val="center"/>
          </w:tcPr>
          <w:p>
            <w:pPr>
              <w:pStyle w:val="19"/>
            </w:pPr>
            <w:r>
              <w:t>4.94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3.30</w:t>
            </w:r>
          </w:p>
        </w:tc>
        <w:tc>
          <w:tcPr>
            <w:tcW w:w="1474" w:type="dxa"/>
            <w:tcBorders>
              <w:top w:val="single" w:sz="6" w:space="0" w:color="auto"/>
              <w:left w:val="single" w:sz="6" w:space="0" w:color="auto"/>
              <w:right w:val="single" w:sz="6" w:space="0" w:color="auto"/>
            </w:tcBorders>
            <w:vAlign w:val="center"/>
          </w:tcPr>
          <w:p>
            <w:pPr>
              <w:pStyle w:val="19"/>
            </w:pPr>
            <w:r>
              <w:t>3.30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2.47</w:t>
            </w:r>
          </w:p>
        </w:tc>
        <w:tc>
          <w:tcPr>
            <w:tcW w:w="1474" w:type="dxa"/>
            <w:tcBorders>
              <w:top w:val="single" w:sz="6" w:space="0" w:color="auto"/>
              <w:left w:val="single" w:sz="6" w:space="0" w:color="auto"/>
              <w:right w:val="single" w:sz="6" w:space="0" w:color="auto"/>
            </w:tcBorders>
            <w:vAlign w:val="center"/>
          </w:tcPr>
          <w:p>
            <w:pPr>
              <w:pStyle w:val="19"/>
            </w:pPr>
            <w:r>
              <w:t>2.47</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44.67</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44.67</w:t>
            </w:r>
          </w:p>
        </w:tc>
        <w:tc>
          <w:tcPr>
            <w:tcW w:w="1474" w:type="dxa"/>
            <w:tcBorders>
              <w:top w:val="single" w:sz="6" w:space="0" w:color="auto"/>
              <w:left w:val="single" w:sz="6" w:space="0" w:color="auto"/>
              <w:right w:val="single" w:sz="6" w:space="0" w:color="auto"/>
            </w:tcBorders>
            <w:vAlign w:val="center"/>
          </w:tcPr>
          <w:p>
            <w:pPr>
              <w:pStyle w:val="23"/>
            </w:pPr>
            <w:r>
              <w:t>44.67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44.67</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44.67</w:t>
            </w:r>
          </w:p>
        </w:tc>
        <w:tc>
          <w:tcPr>
            <w:tcW w:w="1474" w:type="dxa"/>
            <w:tcBorders>
              <w:top w:val="single" w:sz="6" w:space="0" w:color="auto"/>
              <w:left w:val="single" w:sz="6" w:space="0" w:color="auto"/>
              <w:right w:val="single" w:sz="6" w:space="0" w:color="auto"/>
            </w:tcBorders>
            <w:vAlign w:val="center"/>
          </w:tcPr>
          <w:p>
            <w:pPr>
              <w:pStyle w:val="23"/>
            </w:pPr>
            <w:r>
              <w:t>44.67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436昌黎县重点项目服务中心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44.67</w:t>
            </w:r>
          </w:p>
        </w:tc>
        <w:tc>
          <w:tcPr>
            <w:tcW w:w="2551" w:type="dxa"/>
            <w:tcBorders>
              <w:top w:val="single" w:sz="6" w:space="0" w:color="auto"/>
              <w:left w:val="single" w:sz="6" w:space="0" w:color="auto"/>
              <w:right w:val="single" w:sz="6" w:space="0" w:color="auto"/>
            </w:tcBorders>
            <w:vAlign w:val="center"/>
          </w:tcPr>
          <w:p>
            <w:pPr>
              <w:pStyle w:val="23"/>
            </w:pPr>
            <w:r>
              <w:t>44.67</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33.96</w:t>
            </w:r>
          </w:p>
        </w:tc>
        <w:tc>
          <w:tcPr>
            <w:tcW w:w="2551" w:type="dxa"/>
            <w:tcBorders>
              <w:top w:val="single" w:sz="6" w:space="0" w:color="auto"/>
              <w:left w:val="single" w:sz="6" w:space="0" w:color="auto"/>
              <w:right w:val="single" w:sz="6" w:space="0" w:color="auto"/>
            </w:tcBorders>
            <w:vAlign w:val="center"/>
          </w:tcPr>
          <w:p>
            <w:pPr>
              <w:pStyle w:val="19"/>
            </w:pPr>
            <w:r>
              <w:t>33.96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20104</w:t>
            </w:r>
          </w:p>
        </w:tc>
        <w:tc>
          <w:tcPr>
            <w:tcW w:w="4535" w:type="dxa"/>
            <w:tcBorders>
              <w:top w:val="single" w:sz="6" w:space="0" w:color="auto"/>
              <w:left w:val="single" w:sz="6" w:space="0" w:color="auto"/>
              <w:right w:val="single" w:sz="6" w:space="0" w:color="auto"/>
            </w:tcBorders>
            <w:vAlign w:val="center"/>
          </w:tcPr>
          <w:p>
            <w:pPr>
              <w:pStyle w:val="20"/>
            </w:pPr>
            <w:r>
              <w:t>发展与改革事务</w:t>
            </w:r>
          </w:p>
        </w:tc>
        <w:tc>
          <w:tcPr>
            <w:tcW w:w="2551" w:type="dxa"/>
            <w:tcBorders>
              <w:top w:val="single" w:sz="6" w:space="0" w:color="auto"/>
              <w:left w:val="single" w:sz="6" w:space="0" w:color="auto"/>
              <w:right w:val="single" w:sz="6" w:space="0" w:color="auto"/>
            </w:tcBorders>
            <w:vAlign w:val="center"/>
          </w:tcPr>
          <w:p>
            <w:pPr>
              <w:pStyle w:val="19"/>
            </w:pPr>
            <w:r>
              <w:t>33.96</w:t>
            </w:r>
          </w:p>
        </w:tc>
        <w:tc>
          <w:tcPr>
            <w:tcW w:w="2551" w:type="dxa"/>
            <w:tcBorders>
              <w:top w:val="single" w:sz="6" w:space="0" w:color="auto"/>
              <w:left w:val="single" w:sz="6" w:space="0" w:color="auto"/>
              <w:right w:val="single" w:sz="6" w:space="0" w:color="auto"/>
            </w:tcBorders>
            <w:vAlign w:val="center"/>
          </w:tcPr>
          <w:p>
            <w:pPr>
              <w:pStyle w:val="19"/>
            </w:pPr>
            <w:r>
              <w:t>33.96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2010450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33.96</w:t>
            </w:r>
          </w:p>
        </w:tc>
        <w:tc>
          <w:tcPr>
            <w:tcW w:w="2551" w:type="dxa"/>
            <w:tcBorders>
              <w:top w:val="single" w:sz="6" w:space="0" w:color="auto"/>
              <w:left w:val="single" w:sz="6" w:space="0" w:color="auto"/>
              <w:right w:val="single" w:sz="6" w:space="0" w:color="auto"/>
            </w:tcBorders>
            <w:vAlign w:val="center"/>
          </w:tcPr>
          <w:p>
            <w:pPr>
              <w:pStyle w:val="19"/>
            </w:pPr>
            <w:r>
              <w:t>33.96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4.94</w:t>
            </w:r>
          </w:p>
        </w:tc>
        <w:tc>
          <w:tcPr>
            <w:tcW w:w="2551" w:type="dxa"/>
            <w:tcBorders>
              <w:top w:val="single" w:sz="6" w:space="0" w:color="auto"/>
              <w:left w:val="single" w:sz="6" w:space="0" w:color="auto"/>
              <w:right w:val="single" w:sz="6" w:space="0" w:color="auto"/>
            </w:tcBorders>
            <w:vAlign w:val="center"/>
          </w:tcPr>
          <w:p>
            <w:pPr>
              <w:pStyle w:val="19"/>
            </w:pPr>
            <w:r>
              <w:t>4.94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4.94</w:t>
            </w:r>
          </w:p>
        </w:tc>
        <w:tc>
          <w:tcPr>
            <w:tcW w:w="2551" w:type="dxa"/>
            <w:tcBorders>
              <w:top w:val="single" w:sz="6" w:space="0" w:color="auto"/>
              <w:left w:val="single" w:sz="6" w:space="0" w:color="auto"/>
              <w:right w:val="single" w:sz="6" w:space="0" w:color="auto"/>
            </w:tcBorders>
            <w:vAlign w:val="center"/>
          </w:tcPr>
          <w:p>
            <w:pPr>
              <w:pStyle w:val="19"/>
            </w:pPr>
            <w:r>
              <w:t>4.94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4.94</w:t>
            </w:r>
          </w:p>
        </w:tc>
        <w:tc>
          <w:tcPr>
            <w:tcW w:w="2551" w:type="dxa"/>
            <w:tcBorders>
              <w:top w:val="single" w:sz="6" w:space="0" w:color="auto"/>
              <w:left w:val="single" w:sz="6" w:space="0" w:color="auto"/>
              <w:right w:val="single" w:sz="6" w:space="0" w:color="auto"/>
            </w:tcBorders>
            <w:vAlign w:val="center"/>
          </w:tcPr>
          <w:p>
            <w:pPr>
              <w:pStyle w:val="19"/>
            </w:pPr>
            <w:r>
              <w:t>4.94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2.47</w:t>
            </w:r>
          </w:p>
        </w:tc>
        <w:tc>
          <w:tcPr>
            <w:tcW w:w="2551" w:type="dxa"/>
            <w:tcBorders>
              <w:top w:val="single" w:sz="6" w:space="0" w:color="auto"/>
              <w:left w:val="single" w:sz="6" w:space="0" w:color="auto"/>
              <w:right w:val="single" w:sz="6" w:space="0" w:color="auto"/>
            </w:tcBorders>
            <w:vAlign w:val="center"/>
          </w:tcPr>
          <w:p>
            <w:pPr>
              <w:pStyle w:val="19"/>
            </w:pPr>
            <w:r>
              <w:t>2.47</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2.47</w:t>
            </w:r>
          </w:p>
        </w:tc>
        <w:tc>
          <w:tcPr>
            <w:tcW w:w="2551" w:type="dxa"/>
            <w:tcBorders>
              <w:top w:val="single" w:sz="6" w:space="0" w:color="auto"/>
              <w:left w:val="single" w:sz="6" w:space="0" w:color="auto"/>
              <w:right w:val="single" w:sz="6" w:space="0" w:color="auto"/>
            </w:tcBorders>
            <w:vAlign w:val="center"/>
          </w:tcPr>
          <w:p>
            <w:pPr>
              <w:pStyle w:val="19"/>
            </w:pPr>
            <w:r>
              <w:t>2.47</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2.47</w:t>
            </w:r>
          </w:p>
        </w:tc>
        <w:tc>
          <w:tcPr>
            <w:tcW w:w="2551" w:type="dxa"/>
            <w:tcBorders>
              <w:top w:val="single" w:sz="6" w:space="0" w:color="auto"/>
              <w:left w:val="single" w:sz="6" w:space="0" w:color="auto"/>
              <w:right w:val="single" w:sz="6" w:space="0" w:color="auto"/>
            </w:tcBorders>
            <w:vAlign w:val="center"/>
          </w:tcPr>
          <w:p>
            <w:pPr>
              <w:pStyle w:val="19"/>
            </w:pPr>
            <w:r>
              <w:t>2.47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436昌黎县重点项目服务中心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44.67</w:t>
            </w:r>
          </w:p>
        </w:tc>
        <w:tc>
          <w:tcPr>
            <w:tcW w:w="2551" w:type="dxa"/>
            <w:tcBorders>
              <w:top w:val="single" w:sz="6" w:space="0" w:color="auto"/>
              <w:left w:val="single" w:sz="6" w:space="0" w:color="auto"/>
              <w:right w:val="single" w:sz="6" w:space="0" w:color="auto"/>
            </w:tcBorders>
            <w:vAlign w:val="center"/>
          </w:tcPr>
          <w:p>
            <w:pPr>
              <w:pStyle w:val="23"/>
            </w:pPr>
            <w:r>
              <w:t>41.47</w:t>
            </w:r>
          </w:p>
        </w:tc>
        <w:tc>
          <w:tcPr>
            <w:tcW w:w="2551" w:type="dxa"/>
            <w:vAlign w:val="center"/>
          </w:tcPr>
          <w:p>
            <w:pPr>
              <w:pStyle w:val="23"/>
            </w:pPr>
            <w:r>
              <w:t>3.20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41.47</w:t>
            </w:r>
          </w:p>
        </w:tc>
        <w:tc>
          <w:tcPr>
            <w:tcW w:w="2551" w:type="dxa"/>
            <w:tcBorders>
              <w:top w:val="single" w:sz="6" w:space="0" w:color="auto"/>
              <w:left w:val="single" w:sz="6" w:space="0" w:color="auto"/>
              <w:right w:val="single" w:sz="6" w:space="0" w:color="auto"/>
            </w:tcBorders>
            <w:vAlign w:val="center"/>
          </w:tcPr>
          <w:p>
            <w:pPr>
              <w:pStyle w:val="19"/>
            </w:pPr>
            <w:r>
              <w:t>41.47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16.55</w:t>
            </w:r>
          </w:p>
        </w:tc>
        <w:tc>
          <w:tcPr>
            <w:tcW w:w="2551" w:type="dxa"/>
            <w:tcBorders>
              <w:top w:val="single" w:sz="6" w:space="0" w:color="auto"/>
              <w:left w:val="single" w:sz="6" w:space="0" w:color="auto"/>
              <w:right w:val="single" w:sz="6" w:space="0" w:color="auto"/>
            </w:tcBorders>
            <w:vAlign w:val="center"/>
          </w:tcPr>
          <w:p>
            <w:pPr>
              <w:pStyle w:val="19"/>
            </w:pPr>
            <w:r>
              <w:t>16.55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2.34</w:t>
            </w:r>
          </w:p>
        </w:tc>
        <w:tc>
          <w:tcPr>
            <w:tcW w:w="2551" w:type="dxa"/>
            <w:tcBorders>
              <w:top w:val="single" w:sz="6" w:space="0" w:color="auto"/>
              <w:left w:val="single" w:sz="6" w:space="0" w:color="auto"/>
              <w:right w:val="single" w:sz="6" w:space="0" w:color="auto"/>
            </w:tcBorders>
            <w:vAlign w:val="center"/>
          </w:tcPr>
          <w:p>
            <w:pPr>
              <w:pStyle w:val="19"/>
            </w:pPr>
            <w:r>
              <w:t>2.34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11.54</w:t>
            </w:r>
          </w:p>
        </w:tc>
        <w:tc>
          <w:tcPr>
            <w:tcW w:w="2551" w:type="dxa"/>
            <w:tcBorders>
              <w:top w:val="single" w:sz="6" w:space="0" w:color="auto"/>
              <w:left w:val="single" w:sz="6" w:space="0" w:color="auto"/>
              <w:right w:val="single" w:sz="6" w:space="0" w:color="auto"/>
            </w:tcBorders>
            <w:vAlign w:val="center"/>
          </w:tcPr>
          <w:p>
            <w:pPr>
              <w:pStyle w:val="19"/>
            </w:pPr>
            <w:r>
              <w:t>11.54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4.94</w:t>
            </w:r>
          </w:p>
        </w:tc>
        <w:tc>
          <w:tcPr>
            <w:tcW w:w="2551" w:type="dxa"/>
            <w:tcBorders>
              <w:top w:val="single" w:sz="6" w:space="0" w:color="auto"/>
              <w:left w:val="single" w:sz="6" w:space="0" w:color="auto"/>
              <w:right w:val="single" w:sz="6" w:space="0" w:color="auto"/>
            </w:tcBorders>
            <w:vAlign w:val="center"/>
          </w:tcPr>
          <w:p>
            <w:pPr>
              <w:pStyle w:val="19"/>
            </w:pPr>
            <w:r>
              <w:t>4.94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0.32</w:t>
            </w:r>
          </w:p>
        </w:tc>
        <w:tc>
          <w:tcPr>
            <w:tcW w:w="2551" w:type="dxa"/>
            <w:tcBorders>
              <w:top w:val="single" w:sz="6" w:space="0" w:color="auto"/>
              <w:left w:val="single" w:sz="6" w:space="0" w:color="auto"/>
              <w:right w:val="single" w:sz="6" w:space="0" w:color="auto"/>
            </w:tcBorders>
            <w:vAlign w:val="center"/>
          </w:tcPr>
          <w:p>
            <w:pPr>
              <w:pStyle w:val="19"/>
            </w:pPr>
            <w:r>
              <w:t>0.32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2.47</w:t>
            </w:r>
          </w:p>
        </w:tc>
        <w:tc>
          <w:tcPr>
            <w:tcW w:w="2551" w:type="dxa"/>
            <w:tcBorders>
              <w:top w:val="single" w:sz="6" w:space="0" w:color="auto"/>
              <w:left w:val="single" w:sz="6" w:space="0" w:color="auto"/>
              <w:right w:val="single" w:sz="6" w:space="0" w:color="auto"/>
            </w:tcBorders>
            <w:vAlign w:val="center"/>
          </w:tcPr>
          <w:p>
            <w:pPr>
              <w:pStyle w:val="19"/>
            </w:pPr>
            <w:r>
              <w:t>2.47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3.20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3.20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2.12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2.12</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0.45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0.45</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0.63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0.63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436昌黎县重点项目服务中心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436昌黎县重点项目服务中心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436昌黎县重点项目服务中心</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auto"/>
              <w:left w:val="single" w:sz="6" w:space="0" w:color="auto"/>
              <w:right w:val="single" w:sz="6" w:space="0" w:color="auto"/>
            </w:tcBorders>
            <w:vAlign w:val="center"/>
          </w:tcPr>
          <w:p>
            <w:pPr>
              <w:pStyle w:val="20"/>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昌黎县重点项目服务中心2025年部门预算信息公开情况说明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昌黎县重点项目服务中心2025年部门预算信息公开情况说明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按照《中华人民共和国预算法》、《地方预决算公开操作规程》和《关于进一步推进预算公开工作的实施意见》规定，现将昌黎县重点项目服务中心2025年部门预算公开如下：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一、根据县域经济社会高质量发展需要，对中央及省市有关项目建设、产业发展、招商引资等方面的前沿政策以及推进具体措施进行前瞻性研究，提出相关的建议、意见；</w:t>
      </w:r>
    </w:p>
    <w:p>
      <w:pPr>
        <w:pStyle w:val="25"/>
      </w:pPr>
      <w:r>
        <w:t>二、跟踪借鉴外地市先进招商政策，开展县域招商优惠政策和具体措施进行可行性研究；</w:t>
      </w:r>
    </w:p>
    <w:p>
      <w:pPr>
        <w:pStyle w:val="25"/>
      </w:pPr>
      <w:r>
        <w:t>三、参与县级层面重大项目的洽谈和推进，承担重大投资项目合法性、合理性、可行性、可控性等程序和协议的综合研判审核，提出咨询建议；</w:t>
      </w:r>
    </w:p>
    <w:p>
      <w:pPr>
        <w:pStyle w:val="25"/>
      </w:pPr>
      <w:r>
        <w:t>四、为县域重点项目、重大工程提供全生命周期配套服务，加快项目顺利落地；</w:t>
      </w:r>
    </w:p>
    <w:p>
      <w:pPr>
        <w:pStyle w:val="25"/>
      </w:pPr>
      <w:r>
        <w:t>五、做好“长三角”“珠三角”、东北、西南及国外等驻外招商期间的协调、对接、联络服务等工作；</w:t>
      </w:r>
    </w:p>
    <w:p>
      <w:pPr>
        <w:pStyle w:val="25"/>
      </w:pPr>
      <w:r>
        <w:t>六、协调推进昌黎县决策咨询委员会的具体工作，负责县决策咨询委员会专家智库、县法律专家顾问团等服务县域高质量发展研究的各类组织、团队的建设管理工作，做好相关专业知识培训工作；</w:t>
      </w:r>
    </w:p>
    <w:p>
      <w:pPr>
        <w:pStyle w:val="25"/>
      </w:pPr>
      <w:r>
        <w:t>七、承办县委、县政府交办的其他事项。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昌黎县重点项目服务中心本级</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按照预算管理有关规定，目前部门预算的编制实行综合预算管理，即全部收入和支出都反映在预算中。昌黎县重点项目服务中心机关及所属事业单位的收支包含在部门预算中。</w:t>
      </w:r>
    </w:p>
    <w:p>
      <w:pPr>
        <w:pStyle w:val="26"/>
      </w:pPr>
      <w:r>
        <w:t>1、收入说明</w:t>
      </w:r>
    </w:p>
    <w:p>
      <w:pPr>
        <w:pStyle w:val="26"/>
      </w:pPr>
      <w:r>
        <w:t>反映本部门当年全部收入。2025年预算收入44.67万元，其中：一般公共预算收入44.67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重点项目服务中心年度部门预算中支出预算的总体情况。2025年支出预算44.67万元，其中基本支出44.67万元，包括人员经费41.47万元和日常公用经费3.20万元；项目支出0.00万元，主要为2025年我部门无项目安排。</w:t>
      </w:r>
    </w:p>
    <w:p>
      <w:pPr>
        <w:pStyle w:val="26"/>
      </w:pPr>
      <w:r>
        <w:t>3、比上年增减情况</w:t>
      </w:r>
    </w:p>
    <w:p>
      <w:pPr>
        <w:pStyle w:val="26"/>
      </w:pPr>
      <w:r>
        <w:t>2025年预算收支安排44.67万元，较2024年预算增加26.68万元，其中：基本支出增加26.68万元，主要为3名新入职人员的经费。项目支出增加0.00万元，主要为2025年我部门无项目安排。</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2025年，我部门机关运行经费共计安排3.20万元，主要用于日常维修、办公用房水电费、办公用房取暖费、办公用房物业管理费等日常运行支出。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坚持以习近平新时代中国特色社会主义思想为指导，全面贯彻党的二十大精神，贯彻落实党的二十届</w:t>
      </w:r>
      <w:bookmarkStart w:id="14" w:name="_GoBack"/>
      <w:bookmarkEnd w:id="14"/>
      <w:r>
        <w:t>三中全会精神，在县委、县政府的坚强领导下，充分发挥“智库”优势，为推进县域经济社会高质量发展提供政策研究和智力支持。具体体现在如下方面：参与县级层面重大项目的洽谈和推进工作；为县域重点项目、重大工程提供全生命周期配套服务；创建驻外创新（招商）中心工作；负责投资决策、法律事务、乡村振兴、城市建设、生态环境等5个专门委员会的工作，完善、组建、管理昌黎县决策咨询委员会（昌黎县高质量发展研究中心）专家智库、县法律顾问团等各类服务县域高质量发展研究的组织、团队，做好相关专业知识学习、培训工作。</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（一）提高审核协议文本的效率和质量   绩效目标：学习各项法律、法规的修订、国家省市的最新政策等相关信息，在与各项目单位对接的同时，关注新模式、典型经验做法的学习研究。</w:t>
      </w:r>
    </w:p>
    <w:p>
      <w:pPr>
        <w:pStyle w:val="30"/>
      </w:pPr>
      <w:r>
        <w:t>绩效指标：全年开展法律专项业务培训不少于6次，杜绝“以惯例作标尺”，在项目洽谈推进中科学精准的找难点、疏堵点。</w:t>
      </w:r>
    </w:p>
    <w:p>
      <w:pPr>
        <w:pStyle w:val="30"/>
      </w:pPr>
      <w:r>
        <w:t>（二）完善法律顾问体系</w:t>
      </w:r>
    </w:p>
    <w:p>
      <w:pPr>
        <w:pStyle w:val="30"/>
      </w:pPr>
      <w:r>
        <w:t>绩效目标：健全科学民主依法决策机制，规范重大行政决策行为，提高决策质量，实现领导决策的科学性、合法性、实效性，逐渐形成完善法律咨询体系。</w:t>
      </w:r>
    </w:p>
    <w:p>
      <w:pPr>
        <w:pStyle w:val="30"/>
      </w:pPr>
      <w:r>
        <w:t>绩效指标：为全县76个党政机关事业单位聘用法律顾问，实现一对一精准服务，为社会治理、社会稳定营造良好的法治环境。</w:t>
      </w:r>
    </w:p>
    <w:p>
      <w:pPr>
        <w:pStyle w:val="30"/>
      </w:pPr>
      <w:r>
        <w:t>（三）专家会诊研究重大项目</w:t>
      </w:r>
    </w:p>
    <w:p>
      <w:pPr>
        <w:pStyle w:val="30"/>
      </w:pPr>
      <w:r>
        <w:t>绩效目标：推行“纵向研究、横向交流”的专家会诊模式，合法、合规、科学、合理的为县域重点项目、重大工程提供全生命周期咨询配套服务。</w:t>
      </w:r>
    </w:p>
    <w:p>
      <w:pPr>
        <w:pStyle w:val="30"/>
      </w:pPr>
      <w:r>
        <w:t>绩效指标：全年参与研究重大项目不少于20项，提出全方位、多角度的咨询建议，为领导依法决策提供参考意见。</w:t>
      </w:r>
    </w:p>
    <w:p>
      <w:pPr>
        <w:pStyle w:val="30"/>
      </w:pPr>
      <w:r>
        <w:t>（四）立足高质量发展</w:t>
      </w:r>
    </w:p>
    <w:p>
      <w:pPr>
        <w:pStyle w:val="30"/>
      </w:pPr>
      <w:r>
        <w:t>绩效目标：对中央及省市有关产业发展、招商引资、项目建设、优化营商环境等方面的前沿政策方向、推进具体措施进行前瞻性研究，提出相关的建议。</w:t>
      </w:r>
    </w:p>
    <w:p>
      <w:pPr>
        <w:pStyle w:val="30"/>
      </w:pPr>
      <w:r>
        <w:t>绩效指标：坚持每周将央企落户、项目落地等方面工作相关信息详细汇总上报，引进的8家央企子公司全部完成产权登记。</w:t>
      </w:r>
    </w:p>
    <w:p>
      <w:pPr>
        <w:pStyle w:val="30"/>
      </w:pPr>
    </w:p>
    <w:p>
      <w:pPr>
        <w:pStyle w:val="3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1、完善制度建设</w:t>
      </w:r>
    </w:p>
    <w:p>
      <w:pPr>
        <w:pStyle w:val="31"/>
      </w:pPr>
      <w:r>
        <w:t>制定完善的预算绩效管理制度、资金管理办法、工作保障制度等，为全年预算绩效目标的实现奠定制度基础。</w:t>
      </w:r>
    </w:p>
    <w:p>
      <w:pPr>
        <w:pStyle w:val="31"/>
      </w:pPr>
      <w:r>
        <w:t>2、加强支出管理</w:t>
      </w:r>
    </w:p>
    <w:p>
      <w:pPr>
        <w:pStyle w:val="31"/>
      </w:pPr>
      <w:r>
        <w:t>优化支出结构、编细编实预算、加快履行政府采购手续、尽快启动项目、及时支付资金、按规定及时下达资金等多种措施，确保支出进度达标。</w:t>
      </w:r>
    </w:p>
    <w:p>
      <w:pPr>
        <w:pStyle w:val="31"/>
      </w:pPr>
      <w:r>
        <w:t>3、加强绩效运行监控</w:t>
      </w:r>
    </w:p>
    <w:p>
      <w:pPr>
        <w:pStyle w:val="31"/>
      </w:pPr>
      <w:r>
        <w:t>按要求开展绩效运行监控，发现问题及时采取措施，确保绩效目标如期保质实现。</w:t>
      </w:r>
    </w:p>
    <w:p>
      <w:pPr>
        <w:pStyle w:val="31"/>
      </w:pPr>
      <w:r>
        <w:t>4、做好绩效自评</w:t>
      </w:r>
    </w:p>
    <w:p>
      <w:pPr>
        <w:pStyle w:val="31"/>
      </w:pPr>
      <w:r>
        <w:t>按要求开展上年度部门预算绩效自评和重点评价工作，对评价中发现的问题及时整改，调整优化支出结构，提高财政资金使用效益。</w:t>
      </w:r>
    </w:p>
    <w:p>
      <w:pPr>
        <w:pStyle w:val="31"/>
      </w:pPr>
      <w:r>
        <w:t>5、规范财务资产管理</w:t>
      </w:r>
    </w:p>
    <w:p>
      <w:pPr>
        <w:pStyle w:val="31"/>
      </w:pPr>
      <w:r>
        <w:t>完善财务管理制度，严格审批程序，加强固定资产登记、使用和报废处置管理，做到支出合理，物尽其用。</w:t>
      </w:r>
    </w:p>
    <w:p>
      <w:pPr>
        <w:pStyle w:val="31"/>
      </w:pPr>
      <w:r>
        <w:t>6、加强内部监督</w:t>
      </w:r>
    </w:p>
    <w:p>
      <w:pPr>
        <w:pStyle w:val="3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7、加强宣传培训调研等</w:t>
      </w:r>
    </w:p>
    <w:p>
      <w:pPr>
        <w:pStyle w:val="31"/>
        <w:sectPr>
          <w:pgSz w:w="16840" w:h="11900" w:orient="landscape"/>
          <w:pgMar w:top="1361" w:right="1020" w:bottom="1361" w:left="1020" w:header="720" w:footer="720" w:gutter="0"/>
          <w:docGrid w:linePitch="326" w:charSpace="0"/>
        </w:sectPr>
      </w:pPr>
      <w:r>
        <w:t>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eastAsia="黑体" w:cs="黑体" w:hAnsi="黑体"/>
          <w:color w:val="000000"/>
          <w:sz w:val="32"/>
        </w:r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无</w:t>
      </w:r>
    </w:p>
    <w:p>
      <w:pPr>
        <w:spacing w:before="10" w:after="10" w:line="360" w:lineRule="auto"/>
        <w:ind w:firstLine="640"/>
        <w:jc w:val="left"/>
        <w:outlineLvl w:val="2"/>
        <w:rPr>
          <w:rFonts w:ascii="黑体" w:eastAsia="黑体" w:cs="黑体" w:hAnsi="黑体"/>
          <w:color w:val="000000"/>
          <w:sz w:val="32"/>
        </w:rPr>
      </w:pPr>
      <w:bookmarkStart w:id="16" w:name="_Toc_3_3_0000000016"/>
      <w:r>
        <w:rPr>
          <w:rFonts w:ascii="黑体" w:eastAsia="黑体" w:cs="黑体" w:hAnsi="黑体"/>
          <w:color w:val="000000"/>
          <w:sz w:val="32"/>
        </w:rPr>
        <w:t>七、部门项目预算安排情况及绩效目标</w:t>
      </w:r>
      <w:bookmarkEnd w:id="16"/>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无</w:t>
      </w: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436昌黎县重点项目服务中心</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昌黎县重点项目服务中心（含所属单位）上年末固定资产金额为11.89万元（详见下表）。本年度拟购置固定资产总额为0.00万元，已按要求列入政府采购预算，详见政府采购预算表。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436昌黎县重点项目服务中心</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11.89</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72</w:t>
            </w:r>
          </w:p>
        </w:tc>
        <w:tc>
          <w:tcPr>
            <w:tcW w:w="2835" w:type="dxa"/>
            <w:vAlign w:val="center"/>
          </w:tcPr>
          <w:p>
            <w:pPr>
              <w:pStyle w:val="19"/>
            </w:pPr>
            <w:r>
              <w:t>11.89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2B5DF247-EF9F-4B18-B1A8-FDD1B360E11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25</Pages>
  <Words>0</Words>
  <Characters>7856</Characters>
  <Lines>0</Lines>
  <Paragraphs>142</Paragraphs>
  <CharactersWithSpaces>10475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2025-01-19T11:48:45Z</dcterms:created>
  <dcterms:modified xsi:type="dcterms:W3CDTF">2025-03-10T05:36:54Z</dcterms:modified>
</cp:coreProperties>
</file>