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52927">
      <w:pPr>
        <w:jc w:val="center"/>
        <w:rPr>
          <w:rFonts w:ascii="仿宋" w:hAnsi="仿宋" w:eastAsia="仿宋"/>
          <w:sz w:val="32"/>
          <w:szCs w:val="32"/>
        </w:rPr>
      </w:pPr>
      <w:r>
        <w:rPr>
          <w:rFonts w:hint="eastAsia" w:ascii="黑体" w:eastAsia="黑体"/>
          <w:sz w:val="44"/>
          <w:szCs w:val="44"/>
        </w:rPr>
        <w:t>2021年度昌黎县人民法院整体支出绩效自评报告</w:t>
      </w:r>
    </w:p>
    <w:p w14:paraId="697A567B">
      <w:pPr>
        <w:jc w:val="left"/>
        <w:rPr>
          <w:rFonts w:ascii="黑体" w:hAnsi="黑体" w:eastAsia="黑体"/>
          <w:sz w:val="32"/>
          <w:szCs w:val="32"/>
        </w:rPr>
      </w:pPr>
      <w:r>
        <w:rPr>
          <w:rFonts w:hint="eastAsia" w:ascii="黑体" w:hAnsi="黑体" w:eastAsia="黑体"/>
          <w:sz w:val="32"/>
          <w:szCs w:val="32"/>
        </w:rPr>
        <w:t>一、部门基本情况</w:t>
      </w:r>
    </w:p>
    <w:p w14:paraId="1CE890C5">
      <w:pPr>
        <w:jc w:val="left"/>
        <w:rPr>
          <w:rFonts w:ascii="楷体" w:hAnsi="楷体" w:eastAsia="楷体"/>
          <w:sz w:val="32"/>
          <w:szCs w:val="32"/>
        </w:rPr>
      </w:pPr>
      <w:r>
        <w:rPr>
          <w:rFonts w:hint="eastAsia" w:ascii="楷体" w:hAnsi="楷体" w:eastAsia="楷体"/>
          <w:sz w:val="32"/>
          <w:szCs w:val="32"/>
        </w:rPr>
        <w:t>（一）部门职能与机构设置</w:t>
      </w:r>
    </w:p>
    <w:p w14:paraId="709790D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昌黎县人民法院是国家的审判机构，在县委县政府和上级法院的监督指导下，依法独立行使审判权，对县人民代表大会及其常务委员会负责并报告工作。主要职责是：</w:t>
      </w:r>
    </w:p>
    <w:p w14:paraId="5792920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1.依法审判法律规定由昌黎县人民法院管辖的刑事、民事、行政等第一审案件。</w:t>
      </w:r>
    </w:p>
    <w:p w14:paraId="694E4508">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2.依法审判上级人民法院指定、同级人民法院移送的刑事、民事、行政等第一审案件。</w:t>
      </w:r>
    </w:p>
    <w:p w14:paraId="1992F6C0">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3.审查和受理各类申诉案件，审判各类再审案件，处理来信来访。</w:t>
      </w:r>
    </w:p>
    <w:p w14:paraId="26F09F7C">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4.依法处理发生法律效力的民事、行政案件判决和裁定执行事项及刑事案件判决和裁定中关于财产部分的执行事项；办理法律规定由基层人民法院执行的其他法律文书的执行事项。</w:t>
      </w:r>
    </w:p>
    <w:p w14:paraId="2A76AB71">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5.负责审判工作的调查研究，总结审判工作经验。</w:t>
      </w:r>
    </w:p>
    <w:p w14:paraId="098C0DA2">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6.负责干警思想政治教育和业务培训工作；按照权限管理法官和其他工作人员。</w:t>
      </w:r>
    </w:p>
    <w:p w14:paraId="224BEACC">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7.管理有关经费及物资装备。</w:t>
      </w:r>
    </w:p>
    <w:p w14:paraId="3CD43A2C">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8.负责司法技术鉴定、通讯、计算机等技术管理工作。</w:t>
      </w:r>
    </w:p>
    <w:p w14:paraId="7592A352">
      <w:pPr>
        <w:pStyle w:val="5"/>
        <w:snapToGrid/>
        <w:ind w:firstLine="640" w:firstLineChars="200"/>
        <w:jc w:val="both"/>
        <w:rPr>
          <w:rFonts w:ascii="仿宋_GB2312" w:hAnsi="仿宋_GB2312" w:cs="仿宋_GB2312"/>
          <w:sz w:val="32"/>
          <w:szCs w:val="32"/>
        </w:rPr>
      </w:pPr>
      <w:r>
        <w:rPr>
          <w:rFonts w:hint="eastAsia" w:ascii="仿宋_GB2312" w:hAnsi="仿宋_GB2312" w:cs="仿宋_GB2312"/>
          <w:sz w:val="32"/>
          <w:szCs w:val="32"/>
        </w:rPr>
        <w:t>9.负责审判工作中的法制宣传，教育公民忠于祖国、自觉遵守宪法、法律和社会公德。</w:t>
      </w:r>
    </w:p>
    <w:p w14:paraId="7FAA41A4">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10.完成其他应由昌黎县人民法院负责的工作。</w:t>
      </w:r>
    </w:p>
    <w:p w14:paraId="30533A3C">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机构设置情况</w:t>
      </w:r>
    </w:p>
    <w:p w14:paraId="26866D3F">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立案庭（诉讼服务中心）</w:t>
      </w:r>
    </w:p>
    <w:p w14:paraId="3E4D68B4">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刑事审判庭</w:t>
      </w:r>
    </w:p>
    <w:p w14:paraId="7DFAB40D">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民事审判一庭</w:t>
      </w:r>
    </w:p>
    <w:p w14:paraId="161969FB">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民事审判二庭</w:t>
      </w:r>
    </w:p>
    <w:p w14:paraId="1ADA54DD">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行政审判庭（综合审判庭）</w:t>
      </w:r>
    </w:p>
    <w:p w14:paraId="2E41FE3D">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执行局</w:t>
      </w:r>
    </w:p>
    <w:p w14:paraId="542ED948">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政治部（机关党委）</w:t>
      </w:r>
    </w:p>
    <w:p w14:paraId="06972753">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综合办公室</w:t>
      </w:r>
    </w:p>
    <w:p w14:paraId="3B1E8B39">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审判管理办公室（研究室）</w:t>
      </w:r>
    </w:p>
    <w:p w14:paraId="43E11EE9">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司法警察大队</w:t>
      </w:r>
    </w:p>
    <w:p w14:paraId="2F586DF6">
      <w:pPr>
        <w:jc w:val="left"/>
        <w:rPr>
          <w:rFonts w:ascii="楷体" w:hAnsi="楷体" w:eastAsia="楷体"/>
          <w:sz w:val="32"/>
          <w:szCs w:val="32"/>
        </w:rPr>
      </w:pPr>
      <w:r>
        <w:rPr>
          <w:rFonts w:hint="eastAsia" w:ascii="楷体" w:hAnsi="楷体" w:eastAsia="楷体"/>
          <w:sz w:val="32"/>
          <w:szCs w:val="32"/>
        </w:rPr>
        <w:t>（二）人员情况</w:t>
      </w:r>
    </w:p>
    <w:p w14:paraId="4A3286EF">
      <w:pPr>
        <w:ind w:firstLine="640" w:firstLineChars="200"/>
        <w:jc w:val="left"/>
        <w:rPr>
          <w:rFonts w:ascii="仿宋" w:hAnsi="仿宋" w:eastAsia="仿宋"/>
          <w:sz w:val="32"/>
          <w:szCs w:val="32"/>
        </w:rPr>
      </w:pPr>
      <w:r>
        <w:rPr>
          <w:rFonts w:hint="eastAsia" w:ascii="仿宋_GB2312" w:hAnsi="仿宋_GB2312" w:eastAsia="仿宋_GB2312" w:cs="仿宋_GB2312"/>
          <w:sz w:val="32"/>
          <w:szCs w:val="32"/>
        </w:rPr>
        <w:t>截至2021年末，法院中央政法编制105人，实有在职干警104人，劳务派遣人员47人。</w:t>
      </w:r>
    </w:p>
    <w:p w14:paraId="231EFC15">
      <w:pPr>
        <w:jc w:val="left"/>
        <w:rPr>
          <w:rFonts w:ascii="楷体" w:hAnsi="楷体" w:eastAsia="楷体"/>
          <w:sz w:val="32"/>
          <w:szCs w:val="32"/>
        </w:rPr>
      </w:pPr>
      <w:r>
        <w:rPr>
          <w:rFonts w:hint="eastAsia" w:ascii="楷体" w:hAnsi="楷体" w:eastAsia="楷体"/>
          <w:sz w:val="32"/>
          <w:szCs w:val="32"/>
        </w:rPr>
        <w:t>（三）部门年度总体工作任务和重点工作任务</w:t>
      </w:r>
    </w:p>
    <w:p w14:paraId="1E383EA4">
      <w:pPr>
        <w:widowControl/>
        <w:shd w:val="clear" w:color="auto" w:fill="FFFFFF"/>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1.强化审判职能，依法惩治刑事犯罪，坚持服务民生，妥善处理与民生密切相关的矛盾纠纷，深化执行体制改革，着力解决执行难。</w:t>
      </w:r>
    </w:p>
    <w:p w14:paraId="3FDAF9E4">
      <w:pPr>
        <w:widowControl/>
        <w:shd w:val="clear" w:color="auto" w:fill="FFFFFF"/>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2.践行司法为民，公正司法的目标，为群众提供高效、便捷的诉讼服务。</w:t>
      </w:r>
    </w:p>
    <w:p w14:paraId="2B82EBBA">
      <w:pPr>
        <w:widowControl/>
        <w:shd w:val="clear" w:color="auto" w:fill="FFFFFF"/>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3.推进司法改革，不断完善审判流程、开庭审理、裁判文书、执行信息等公开平台建设。 </w:t>
      </w:r>
    </w:p>
    <w:p w14:paraId="74361C87">
      <w:pPr>
        <w:widowControl/>
        <w:shd w:val="clear" w:color="auto" w:fill="FFFFFF"/>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4.坚持从严治院,建设法院队伍新形象，狠抓思想政治建设、廉政作风建设和学习型法院建设。</w:t>
      </w:r>
    </w:p>
    <w:p w14:paraId="61AF328B">
      <w:pPr>
        <w:widowControl/>
        <w:shd w:val="clear" w:color="auto" w:fill="FFFFFF"/>
        <w:spacing w:line="400" w:lineRule="atLeast"/>
        <w:ind w:firstLine="640" w:firstLineChars="200"/>
        <w:jc w:val="left"/>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5.夯实基层基础,加强司法保障，加大“智慧法院”建设投入，强化庭审直播、诉讼服务、文书公开、执行信息公开、司法查控、网上拍卖、远程办案、视频监控等信息化工作体系。</w:t>
      </w:r>
    </w:p>
    <w:p w14:paraId="7D8DFD2E">
      <w:pPr>
        <w:jc w:val="left"/>
        <w:rPr>
          <w:rFonts w:ascii="楷体" w:hAnsi="楷体" w:eastAsia="楷体"/>
          <w:sz w:val="32"/>
          <w:szCs w:val="32"/>
        </w:rPr>
      </w:pPr>
      <w:r>
        <w:rPr>
          <w:rFonts w:hint="eastAsia" w:ascii="楷体" w:hAnsi="楷体" w:eastAsia="楷体"/>
          <w:sz w:val="32"/>
          <w:szCs w:val="32"/>
        </w:rPr>
        <w:t>（四）部门年度整体收支情况</w:t>
      </w:r>
    </w:p>
    <w:p w14:paraId="7A9C6963">
      <w:pPr>
        <w:widowControl/>
        <w:shd w:val="clear" w:color="auto" w:fill="FFFFFF"/>
        <w:ind w:firstLine="640" w:firstLineChars="200"/>
        <w:rPr>
          <w:rFonts w:ascii="仿宋" w:hAnsi="仿宋" w:eastAsia="仿宋"/>
          <w:spacing w:val="-2"/>
          <w:sz w:val="28"/>
          <w:szCs w:val="28"/>
        </w:rPr>
      </w:pPr>
      <w:r>
        <w:rPr>
          <w:rFonts w:hint="eastAsia" w:ascii="仿宋_GB2312" w:hAnsi="仿宋_GB2312" w:eastAsia="仿宋_GB2312" w:cs="仿宋_GB2312"/>
          <w:sz w:val="32"/>
          <w:szCs w:val="32"/>
        </w:rPr>
        <w:t>本部门2021年度全年预算数为2418.26万元，其中：基本支出</w:t>
      </w:r>
      <w:r>
        <w:rPr>
          <w:rFonts w:ascii="仿宋_GB2312" w:hAnsi="仿宋_GB2312" w:eastAsia="仿宋_GB2312" w:cs="仿宋_GB2312"/>
          <w:color w:val="000000" w:themeColor="text1"/>
          <w:sz w:val="32"/>
          <w:szCs w:val="32"/>
        </w:rPr>
        <w:t>1451.1</w:t>
      </w:r>
      <w:r>
        <w:rPr>
          <w:rFonts w:hint="eastAsia" w:ascii="仿宋_GB2312" w:hAnsi="仿宋_GB2312" w:eastAsia="仿宋_GB2312" w:cs="仿宋_GB2312"/>
          <w:color w:val="000000" w:themeColor="text1"/>
          <w:sz w:val="32"/>
          <w:szCs w:val="32"/>
        </w:rPr>
        <w:t>6</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color w:val="000000" w:themeColor="text1"/>
          <w:sz w:val="32"/>
          <w:szCs w:val="32"/>
        </w:rPr>
        <w:t>967.1</w:t>
      </w:r>
      <w:r>
        <w:rPr>
          <w:rFonts w:hint="eastAsia" w:ascii="仿宋_GB2312" w:hAnsi="仿宋_GB2312" w:eastAsia="仿宋_GB2312" w:cs="仿宋_GB2312"/>
          <w:sz w:val="32"/>
          <w:szCs w:val="32"/>
        </w:rPr>
        <w:t>万元。全年预算执行数为2418.26万元，其中基本支出为</w:t>
      </w:r>
      <w:r>
        <w:rPr>
          <w:rFonts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rPr>
        <w:t>451.16</w:t>
      </w:r>
      <w:r>
        <w:rPr>
          <w:rFonts w:hint="eastAsia" w:ascii="仿宋_GB2312" w:hAnsi="仿宋_GB2312" w:eastAsia="仿宋_GB2312" w:cs="仿宋_GB2312"/>
          <w:sz w:val="32"/>
          <w:szCs w:val="32"/>
        </w:rPr>
        <w:t>万元，项目支出为967.1万元。</w:t>
      </w:r>
      <w:r>
        <w:rPr>
          <w:rFonts w:hint="eastAsia" w:ascii="仿宋" w:hAnsi="仿宋" w:eastAsia="仿宋"/>
          <w:sz w:val="32"/>
          <w:szCs w:val="32"/>
        </w:rPr>
        <w:t>基本支出包括人员经费支出和公用经费支出。项目支出主要用于办案业务经费、业务装备及维修维护费等。我院</w:t>
      </w:r>
      <w:r>
        <w:rPr>
          <w:rFonts w:ascii="仿宋" w:hAnsi="仿宋" w:eastAsia="仿宋"/>
          <w:sz w:val="32"/>
          <w:szCs w:val="32"/>
        </w:rPr>
        <w:t>严格落实</w:t>
      </w:r>
      <w:r>
        <w:rPr>
          <w:rFonts w:hint="eastAsia" w:ascii="仿宋" w:hAnsi="仿宋" w:eastAsia="仿宋"/>
          <w:sz w:val="32"/>
          <w:szCs w:val="32"/>
        </w:rPr>
        <w:t>专项</w:t>
      </w:r>
      <w:r>
        <w:rPr>
          <w:rFonts w:ascii="仿宋" w:hAnsi="仿宋" w:eastAsia="仿宋"/>
          <w:sz w:val="32"/>
          <w:szCs w:val="32"/>
        </w:rPr>
        <w:t>资金专款专用原则</w:t>
      </w:r>
      <w:r>
        <w:rPr>
          <w:rFonts w:hint="eastAsia" w:ascii="仿宋" w:hAnsi="仿宋" w:eastAsia="仿宋"/>
          <w:sz w:val="32"/>
          <w:szCs w:val="32"/>
        </w:rPr>
        <w:t>，</w:t>
      </w:r>
      <w:r>
        <w:rPr>
          <w:rFonts w:ascii="仿宋" w:hAnsi="仿宋" w:eastAsia="仿宋"/>
          <w:sz w:val="32"/>
          <w:szCs w:val="32"/>
        </w:rPr>
        <w:t>实行“专人管理、专账核算、专项使用”</w:t>
      </w:r>
      <w:r>
        <w:rPr>
          <w:rFonts w:hint="eastAsia" w:ascii="仿宋" w:hAnsi="仿宋" w:eastAsia="仿宋"/>
          <w:sz w:val="32"/>
          <w:szCs w:val="32"/>
        </w:rPr>
        <w:t>，</w:t>
      </w:r>
      <w:r>
        <w:rPr>
          <w:rFonts w:ascii="仿宋" w:hAnsi="仿宋" w:eastAsia="仿宋"/>
          <w:sz w:val="32"/>
          <w:szCs w:val="32"/>
        </w:rPr>
        <w:t>严格按照行政单位会计制度规定进行会计核算和财务处理，财务处理及时、会计核算规范，项目支出费用审批流程规范，支出用途清晰</w:t>
      </w:r>
      <w:r>
        <w:rPr>
          <w:rFonts w:hint="eastAsia" w:ascii="仿宋" w:hAnsi="仿宋" w:eastAsia="仿宋"/>
          <w:sz w:val="32"/>
          <w:szCs w:val="32"/>
        </w:rPr>
        <w:t>，</w:t>
      </w:r>
      <w:r>
        <w:rPr>
          <w:rFonts w:ascii="仿宋" w:hAnsi="仿宋" w:eastAsia="仿宋"/>
          <w:sz w:val="32"/>
          <w:szCs w:val="32"/>
        </w:rPr>
        <w:t>对于该资金使用合规，无截留、挤占、挪用、虚列支出等情况</w:t>
      </w:r>
      <w:r>
        <w:rPr>
          <w:rFonts w:hint="eastAsia" w:ascii="仿宋" w:hAnsi="仿宋" w:eastAsia="仿宋"/>
          <w:sz w:val="32"/>
          <w:szCs w:val="32"/>
        </w:rPr>
        <w:t>。</w:t>
      </w:r>
    </w:p>
    <w:p w14:paraId="66B45522">
      <w:pPr>
        <w:jc w:val="left"/>
        <w:rPr>
          <w:rFonts w:ascii="楷体" w:hAnsi="楷体" w:eastAsia="楷体"/>
          <w:sz w:val="32"/>
          <w:szCs w:val="32"/>
        </w:rPr>
      </w:pPr>
      <w:r>
        <w:rPr>
          <w:rFonts w:hint="eastAsia" w:ascii="楷体" w:hAnsi="楷体" w:eastAsia="楷体"/>
          <w:sz w:val="32"/>
          <w:szCs w:val="32"/>
        </w:rPr>
        <w:t>（五）部门年度整体工作目标任务完成情况</w:t>
      </w:r>
    </w:p>
    <w:p w14:paraId="3F662288">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1.依法开展刑事审判，全力维护社会稳定。依法惩治刑事犯罪。依法惩治涉恶、故意伤害、寻衅滋事、抢劫抢夺、绑架、盗窃等严重侵害人民群众生命财产安全犯罪，有力的维护了社会治安稳定。</w:t>
      </w:r>
    </w:p>
    <w:p w14:paraId="6BB6FFED">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2.妥善处理民商纠纷，积极化解社会矛盾。坚持服务民生，妥善处理与民生密切相关的矛盾纠纷，保障劳动者合法权益，促进经济发展，维护市场经济秩序，让人民群众感受到了公平和正义。</w:t>
      </w:r>
    </w:p>
    <w:p w14:paraId="0ED8FF92">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3.加强行政审判工作，促进法治政府建设。坚持监督权力、保护权利、实质性化解行政争议的目标导向，稳妥开展行政审判工作。</w:t>
      </w:r>
    </w:p>
    <w:p w14:paraId="5C5F4484">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4.着力解决执行难。紧紧依靠上级领导支持，落实关于推进切实解决执行难的决议，健全综合治理大格局，执行结案率等主要核心指标居全国法院前列。深化执行体制改革，加大失信惩戒力度。依法惩治规避、抗拒执行行为，多次开展涉金融、涉民生等集中执行活动，《人民法院报》、《今日头条》等对我院的执行行动都予以了报道。在解决执行难的路上，法院干警付出了艰辛努力。</w:t>
      </w:r>
    </w:p>
    <w:p w14:paraId="39BA8F73">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5.推进阳光司法，公开裁判文书，进行庭审直播，全力推进司法公开。举办法院开放日活动，邀请各界群众走进法院参与庭审、见证执行等，主动收集网民意见建议，用心架起一座沟通法院与群众的桥梁。2021年我们的工作取得了巨大发展，得到了各级党委、人大、政府、政协和社会各界的高度认可，达到了较好的社会效果和社会效益。</w:t>
      </w:r>
    </w:p>
    <w:p w14:paraId="57C87A10">
      <w:pPr>
        <w:jc w:val="left"/>
        <w:rPr>
          <w:rFonts w:ascii="黑体" w:hAnsi="黑体" w:eastAsia="黑体"/>
          <w:sz w:val="32"/>
          <w:szCs w:val="32"/>
        </w:rPr>
      </w:pPr>
      <w:r>
        <w:rPr>
          <w:rFonts w:hint="eastAsia" w:ascii="黑体" w:hAnsi="黑体" w:eastAsia="黑体"/>
          <w:sz w:val="32"/>
          <w:szCs w:val="32"/>
        </w:rPr>
        <w:t>二、部门整体自评开展工作</w:t>
      </w:r>
    </w:p>
    <w:p w14:paraId="1569D056">
      <w:pPr>
        <w:jc w:val="left"/>
        <w:rPr>
          <w:rFonts w:ascii="楷体" w:hAnsi="楷体" w:eastAsia="楷体"/>
          <w:sz w:val="32"/>
          <w:szCs w:val="32"/>
        </w:rPr>
      </w:pPr>
      <w:r>
        <w:rPr>
          <w:rFonts w:hint="eastAsia" w:ascii="楷体" w:hAnsi="楷体" w:eastAsia="楷体"/>
          <w:sz w:val="32"/>
          <w:szCs w:val="32"/>
        </w:rPr>
        <w:t>（一）绩效自评实施过程情况</w:t>
      </w:r>
    </w:p>
    <w:p w14:paraId="3591AD4D">
      <w:pPr>
        <w:ind w:firstLine="640" w:firstLineChars="200"/>
        <w:jc w:val="left"/>
        <w:rPr>
          <w:rFonts w:ascii="仿宋" w:hAnsi="仿宋" w:eastAsia="仿宋"/>
          <w:sz w:val="32"/>
          <w:szCs w:val="32"/>
        </w:rPr>
      </w:pPr>
      <w:r>
        <w:rPr>
          <w:rFonts w:hint="eastAsia" w:ascii="仿宋_GB2312" w:hAnsi="仿宋_GB2312" w:eastAsia="仿宋_GB2312" w:cs="仿宋_GB2312"/>
          <w:sz w:val="32"/>
          <w:szCs w:val="32"/>
        </w:rPr>
        <w:t>本部门为进一步加强和规范预算绩效运行管理，确保绩效目标如期保质保量实现，提高财政资金使用效益，按照昌黎县财政局《关于全面实施预算绩效管理的实施意见》（昌财监［2022］3号）文件要求，进行2021年部门整体支出绩效自评。我院专门成立了绩效评价小组，明确各部门责任，确定评价指标细则，并开展问卷调查，由绩效评价小组人员汇总、查阅相关文件资料和财务凭证，对收集的资料进行定量定性分析，最后形成绩效自评报告。本次自评主要从资金是否在规定的范围内使用、开支是否合理、是否依法进行财务管理和会计核算、相关资产管理是否符合规定、绩效目标完成情况及预期程度、预算资金拨付情况、实际支出情况等方面开展工作。</w:t>
      </w:r>
    </w:p>
    <w:p w14:paraId="47B30E90">
      <w:pPr>
        <w:jc w:val="left"/>
        <w:rPr>
          <w:rFonts w:ascii="楷体" w:hAnsi="楷体" w:eastAsia="楷体"/>
          <w:sz w:val="32"/>
          <w:szCs w:val="32"/>
        </w:rPr>
      </w:pPr>
      <w:r>
        <w:rPr>
          <w:rFonts w:hint="eastAsia" w:ascii="楷体" w:hAnsi="楷体" w:eastAsia="楷体"/>
          <w:sz w:val="32"/>
          <w:szCs w:val="32"/>
        </w:rPr>
        <w:t>（二）绩效自评整体结果概况</w:t>
      </w:r>
    </w:p>
    <w:p w14:paraId="0455E2E5">
      <w:pPr>
        <w:ind w:firstLine="640" w:firstLineChars="200"/>
        <w:jc w:val="left"/>
        <w:rPr>
          <w:rFonts w:ascii="仿宋" w:hAnsi="仿宋" w:eastAsia="仿宋"/>
          <w:sz w:val="32"/>
          <w:szCs w:val="32"/>
        </w:rPr>
      </w:pPr>
      <w:r>
        <w:rPr>
          <w:rFonts w:hint="eastAsia" w:ascii="仿宋" w:hAnsi="仿宋" w:eastAsia="仿宋"/>
          <w:sz w:val="32"/>
          <w:szCs w:val="32"/>
        </w:rPr>
        <w:t>本部门能根据上级的工作要求，结合本部门的年度工作重点编制年度预算，合理分配部门预算资金，专项资金严格按照项目库管理要求申报、入库，准确编制功能分类和细化经济分类，资金细化程度合理，无大量、频繁的调剂，财政拨款收入预决算差异率较低。</w:t>
      </w:r>
    </w:p>
    <w:p w14:paraId="41D1F597">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管理方面，本部门项目支出过程实施基本规范，一是项目申报、批复程序符合相关管理办法及内部管理规定，二是项目采购、招投标等按照相关制度规定履行了相应的程序和手续，遵循相应的采购流程，明确资金的申报、采购、执行和验收等环节的管理要求，项目资金做到专款专用。</w:t>
      </w:r>
    </w:p>
    <w:p w14:paraId="2A1C6629">
      <w:pPr>
        <w:ind w:firstLine="640" w:firstLineChars="200"/>
        <w:jc w:val="left"/>
        <w:rPr>
          <w:rFonts w:ascii="仿宋" w:hAnsi="仿宋" w:eastAsia="仿宋"/>
          <w:sz w:val="32"/>
          <w:szCs w:val="32"/>
        </w:rPr>
      </w:pPr>
      <w:r>
        <w:rPr>
          <w:rFonts w:hint="eastAsia" w:ascii="仿宋_GB2312" w:hAnsi="仿宋_GB2312" w:eastAsia="仿宋_GB2312" w:cs="仿宋_GB2312"/>
          <w:sz w:val="32"/>
          <w:szCs w:val="32"/>
        </w:rPr>
        <w:t>2021年度本部门总体工作步入新台阶，取得新进展。坚定不移地履行了人民法院对社会、经济、人民群众的职责。整体支出体现了部门工作重点，促进了经济效益、社会效益、行政效能以及社会公众满意度的提高，更好的维护了司法公正和社会稳定。</w:t>
      </w:r>
    </w:p>
    <w:p w14:paraId="4301A4B4">
      <w:pPr>
        <w:jc w:val="left"/>
        <w:rPr>
          <w:rFonts w:ascii="黑体" w:hAnsi="黑体" w:eastAsia="黑体"/>
          <w:sz w:val="32"/>
          <w:szCs w:val="32"/>
        </w:rPr>
      </w:pPr>
      <w:r>
        <w:rPr>
          <w:rFonts w:hint="eastAsia" w:ascii="黑体" w:hAnsi="黑体" w:eastAsia="黑体"/>
          <w:sz w:val="32"/>
          <w:szCs w:val="32"/>
        </w:rPr>
        <w:t>三、部门整体支出绩效自评分析</w:t>
      </w:r>
    </w:p>
    <w:p w14:paraId="34E336F1">
      <w:pPr>
        <w:jc w:val="left"/>
        <w:rPr>
          <w:rFonts w:ascii="楷体" w:hAnsi="楷体" w:eastAsia="楷体"/>
          <w:sz w:val="32"/>
          <w:szCs w:val="32"/>
        </w:rPr>
      </w:pPr>
      <w:r>
        <w:rPr>
          <w:rFonts w:hint="eastAsia" w:ascii="楷体" w:hAnsi="楷体" w:eastAsia="楷体"/>
          <w:sz w:val="32"/>
          <w:szCs w:val="32"/>
        </w:rPr>
        <w:t>（一）投入情况分析</w:t>
      </w:r>
    </w:p>
    <w:p w14:paraId="537BD202">
      <w:pPr>
        <w:ind w:firstLine="640" w:firstLineChars="200"/>
        <w:jc w:val="left"/>
        <w:rPr>
          <w:rFonts w:ascii="仿宋" w:hAnsi="仿宋" w:eastAsia="仿宋"/>
          <w:sz w:val="32"/>
          <w:szCs w:val="32"/>
        </w:rPr>
      </w:pPr>
      <w:r>
        <w:rPr>
          <w:rFonts w:hint="eastAsia" w:ascii="仿宋" w:hAnsi="仿宋" w:eastAsia="仿宋"/>
          <w:sz w:val="32"/>
          <w:szCs w:val="32"/>
        </w:rPr>
        <w:t>1.预算编制。本部门严格按照相关预算编制文件要求编制2021年度部门预算，在规范性和细致程度方面符合编制要求。本部门预算编制和分配基本符合部门职责、符合上级部门的工作要求、符合财政当年度有关预算编制的原则和要求，预算资金能根据年度工作重点在不同项目、不同用途之间合理分配。</w:t>
      </w:r>
    </w:p>
    <w:p w14:paraId="020E1BAE">
      <w:pPr>
        <w:ind w:firstLine="640" w:firstLineChars="200"/>
        <w:jc w:val="left"/>
        <w:rPr>
          <w:rFonts w:ascii="仿宋" w:hAnsi="仿宋" w:eastAsia="仿宋"/>
          <w:sz w:val="32"/>
          <w:szCs w:val="32"/>
        </w:rPr>
      </w:pPr>
      <w:r>
        <w:rPr>
          <w:rFonts w:hint="eastAsia" w:ascii="仿宋" w:hAnsi="仿宋" w:eastAsia="仿宋"/>
          <w:sz w:val="32"/>
          <w:szCs w:val="32"/>
        </w:rPr>
        <w:t>2.目标设定。</w:t>
      </w:r>
    </w:p>
    <w:p w14:paraId="198C2DF3">
      <w:pPr>
        <w:ind w:firstLine="640" w:firstLineChars="200"/>
        <w:jc w:val="left"/>
        <w:rPr>
          <w:rFonts w:ascii="Arial" w:hAnsi="Arial" w:cs="Arial"/>
          <w:color w:val="000000"/>
          <w:shd w:val="clear" w:color="auto" w:fill="F7F7F7"/>
        </w:rPr>
      </w:pPr>
      <w:r>
        <w:rPr>
          <w:rFonts w:hint="eastAsia" w:ascii="仿宋" w:hAnsi="仿宋" w:eastAsia="仿宋"/>
          <w:sz w:val="32"/>
          <w:szCs w:val="32"/>
        </w:rPr>
        <w:t>（1）职责明确性。本部门的职责设定符合“三定”方案中所赋予的职责和年度承担的重点工作。明确了院内各庭室各阶段的工作任务和工作重点，部门职责明确清晰。</w:t>
      </w:r>
    </w:p>
    <w:p w14:paraId="1FC45502">
      <w:pPr>
        <w:ind w:firstLine="640" w:firstLineChars="200"/>
        <w:jc w:val="left"/>
        <w:rPr>
          <w:rFonts w:ascii="仿宋" w:hAnsi="仿宋" w:eastAsia="仿宋"/>
          <w:sz w:val="32"/>
          <w:szCs w:val="32"/>
        </w:rPr>
      </w:pPr>
      <w:r>
        <w:rPr>
          <w:rFonts w:hint="eastAsia" w:ascii="仿宋" w:hAnsi="仿宋" w:eastAsia="仿宋"/>
          <w:sz w:val="32"/>
          <w:szCs w:val="32"/>
        </w:rPr>
        <w:t>（2）活动合规性。本部门活动的设定在部门所确定的职责范围内，符合市委、市政府的发展规划以及本部门的年度工作安排与发展规划。</w:t>
      </w:r>
    </w:p>
    <w:p w14:paraId="372793A4">
      <w:pPr>
        <w:ind w:firstLine="640" w:firstLineChars="200"/>
        <w:jc w:val="left"/>
        <w:rPr>
          <w:rFonts w:ascii="仿宋" w:hAnsi="仿宋" w:eastAsia="仿宋"/>
          <w:sz w:val="32"/>
          <w:szCs w:val="32"/>
        </w:rPr>
      </w:pPr>
      <w:r>
        <w:rPr>
          <w:rFonts w:hint="eastAsia" w:ascii="仿宋" w:hAnsi="仿宋" w:eastAsia="仿宋"/>
          <w:sz w:val="32"/>
          <w:szCs w:val="32"/>
        </w:rPr>
        <w:t>（3）活动合理性。本部门紧紧围绕“努力让人民群众在每一个司法案件中感受到公平正义”这一总体目标。所设立的整体目标依据充分、符合客观实际，活动目标的设定是可量化可衡量的。</w:t>
      </w:r>
    </w:p>
    <w:p w14:paraId="1059E3D6">
      <w:pPr>
        <w:jc w:val="left"/>
        <w:rPr>
          <w:rFonts w:ascii="楷体" w:hAnsi="楷体" w:eastAsia="楷体"/>
          <w:sz w:val="32"/>
          <w:szCs w:val="32"/>
        </w:rPr>
      </w:pPr>
      <w:r>
        <w:rPr>
          <w:rFonts w:hint="eastAsia" w:ascii="楷体" w:hAnsi="楷体" w:eastAsia="楷体"/>
          <w:sz w:val="32"/>
          <w:szCs w:val="32"/>
        </w:rPr>
        <w:t>（二）执行管理情况分析</w:t>
      </w:r>
    </w:p>
    <w:p w14:paraId="6C3AC05F">
      <w:pPr>
        <w:ind w:firstLine="640" w:firstLineChars="200"/>
        <w:jc w:val="left"/>
        <w:rPr>
          <w:rFonts w:ascii="仿宋" w:hAnsi="仿宋" w:eastAsia="仿宋"/>
          <w:sz w:val="32"/>
          <w:szCs w:val="32"/>
        </w:rPr>
      </w:pPr>
      <w:r>
        <w:rPr>
          <w:rFonts w:hint="eastAsia" w:ascii="仿宋" w:hAnsi="仿宋" w:eastAsia="仿宋"/>
          <w:sz w:val="32"/>
          <w:szCs w:val="32"/>
        </w:rPr>
        <w:t>1.资金执行、控制情况。本部门根据实际支出需求合理有效安排实施，有效控制了部门的运转成本，节约了财政资金。</w:t>
      </w:r>
    </w:p>
    <w:p w14:paraId="61CCBB63">
      <w:pPr>
        <w:ind w:firstLine="640" w:firstLineChars="200"/>
        <w:jc w:val="left"/>
        <w:rPr>
          <w:rFonts w:ascii="仿宋" w:hAnsi="仿宋" w:eastAsia="仿宋"/>
          <w:sz w:val="32"/>
          <w:szCs w:val="32"/>
        </w:rPr>
      </w:pPr>
      <w:r>
        <w:rPr>
          <w:rFonts w:hint="eastAsia" w:ascii="仿宋" w:hAnsi="仿宋" w:eastAsia="仿宋"/>
          <w:sz w:val="32"/>
          <w:szCs w:val="32"/>
        </w:rPr>
        <w:t>2.项目完成情况。2021年共计5个项目，</w:t>
      </w:r>
      <w:r>
        <w:rPr>
          <w:rFonts w:hint="eastAsia" w:ascii="仿宋_GB2312" w:hAnsi="仿宋_GB2312" w:eastAsia="仿宋_GB2312" w:cs="仿宋_GB2312"/>
          <w:sz w:val="32"/>
          <w:szCs w:val="32"/>
        </w:rPr>
        <w:t>维护了当事人的合法权益。业务装备及办案专款项目采购了掌上执法终端等办公设备，为高效办案提供了便利；加强了对于办公用车的维护保养，为办案出行提供了良好的条件,提高了干警的工作效率及质量，提高干警的综合素质。2021年提前下达全省系统建设补助资金项目</w:t>
      </w:r>
      <w:r>
        <w:rPr>
          <w:rFonts w:hint="eastAsia" w:ascii="仿宋_GB2312" w:hAnsi="仿宋_GB2312" w:eastAsia="仿宋_GB2312" w:cs="仿宋_GB2312"/>
          <w:color w:val="000000" w:themeColor="text1"/>
          <w:sz w:val="32"/>
          <w:szCs w:val="32"/>
        </w:rPr>
        <w:t>改善了机关、基层法庭办公环境，为高效审判提供良好的外在条件，间接辅助提升审判执行工作质量和效率。</w:t>
      </w:r>
    </w:p>
    <w:p w14:paraId="6CE870A4">
      <w:pPr>
        <w:jc w:val="left"/>
        <w:rPr>
          <w:rFonts w:ascii="楷体" w:hAnsi="楷体" w:eastAsia="楷体"/>
          <w:sz w:val="32"/>
          <w:szCs w:val="32"/>
        </w:rPr>
      </w:pPr>
      <w:r>
        <w:rPr>
          <w:rFonts w:hint="eastAsia" w:ascii="楷体" w:hAnsi="楷体" w:eastAsia="楷体"/>
          <w:sz w:val="32"/>
          <w:szCs w:val="32"/>
        </w:rPr>
        <w:t>（三）支出绩效情况分析</w:t>
      </w:r>
    </w:p>
    <w:p w14:paraId="1B53154F">
      <w:pPr>
        <w:ind w:firstLine="640" w:firstLineChars="200"/>
        <w:jc w:val="left"/>
        <w:rPr>
          <w:rFonts w:ascii="仿宋" w:hAnsi="仿宋" w:eastAsia="仿宋"/>
          <w:sz w:val="32"/>
          <w:szCs w:val="32"/>
        </w:rPr>
      </w:pPr>
      <w:r>
        <w:rPr>
          <w:rFonts w:hint="eastAsia" w:ascii="仿宋_GB2312" w:hAnsi="仿宋_GB2312" w:eastAsia="仿宋_GB2312" w:cs="仿宋_GB2312"/>
          <w:sz w:val="32"/>
          <w:szCs w:val="32"/>
        </w:rPr>
        <w:t>2021年度财政拨款基本支出</w:t>
      </w:r>
      <w:r>
        <w:rPr>
          <w:rFonts w:ascii="仿宋_GB2312" w:hAnsi="仿宋_GB2312" w:eastAsia="仿宋_GB2312" w:cs="仿宋_GB2312"/>
          <w:color w:val="000000" w:themeColor="text1"/>
          <w:sz w:val="32"/>
          <w:szCs w:val="32"/>
        </w:rPr>
        <w:t>1451.1</w:t>
      </w:r>
      <w:r>
        <w:rPr>
          <w:rFonts w:hint="eastAsia" w:ascii="仿宋_GB2312" w:hAnsi="仿宋_GB2312" w:eastAsia="仿宋_GB2312" w:cs="仿宋_GB2312"/>
          <w:color w:val="000000" w:themeColor="text1"/>
          <w:sz w:val="32"/>
          <w:szCs w:val="32"/>
        </w:rPr>
        <w:t>6</w:t>
      </w:r>
      <w:r>
        <w:rPr>
          <w:rFonts w:hint="eastAsia" w:ascii="仿宋_GB2312" w:hAnsi="仿宋_GB2312" w:eastAsia="仿宋_GB2312" w:cs="仿宋_GB2312"/>
          <w:sz w:val="32"/>
          <w:szCs w:val="32"/>
        </w:rPr>
        <w:t>万元，其中：人员经费主要包括基本工资、津贴补贴、奖金、机关事业单位基本养老保险缴费、职工基本医疗保险缴费、其他社会保障缴费、住房公积金、医疗费、其他社会保障缴费、对个人和家庭的补助、离休费、退休费、抚恤金、生活补助、助学金、奖励金；公用经费主要包括办公费、印刷费、咨询费、手续费、水费、电费、邮电费、取暖费、维修（护）费、租赁费、</w:t>
      </w:r>
      <w:r>
        <w:rPr>
          <w:rFonts w:hint="eastAsia" w:ascii="仿宋" w:hAnsi="仿宋" w:eastAsia="仿宋" w:cs="DengXian-Regular"/>
          <w:sz w:val="32"/>
          <w:szCs w:val="32"/>
        </w:rPr>
        <w:t>公务接待费、劳务费、委托业务费、工会经费、公务用车运行维护费、其他交通费用、其他商品和服务支出、办公设备购</w:t>
      </w:r>
      <w:r>
        <w:rPr>
          <w:rFonts w:hint="eastAsia" w:ascii="仿宋_GB2312" w:hAnsi="仿宋_GB2312" w:eastAsia="仿宋_GB2312" w:cs="仿宋_GB2312"/>
          <w:sz w:val="32"/>
          <w:szCs w:val="32"/>
        </w:rPr>
        <w:t>置、专用设备购置。项目支出</w:t>
      </w:r>
      <w:r>
        <w:rPr>
          <w:rFonts w:hint="eastAsia" w:ascii="仿宋_GB2312" w:hAnsi="仿宋_GB2312" w:eastAsia="仿宋_GB2312" w:cs="仿宋_GB2312"/>
          <w:color w:val="000000" w:themeColor="text1"/>
          <w:sz w:val="32"/>
          <w:szCs w:val="32"/>
        </w:rPr>
        <w:t>967.1</w:t>
      </w:r>
      <w:r>
        <w:rPr>
          <w:rFonts w:hint="eastAsia" w:ascii="仿宋_GB2312" w:hAnsi="仿宋_GB2312" w:eastAsia="仿宋_GB2312" w:cs="仿宋_GB2312"/>
          <w:sz w:val="32"/>
          <w:szCs w:val="32"/>
        </w:rPr>
        <w:t>万元。上述支出保障了本部门高效运行。本部门年初工作目标制定明确，各项工作任务都按照计划有序实施，完成数量和质量均得到有效控制，各项工作计划实施需要的人力、经费等各项条件得到了充分保障，实施过程监管到位，部门日常管理、财务管理、资产管理等水平总体提高，通过各项工作计划的组织实施，提高了社会公众对法院工作的满意程度，产生了较明显的社会经济效益。</w:t>
      </w:r>
    </w:p>
    <w:p w14:paraId="6301E01B">
      <w:pPr>
        <w:jc w:val="left"/>
        <w:rPr>
          <w:rFonts w:ascii="黑体" w:hAnsi="黑体" w:eastAsia="黑体"/>
          <w:sz w:val="32"/>
          <w:szCs w:val="32"/>
        </w:rPr>
      </w:pPr>
      <w:r>
        <w:rPr>
          <w:rFonts w:hint="eastAsia" w:ascii="黑体" w:hAnsi="黑体" w:eastAsia="黑体"/>
          <w:sz w:val="32"/>
          <w:szCs w:val="32"/>
        </w:rPr>
        <w:t>四、存在的问题</w:t>
      </w:r>
    </w:p>
    <w:p w14:paraId="2CC369C2">
      <w:pPr>
        <w:ind w:firstLine="640" w:firstLineChars="200"/>
        <w:jc w:val="left"/>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（一）</w:t>
      </w:r>
      <w:r>
        <w:rPr>
          <w:rFonts w:ascii="仿宋" w:hAnsi="仿宋" w:eastAsia="仿宋"/>
          <w:color w:val="000000"/>
          <w:sz w:val="32"/>
          <w:szCs w:val="32"/>
          <w:shd w:val="clear" w:color="auto" w:fill="FFFFFF"/>
        </w:rPr>
        <w:t>预算编制有待进一步加强，预算执行力度不够</w:t>
      </w:r>
      <w:r>
        <w:rPr>
          <w:rFonts w:hint="eastAsia" w:ascii="仿宋" w:hAnsi="仿宋" w:eastAsia="仿宋"/>
          <w:color w:val="000000"/>
          <w:sz w:val="32"/>
          <w:szCs w:val="32"/>
          <w:shd w:val="clear" w:color="auto" w:fill="FFFFFF"/>
        </w:rPr>
        <w:t>。</w:t>
      </w:r>
    </w:p>
    <w:p w14:paraId="1596A564">
      <w:pPr>
        <w:ind w:firstLine="640" w:firstLineChars="200"/>
        <w:jc w:val="left"/>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（二）案件增幅过快，案多人少矛盾突出，在审判管理、信息化支撑等方面有待进一步提升。</w:t>
      </w:r>
    </w:p>
    <w:p w14:paraId="30D598AF">
      <w:pPr>
        <w:jc w:val="left"/>
        <w:rPr>
          <w:rFonts w:ascii="黑体" w:hAnsi="黑体" w:eastAsia="黑体"/>
          <w:sz w:val="32"/>
          <w:szCs w:val="32"/>
        </w:rPr>
      </w:pPr>
      <w:r>
        <w:rPr>
          <w:rFonts w:hint="eastAsia" w:ascii="黑体" w:hAnsi="黑体" w:eastAsia="黑体"/>
          <w:sz w:val="32"/>
          <w:szCs w:val="32"/>
        </w:rPr>
        <w:t>五、整改措施或建议</w:t>
      </w:r>
    </w:p>
    <w:p w14:paraId="46B7E206">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（一）加强法规、制度学习，科学合理编制预算，严格执行预算，加强预算执行力，进一步加强预算支出的审核、跟踪及执行。做到决算与预算相衔接，切实提高部门收支管理水平。</w:t>
      </w:r>
    </w:p>
    <w:p w14:paraId="3025BB36">
      <w:pPr>
        <w:widowControl/>
        <w:shd w:val="clear" w:color="auto" w:fill="FFFFFF"/>
        <w:ind w:firstLine="640" w:firstLineChars="200"/>
        <w:jc w:val="left"/>
        <w:rPr>
          <w:rFonts w:ascii="仿宋" w:hAnsi="仿宋" w:eastAsia="仿宋"/>
          <w:sz w:val="32"/>
          <w:szCs w:val="32"/>
        </w:rPr>
      </w:pPr>
      <w:r>
        <w:rPr>
          <w:rFonts w:hint="eastAsia" w:ascii="仿宋" w:hAnsi="仿宋" w:eastAsia="仿宋"/>
          <w:sz w:val="32"/>
          <w:szCs w:val="32"/>
        </w:rPr>
        <w:t>（二）加强经费支出管理，保障审判执行工作和机关正常运行。加强经费审批和控制。进一步贯彻落实中央八项规定</w:t>
      </w:r>
      <w:bookmarkStart w:id="0" w:name="_GoBack"/>
      <w:bookmarkEnd w:id="0"/>
      <w:r>
        <w:rPr>
          <w:rFonts w:hint="eastAsia" w:ascii="仿宋" w:hAnsi="仿宋" w:eastAsia="仿宋"/>
          <w:sz w:val="32"/>
          <w:szCs w:val="32"/>
        </w:rPr>
        <w:t>的要求，发扬艰苦奋斗精神，加强经费审批和控制，坚持厉行节约和统筹谋划，制定相应节约措施，严格管理，内部挖潜，严控经费支出，确保重点和刚需支出，保障审判执行工作和机关正常运行。</w:t>
      </w:r>
    </w:p>
    <w:p w14:paraId="1E35F0B3">
      <w:pPr>
        <w:jc w:val="left"/>
        <w:rPr>
          <w:rFonts w:ascii="黑体" w:hAnsi="黑体" w:eastAsia="黑体"/>
          <w:sz w:val="32"/>
          <w:szCs w:val="32"/>
        </w:rPr>
      </w:pPr>
      <w:r>
        <w:rPr>
          <w:rFonts w:hint="eastAsia" w:ascii="黑体" w:hAnsi="黑体" w:eastAsia="黑体"/>
          <w:sz w:val="32"/>
          <w:szCs w:val="32"/>
        </w:rPr>
        <w:t>六、其他需要说明的问题</w:t>
      </w:r>
    </w:p>
    <w:p w14:paraId="2923B4E3">
      <w:pPr>
        <w:ind w:firstLine="640" w:firstLineChars="200"/>
        <w:jc w:val="left"/>
        <w:rPr>
          <w:rFonts w:ascii="仿宋" w:hAnsi="仿宋" w:eastAsia="仿宋"/>
          <w:sz w:val="32"/>
          <w:szCs w:val="32"/>
        </w:rPr>
      </w:pPr>
      <w:r>
        <w:rPr>
          <w:rFonts w:hint="eastAsia" w:ascii="仿宋" w:hAnsi="仿宋" w:eastAsia="仿宋"/>
          <w:sz w:val="32"/>
          <w:szCs w:val="32"/>
        </w:rPr>
        <w:t>无。</w:t>
      </w:r>
    </w:p>
    <w:p w14:paraId="79B95610">
      <w:pPr>
        <w:ind w:firstLine="640" w:firstLineChars="200"/>
        <w:jc w:val="left"/>
        <w:rPr>
          <w:rFonts w:ascii="仿宋" w:hAnsi="仿宋" w:eastAsia="仿宋"/>
          <w:sz w:val="32"/>
          <w:szCs w:val="32"/>
        </w:rPr>
      </w:pPr>
    </w:p>
    <w:p w14:paraId="7A1132F0">
      <w:pPr>
        <w:ind w:firstLine="640" w:firstLineChars="200"/>
        <w:jc w:val="left"/>
        <w:rPr>
          <w:rFonts w:ascii="仿宋" w:hAnsi="仿宋" w:eastAsia="仿宋"/>
          <w:sz w:val="32"/>
          <w:szCs w:val="32"/>
        </w:rPr>
      </w:pPr>
    </w:p>
    <w:p w14:paraId="3AC82EC0">
      <w:pPr>
        <w:ind w:firstLine="640" w:firstLineChars="200"/>
        <w:jc w:val="left"/>
        <w:rPr>
          <w:rFonts w:ascii="仿宋" w:hAnsi="仿宋" w:eastAsia="仿宋"/>
          <w:sz w:val="32"/>
          <w:szCs w:val="32"/>
        </w:rPr>
      </w:pPr>
    </w:p>
    <w:p w14:paraId="2513BE04">
      <w:pPr>
        <w:ind w:firstLine="640" w:firstLineChars="200"/>
        <w:jc w:val="left"/>
        <w:rPr>
          <w:rFonts w:ascii="仿宋" w:hAnsi="仿宋" w:eastAsia="仿宋"/>
          <w:sz w:val="32"/>
          <w:szCs w:val="32"/>
        </w:rPr>
      </w:pPr>
      <w:r>
        <w:rPr>
          <w:rFonts w:hint="eastAsia" w:ascii="仿宋" w:hAnsi="仿宋" w:eastAsia="仿宋"/>
          <w:sz w:val="32"/>
          <w:szCs w:val="32"/>
        </w:rPr>
        <w:t xml:space="preserve">                                昌黎县人民法院</w:t>
      </w:r>
    </w:p>
    <w:p w14:paraId="58235181">
      <w:pPr>
        <w:ind w:firstLine="640" w:firstLineChars="200"/>
        <w:jc w:val="left"/>
        <w:rPr>
          <w:rFonts w:ascii="仿宋" w:hAnsi="仿宋" w:eastAsia="仿宋"/>
          <w:sz w:val="32"/>
          <w:szCs w:val="32"/>
        </w:rPr>
      </w:pPr>
      <w:r>
        <w:rPr>
          <w:rFonts w:hint="eastAsia" w:ascii="仿宋" w:hAnsi="仿宋" w:eastAsia="仿宋"/>
          <w:sz w:val="32"/>
          <w:szCs w:val="32"/>
        </w:rPr>
        <w:t xml:space="preserve">                              2022年3月4日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DengXian-Regular">
    <w:altName w:val="宋体"/>
    <w:panose1 w:val="00000000000000000000"/>
    <w:charset w:val="86"/>
    <w:family w:val="auto"/>
    <w:pitch w:val="default"/>
    <w:sig w:usb0="00000000" w:usb1="00000000" w:usb2="0000001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01B8"/>
    <w:rsid w:val="000368A9"/>
    <w:rsid w:val="0008015A"/>
    <w:rsid w:val="000A6256"/>
    <w:rsid w:val="000D1408"/>
    <w:rsid w:val="000E0E79"/>
    <w:rsid w:val="000E6356"/>
    <w:rsid w:val="000F0151"/>
    <w:rsid w:val="00101328"/>
    <w:rsid w:val="00114334"/>
    <w:rsid w:val="00124646"/>
    <w:rsid w:val="0013757C"/>
    <w:rsid w:val="001501B8"/>
    <w:rsid w:val="001547AF"/>
    <w:rsid w:val="00156A8A"/>
    <w:rsid w:val="0016496C"/>
    <w:rsid w:val="00185121"/>
    <w:rsid w:val="001B0704"/>
    <w:rsid w:val="001D0908"/>
    <w:rsid w:val="00212D48"/>
    <w:rsid w:val="00212F8A"/>
    <w:rsid w:val="00225165"/>
    <w:rsid w:val="00225933"/>
    <w:rsid w:val="002B7C21"/>
    <w:rsid w:val="002E1C2F"/>
    <w:rsid w:val="002E2143"/>
    <w:rsid w:val="002E2937"/>
    <w:rsid w:val="00381E6E"/>
    <w:rsid w:val="00391145"/>
    <w:rsid w:val="003B33D3"/>
    <w:rsid w:val="003C33CF"/>
    <w:rsid w:val="003D0828"/>
    <w:rsid w:val="003E2039"/>
    <w:rsid w:val="003E51E6"/>
    <w:rsid w:val="003F45AB"/>
    <w:rsid w:val="00427B1F"/>
    <w:rsid w:val="004570BE"/>
    <w:rsid w:val="00466B1B"/>
    <w:rsid w:val="00483053"/>
    <w:rsid w:val="004B39A2"/>
    <w:rsid w:val="004D37BD"/>
    <w:rsid w:val="0050450F"/>
    <w:rsid w:val="00505430"/>
    <w:rsid w:val="0055292F"/>
    <w:rsid w:val="005577FB"/>
    <w:rsid w:val="00557F08"/>
    <w:rsid w:val="0057575C"/>
    <w:rsid w:val="005D0BAB"/>
    <w:rsid w:val="005D795F"/>
    <w:rsid w:val="005E1483"/>
    <w:rsid w:val="005F3E01"/>
    <w:rsid w:val="006165AF"/>
    <w:rsid w:val="00662ECC"/>
    <w:rsid w:val="006714F1"/>
    <w:rsid w:val="006950F5"/>
    <w:rsid w:val="006A7617"/>
    <w:rsid w:val="006C2839"/>
    <w:rsid w:val="006C2840"/>
    <w:rsid w:val="00704C10"/>
    <w:rsid w:val="0070643A"/>
    <w:rsid w:val="00710181"/>
    <w:rsid w:val="00731E86"/>
    <w:rsid w:val="007323FF"/>
    <w:rsid w:val="00774459"/>
    <w:rsid w:val="007C5881"/>
    <w:rsid w:val="007F6EE7"/>
    <w:rsid w:val="008233C9"/>
    <w:rsid w:val="0085193A"/>
    <w:rsid w:val="00861409"/>
    <w:rsid w:val="00885C7B"/>
    <w:rsid w:val="008C0E7E"/>
    <w:rsid w:val="008C4C61"/>
    <w:rsid w:val="00950208"/>
    <w:rsid w:val="0099371B"/>
    <w:rsid w:val="009D24F0"/>
    <w:rsid w:val="009F334A"/>
    <w:rsid w:val="00A127BF"/>
    <w:rsid w:val="00A12CF4"/>
    <w:rsid w:val="00A23F84"/>
    <w:rsid w:val="00A85DB2"/>
    <w:rsid w:val="00A95912"/>
    <w:rsid w:val="00AA319C"/>
    <w:rsid w:val="00AC3E8C"/>
    <w:rsid w:val="00AC3FAF"/>
    <w:rsid w:val="00AC496B"/>
    <w:rsid w:val="00AC51FC"/>
    <w:rsid w:val="00AD4C2C"/>
    <w:rsid w:val="00AE7EF5"/>
    <w:rsid w:val="00AF306E"/>
    <w:rsid w:val="00B008DD"/>
    <w:rsid w:val="00B23DCB"/>
    <w:rsid w:val="00B41B4B"/>
    <w:rsid w:val="00B432E9"/>
    <w:rsid w:val="00B44738"/>
    <w:rsid w:val="00B61E0C"/>
    <w:rsid w:val="00B85955"/>
    <w:rsid w:val="00BB24F8"/>
    <w:rsid w:val="00BC53F5"/>
    <w:rsid w:val="00BE0A70"/>
    <w:rsid w:val="00BE3B68"/>
    <w:rsid w:val="00BF5D6F"/>
    <w:rsid w:val="00C01F78"/>
    <w:rsid w:val="00C020FB"/>
    <w:rsid w:val="00C0624B"/>
    <w:rsid w:val="00C209D7"/>
    <w:rsid w:val="00C376E2"/>
    <w:rsid w:val="00C53779"/>
    <w:rsid w:val="00C83E4F"/>
    <w:rsid w:val="00C94693"/>
    <w:rsid w:val="00CA4DAA"/>
    <w:rsid w:val="00CC2C1A"/>
    <w:rsid w:val="00CD6168"/>
    <w:rsid w:val="00CE21F2"/>
    <w:rsid w:val="00CF4C31"/>
    <w:rsid w:val="00D8133F"/>
    <w:rsid w:val="00D87EF4"/>
    <w:rsid w:val="00D96483"/>
    <w:rsid w:val="00D964F4"/>
    <w:rsid w:val="00DA430B"/>
    <w:rsid w:val="00DB7548"/>
    <w:rsid w:val="00DC6C55"/>
    <w:rsid w:val="00DD3FA2"/>
    <w:rsid w:val="00DE174B"/>
    <w:rsid w:val="00E40C09"/>
    <w:rsid w:val="00E422FB"/>
    <w:rsid w:val="00E43A06"/>
    <w:rsid w:val="00E569A2"/>
    <w:rsid w:val="00E75D5B"/>
    <w:rsid w:val="00E802B9"/>
    <w:rsid w:val="00EC012C"/>
    <w:rsid w:val="00ED5B74"/>
    <w:rsid w:val="00EE496C"/>
    <w:rsid w:val="00EF5FE3"/>
    <w:rsid w:val="00F00FD3"/>
    <w:rsid w:val="00F03348"/>
    <w:rsid w:val="00F0616D"/>
    <w:rsid w:val="00F60F8F"/>
    <w:rsid w:val="00FA75F2"/>
    <w:rsid w:val="00FE4115"/>
    <w:rsid w:val="38E04D2D"/>
    <w:rsid w:val="5E4960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1"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4"/>
    <w:qFormat/>
    <w:uiPriority w:val="0"/>
    <w:pPr>
      <w:snapToGrid w:val="0"/>
      <w:jc w:val="left"/>
    </w:pPr>
    <w:rPr>
      <w:rFonts w:ascii="Times New Roman" w:hAnsi="Times New Roman" w:eastAsia="仿宋_GB2312" w:cs="Times New Roman"/>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qFormat/>
    <w:uiPriority w:val="1"/>
    <w:rPr>
      <w:rFonts w:ascii="Calibri" w:hAnsi="Calibri" w:eastAsia="宋体" w:cs="Times New Roman"/>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页眉 Char"/>
    <w:basedOn w:val="9"/>
    <w:link w:val="4"/>
    <w:semiHidden/>
    <w:qFormat/>
    <w:uiPriority w:val="99"/>
    <w:rPr>
      <w:sz w:val="18"/>
      <w:szCs w:val="18"/>
    </w:rPr>
  </w:style>
  <w:style w:type="character" w:customStyle="1" w:styleId="12">
    <w:name w:val="页脚 Char"/>
    <w:basedOn w:val="9"/>
    <w:link w:val="3"/>
    <w:semiHidden/>
    <w:qFormat/>
    <w:uiPriority w:val="99"/>
    <w:rPr>
      <w:sz w:val="18"/>
      <w:szCs w:val="18"/>
    </w:rPr>
  </w:style>
  <w:style w:type="character" w:customStyle="1" w:styleId="13">
    <w:name w:val="标题 1 Char"/>
    <w:basedOn w:val="9"/>
    <w:link w:val="2"/>
    <w:qFormat/>
    <w:uiPriority w:val="9"/>
    <w:rPr>
      <w:b/>
      <w:bCs/>
      <w:kern w:val="44"/>
      <w:sz w:val="44"/>
      <w:szCs w:val="44"/>
    </w:rPr>
  </w:style>
  <w:style w:type="character" w:customStyle="1" w:styleId="14">
    <w:name w:val="脚注文本 Char"/>
    <w:basedOn w:val="9"/>
    <w:link w:val="5"/>
    <w:qFormat/>
    <w:uiPriority w:val="0"/>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9</Pages>
  <Words>3716</Words>
  <Characters>3824</Characters>
  <Lines>28</Lines>
  <Paragraphs>7</Paragraphs>
  <TotalTime>700</TotalTime>
  <ScaleCrop>false</ScaleCrop>
  <LinksUpToDate>false</LinksUpToDate>
  <CharactersWithSpaces>3887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2020-11-17T01:29:00Z</dcterms:created>
  <dc:creator>hp</dc:creator>
  <cp:lastModifiedBy>Administrator</cp:lastModifiedBy>
  <cp:lastPrinted>2021-05-12T02:45:00Z</cp:lastPrinted>
  <dcterms:modified xsi:type="dcterms:W3CDTF">2025-05-15T07:25:30Z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eyJoZGlkIjoiNzEzYjllYjkxMzNmMWMyMmI4ODMyM2Y3NmY0ZDQ4NzAifQ==</vt:lpwstr>
  </property>
  <property fmtid="{D5CDD505-2E9C-101B-9397-08002B2CF9AE}" pid="4" name="ICV">
    <vt:lpwstr>88AD402D55194D5FAC2031E218A5734F_12</vt:lpwstr>
  </property>
</Properties>
</file>