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6437E">
      <w:pPr>
        <w:spacing w:line="0" w:lineRule="atLeast"/>
        <w:rPr>
          <w:rFonts w:ascii="微软雅黑" w:hAnsi="微软雅黑" w:eastAsia="微软雅黑" w:cs="宋体"/>
          <w:color w:val="000000"/>
          <w:sz w:val="32"/>
          <w:szCs w:val="32"/>
        </w:rPr>
      </w:pPr>
      <w:r>
        <w:rPr>
          <w:rFonts w:hint="eastAsia" w:ascii="微软雅黑" w:hAnsi="微软雅黑" w:eastAsia="微软雅黑" w:cs="宋体"/>
          <w:color w:val="000000"/>
          <w:sz w:val="32"/>
          <w:szCs w:val="32"/>
        </w:rPr>
        <w:t>职业培训补贴</w:t>
      </w:r>
    </w:p>
    <w:p w14:paraId="75B90BE0">
      <w:pPr>
        <w:spacing w:line="0" w:lineRule="atLeast"/>
        <w:rPr>
          <w:rFonts w:ascii="微软雅黑" w:hAnsi="微软雅黑" w:eastAsia="微软雅黑" w:cs="宋体"/>
          <w:color w:val="000000"/>
        </w:rPr>
      </w:pPr>
      <w:r>
        <w:rPr>
          <w:rFonts w:ascii="微软雅黑" w:hAnsi="微软雅黑" w:eastAsia="微软雅黑" w:cs="宋体"/>
          <w:color w:val="000000"/>
        </w:rPr>
        <w:t>一、事项名称：</w:t>
      </w:r>
    </w:p>
    <w:p w14:paraId="1E6FE59A">
      <w:pPr>
        <w:spacing w:line="0" w:lineRule="atLeast"/>
        <w:ind w:firstLine="480" w:firstLineChars="200"/>
        <w:rPr>
          <w:rFonts w:ascii="微软雅黑" w:hAnsi="微软雅黑" w:eastAsia="微软雅黑" w:cs="宋体"/>
          <w:color w:val="000000"/>
        </w:rPr>
      </w:pPr>
      <w:r>
        <w:rPr>
          <w:rFonts w:hint="eastAsia" w:ascii="微软雅黑" w:hAnsi="微软雅黑" w:eastAsia="微软雅黑" w:cs="宋体"/>
          <w:color w:val="000000"/>
        </w:rPr>
        <w:t>职业培训补贴</w:t>
      </w:r>
    </w:p>
    <w:p w14:paraId="348BDC8B">
      <w:pPr>
        <w:shd w:val="clear" w:color="auto" w:fill="FFFFFF"/>
        <w:spacing w:line="0" w:lineRule="atLeast"/>
        <w:rPr>
          <w:rFonts w:ascii="微软雅黑" w:hAnsi="微软雅黑" w:eastAsia="微软雅黑" w:cs="宋体"/>
          <w:color w:val="000000"/>
        </w:rPr>
      </w:pPr>
      <w:r>
        <w:rPr>
          <w:rFonts w:ascii="微软雅黑" w:hAnsi="微软雅黑" w:eastAsia="微软雅黑" w:cs="宋体"/>
          <w:color w:val="000000"/>
        </w:rPr>
        <w:t>二、审批依据：</w:t>
      </w:r>
    </w:p>
    <w:p w14:paraId="4F4C7FB6">
      <w:pPr>
        <w:shd w:val="clear" w:color="auto" w:fill="FFFFFF"/>
        <w:spacing w:line="0" w:lineRule="atLeast"/>
        <w:ind w:firstLine="480" w:firstLineChars="200"/>
        <w:rPr>
          <w:rFonts w:ascii="微软雅黑" w:hAnsi="微软雅黑" w:eastAsia="微软雅黑" w:cs="宋体"/>
          <w:color w:val="000000"/>
        </w:rPr>
      </w:pPr>
      <w:r>
        <w:rPr>
          <w:rFonts w:hint="eastAsia" w:ascii="微软雅黑" w:hAnsi="微软雅黑" w:eastAsia="微软雅黑" w:cs="宋体"/>
          <w:color w:val="000000"/>
        </w:rPr>
        <w:t>河北省财政厅  河北省人力资源和社会保障厅【2016】158号的第五条</w:t>
      </w:r>
    </w:p>
    <w:p w14:paraId="22E722F5">
      <w:pPr>
        <w:shd w:val="clear" w:color="auto" w:fill="FFFFFF"/>
        <w:spacing w:line="0" w:lineRule="atLeast"/>
        <w:rPr>
          <w:rFonts w:ascii="微软雅黑" w:hAnsi="微软雅黑" w:eastAsia="微软雅黑" w:cs="宋体"/>
          <w:color w:val="000000"/>
        </w:rPr>
      </w:pPr>
      <w:r>
        <w:rPr>
          <w:rFonts w:ascii="微软雅黑" w:hAnsi="微软雅黑" w:eastAsia="微软雅黑" w:cs="宋体"/>
          <w:color w:val="000000"/>
        </w:rPr>
        <w:t>三、审批标准：</w:t>
      </w:r>
    </w:p>
    <w:p w14:paraId="23AA198F">
      <w:pPr>
        <w:shd w:val="clear" w:color="auto" w:fill="FFFFFF"/>
        <w:spacing w:line="0" w:lineRule="atLeast"/>
        <w:ind w:firstLine="480" w:firstLineChars="200"/>
        <w:rPr>
          <w:rFonts w:ascii="微软雅黑" w:hAnsi="微软雅黑" w:eastAsia="微软雅黑" w:cs="宋体"/>
          <w:color w:val="000000"/>
        </w:rPr>
      </w:pPr>
      <w:r>
        <w:rPr>
          <w:rFonts w:hint="eastAsia" w:ascii="微软雅黑" w:hAnsi="微软雅黑" w:eastAsia="微软雅黑" w:cs="宋体"/>
          <w:color w:val="000000"/>
        </w:rPr>
        <w:t>河北省财政厅  河北省人力资源和社会保障厅【2016】158号的第五条</w:t>
      </w:r>
    </w:p>
    <w:p w14:paraId="3B2E8334">
      <w:pPr>
        <w:spacing w:line="0" w:lineRule="atLeast"/>
        <w:rPr>
          <w:rFonts w:ascii="微软雅黑" w:hAnsi="微软雅黑" w:eastAsia="微软雅黑" w:cs="宋体"/>
          <w:color w:val="000000"/>
        </w:rPr>
      </w:pPr>
      <w:r>
        <w:rPr>
          <w:rFonts w:ascii="微软雅黑" w:hAnsi="微软雅黑" w:eastAsia="微软雅黑" w:cs="宋体"/>
          <w:color w:val="000000"/>
        </w:rPr>
        <w:t>四、受理机构：</w:t>
      </w:r>
    </w:p>
    <w:p w14:paraId="6023370B">
      <w:pPr>
        <w:spacing w:line="0" w:lineRule="atLeast"/>
        <w:ind w:firstLine="240" w:firstLineChars="100"/>
        <w:rPr>
          <w:rFonts w:ascii="微软雅黑" w:hAnsi="微软雅黑" w:eastAsia="微软雅黑" w:cs="宋体"/>
          <w:color w:val="000000"/>
        </w:rPr>
      </w:pPr>
      <w:r>
        <w:rPr>
          <w:rFonts w:ascii="微软雅黑" w:hAnsi="微软雅黑" w:eastAsia="微软雅黑" w:cs="宋体"/>
          <w:color w:val="000000"/>
        </w:rPr>
        <w:t>昌黎县实施再就业工程领导小组办公室</w:t>
      </w:r>
    </w:p>
    <w:p w14:paraId="6AD27F45">
      <w:pPr>
        <w:shd w:val="clear" w:color="auto" w:fill="FFFFFF"/>
        <w:spacing w:line="0" w:lineRule="atLeast"/>
        <w:jc w:val="both"/>
        <w:rPr>
          <w:rFonts w:ascii="微软雅黑" w:hAnsi="微软雅黑" w:eastAsia="微软雅黑" w:cs="宋体"/>
          <w:color w:val="000000"/>
        </w:rPr>
      </w:pPr>
      <w:r>
        <w:rPr>
          <w:rFonts w:ascii="微软雅黑" w:hAnsi="微软雅黑" w:eastAsia="微软雅黑" w:cs="宋体"/>
          <w:color w:val="000000"/>
        </w:rPr>
        <w:t>五、审批程序：</w:t>
      </w:r>
    </w:p>
    <w:p w14:paraId="428D7609">
      <w:pPr>
        <w:shd w:val="clear" w:color="auto" w:fill="FFFFFF"/>
        <w:spacing w:line="0" w:lineRule="atLeast"/>
        <w:jc w:val="both"/>
        <w:rPr>
          <w:rFonts w:ascii="微软雅黑" w:hAnsi="微软雅黑" w:eastAsia="微软雅黑" w:cs="宋体"/>
          <w:color w:val="000000"/>
        </w:rPr>
      </w:pPr>
      <w:r>
        <w:rPr>
          <w:rFonts w:ascii="微软雅黑" w:hAnsi="微软雅黑" w:eastAsia="微软雅黑" w:cs="宋体"/>
          <w:color w:val="000000"/>
        </w:rPr>
        <w:t>1、</w:t>
      </w:r>
      <w:r>
        <w:rPr>
          <w:rFonts w:hint="eastAsia" w:ascii="微软雅黑" w:hAnsi="微软雅黑" w:eastAsia="微软雅黑" w:cs="宋体"/>
          <w:color w:val="000000"/>
        </w:rPr>
        <w:t>享受职业培训补贴的人员范围包括：未就业的贫困家庭子女、毕业学年高校毕业生（含技师学院高级工班、预备技师班、特殊教育院校职业教育类毕业生</w:t>
      </w:r>
      <w:bookmarkStart w:id="0" w:name="_GoBack"/>
      <w:bookmarkEnd w:id="0"/>
      <w:r>
        <w:rPr>
          <w:rFonts w:hint="eastAsia" w:ascii="微软雅黑" w:hAnsi="微软雅黑" w:eastAsia="微软雅黑" w:cs="宋体"/>
          <w:color w:val="000000"/>
        </w:rPr>
        <w:t>以及经国家学历认证的在国外、在台港澳地区接受高等教育的回国、回内地人员）、城乡未继续升学的应届初高中毕业生、农村转移就业劳动者、城镇登记失业人员（以下简称五类人员）以及符合条件的企业在职职工。</w:t>
      </w:r>
    </w:p>
    <w:p w14:paraId="7693F49F">
      <w:pPr>
        <w:shd w:val="clear" w:color="auto" w:fill="FFFFFF"/>
        <w:spacing w:line="0" w:lineRule="atLeast"/>
        <w:jc w:val="both"/>
        <w:rPr>
          <w:rFonts w:ascii="微软雅黑" w:hAnsi="微软雅黑" w:eastAsia="微软雅黑" w:cs="宋体"/>
          <w:color w:val="000000"/>
        </w:rPr>
      </w:pPr>
      <w:r>
        <w:rPr>
          <w:rFonts w:hint="eastAsia" w:ascii="微软雅黑" w:hAnsi="微软雅黑" w:eastAsia="微软雅黑" w:cs="宋体"/>
          <w:color w:val="000000"/>
        </w:rPr>
        <w:t>2、对参加就业技能培训的五类人员或参加创业培训的五类人员（参加创业培训人员还包括创业三年内的小微企业主）培训后取得职业资格证书（或专项职业能力证书或培训合格证，在职业资格鉴定或专项能力鉴定范围内的工种须取得相应的职业资格证书或专项职业能力证书，不在职业资格鉴定和专项能力鉴定范围内的工种须取得培训合格证书），给予一定标准的职业培训补贴。</w:t>
      </w:r>
    </w:p>
    <w:p w14:paraId="492E4E3E">
      <w:pPr>
        <w:shd w:val="clear" w:color="auto" w:fill="FFFFFF"/>
        <w:spacing w:line="0" w:lineRule="atLeast"/>
        <w:jc w:val="both"/>
        <w:rPr>
          <w:rFonts w:ascii="微软雅黑" w:hAnsi="微软雅黑" w:eastAsia="微软雅黑" w:cs="宋体"/>
          <w:color w:val="000000"/>
          <w:sz w:val="21"/>
          <w:szCs w:val="21"/>
        </w:rPr>
      </w:pPr>
      <w:r>
        <w:rPr>
          <w:rFonts w:hint="eastAsia" w:ascii="微软雅黑" w:hAnsi="微软雅黑" w:eastAsia="微软雅黑" w:cs="宋体"/>
          <w:color w:val="000000"/>
        </w:rPr>
        <w:t>3、五类人员每人每年只能享受一次免费职业培训补贴，不得重复享受。</w:t>
      </w:r>
    </w:p>
    <w:p w14:paraId="51FB6D0D">
      <w:pPr>
        <w:shd w:val="clear" w:color="auto" w:fill="FFFFFF"/>
        <w:spacing w:line="0" w:lineRule="atLeast"/>
        <w:jc w:val="both"/>
        <w:rPr>
          <w:rFonts w:ascii="微软雅黑" w:hAnsi="微软雅黑" w:eastAsia="微软雅黑" w:cs="宋体"/>
          <w:color w:val="000000"/>
        </w:rPr>
      </w:pPr>
      <w:r>
        <w:rPr>
          <w:rFonts w:ascii="微软雅黑" w:hAnsi="微软雅黑" w:eastAsia="微软雅黑" w:cs="宋体"/>
          <w:color w:val="000000"/>
        </w:rPr>
        <w:t>六、提交材料：</w:t>
      </w:r>
    </w:p>
    <w:p w14:paraId="6002DFFC">
      <w:pPr>
        <w:shd w:val="clear" w:color="auto" w:fill="FFFFFF"/>
        <w:spacing w:line="0" w:lineRule="atLeast"/>
        <w:jc w:val="both"/>
        <w:rPr>
          <w:rFonts w:ascii="微软雅黑" w:hAnsi="微软雅黑" w:eastAsia="微软雅黑" w:cs="宋体"/>
          <w:color w:val="000000"/>
        </w:rPr>
      </w:pPr>
      <w:r>
        <w:rPr>
          <w:rFonts w:ascii="微软雅黑" w:hAnsi="微软雅黑" w:eastAsia="微软雅黑" w:cs="宋体"/>
          <w:color w:val="000000"/>
        </w:rPr>
        <w:t>1、</w:t>
      </w:r>
      <w:r>
        <w:rPr>
          <w:rFonts w:hint="eastAsia" w:ascii="微软雅黑" w:hAnsi="微软雅黑" w:eastAsia="微软雅黑" w:cs="宋体"/>
          <w:color w:val="000000"/>
        </w:rPr>
        <w:t>《就业创业证》（或《就业失业登记证》）复印件</w:t>
      </w:r>
    </w:p>
    <w:p w14:paraId="400898AC">
      <w:pPr>
        <w:shd w:val="clear" w:color="auto" w:fill="FFFFFF"/>
        <w:spacing w:line="0" w:lineRule="atLeast"/>
        <w:jc w:val="both"/>
        <w:rPr>
          <w:rFonts w:ascii="微软雅黑" w:hAnsi="微软雅黑" w:eastAsia="微软雅黑" w:cs="宋体"/>
          <w:color w:val="000000"/>
        </w:rPr>
      </w:pPr>
      <w:r>
        <w:rPr>
          <w:rFonts w:hint="eastAsia" w:ascii="微软雅黑" w:hAnsi="微软雅黑" w:eastAsia="微软雅黑" w:cs="宋体"/>
          <w:color w:val="000000"/>
        </w:rPr>
        <w:t>2、职业资格证书复印件</w:t>
      </w:r>
    </w:p>
    <w:p w14:paraId="2D39EF0E">
      <w:pPr>
        <w:shd w:val="clear" w:color="auto" w:fill="FFFFFF"/>
        <w:spacing w:line="0" w:lineRule="atLeast"/>
        <w:jc w:val="both"/>
        <w:rPr>
          <w:rFonts w:ascii="微软雅黑" w:hAnsi="微软雅黑" w:eastAsia="微软雅黑" w:cs="宋体"/>
          <w:color w:val="000000"/>
        </w:rPr>
      </w:pPr>
      <w:r>
        <w:rPr>
          <w:rFonts w:hint="eastAsia" w:ascii="微软雅黑" w:hAnsi="微软雅黑" w:eastAsia="微软雅黑" w:cs="宋体"/>
          <w:color w:val="000000"/>
        </w:rPr>
        <w:t>3、就业或创业证明材料（就业技能培训以劳动合同或登记灵活就业为就业证明、创业培训以营业执照为创业证明）</w:t>
      </w:r>
    </w:p>
    <w:p w14:paraId="019B741D">
      <w:pPr>
        <w:shd w:val="clear" w:color="auto" w:fill="FFFFFF"/>
        <w:spacing w:line="0" w:lineRule="atLeast"/>
        <w:jc w:val="both"/>
        <w:rPr>
          <w:rFonts w:ascii="微软雅黑" w:hAnsi="微软雅黑" w:eastAsia="微软雅黑" w:cs="宋体"/>
          <w:color w:val="000000"/>
        </w:rPr>
      </w:pPr>
      <w:r>
        <w:rPr>
          <w:rFonts w:hint="eastAsia" w:ascii="微软雅黑" w:hAnsi="微软雅黑" w:eastAsia="微软雅黑" w:cs="宋体"/>
          <w:color w:val="000000"/>
        </w:rPr>
        <w:t>4、培训机构开具的行政事业性收费票据（或税务发票）和个人银行账户等。</w:t>
      </w:r>
    </w:p>
    <w:p w14:paraId="57B4BAA2">
      <w:pPr>
        <w:shd w:val="clear" w:color="auto" w:fill="FFFFFF"/>
        <w:spacing w:line="420" w:lineRule="atLeast"/>
        <w:jc w:val="both"/>
        <w:rPr>
          <w:rFonts w:ascii="微软雅黑" w:hAnsi="微软雅黑" w:eastAsia="微软雅黑" w:cs="宋体"/>
          <w:color w:val="000000"/>
          <w:sz w:val="21"/>
          <w:szCs w:val="21"/>
        </w:rPr>
      </w:pPr>
      <w:r>
        <w:rPr>
          <w:rFonts w:hint="eastAsia" w:ascii="微软雅黑" w:hAnsi="微软雅黑" w:eastAsia="微软雅黑" w:cs="宋体"/>
          <w:color w:val="000000"/>
        </w:rPr>
        <w:t>5、定点培训机构代为申请补贴时还应提供以下材料：《职业培训补贴审核认定表》、培训监管机构出具的《职业培训监管情况表》、申请职业培训补贴人员名册、免费培训协议书及其定点培训机构在银行开立的基本账户等；申请劳动预备制培训补贴还应再提供：初高中毕业证书复印件、城市居民最低生活保障证明等。</w:t>
      </w:r>
    </w:p>
    <w:p w14:paraId="70478197">
      <w:pPr>
        <w:spacing w:line="0" w:lineRule="atLeast"/>
        <w:rPr>
          <w:rFonts w:ascii="微软雅黑" w:hAnsi="微软雅黑" w:eastAsia="微软雅黑" w:cs="宋体"/>
          <w:color w:val="000000"/>
        </w:rPr>
      </w:pPr>
      <w:r>
        <w:rPr>
          <w:rFonts w:ascii="微软雅黑" w:hAnsi="微软雅黑" w:eastAsia="微软雅黑" w:cs="宋体"/>
          <w:color w:val="000000"/>
        </w:rPr>
        <w:t>七、办理流程：</w:t>
      </w:r>
      <w:r>
        <w:rPr>
          <w:rFonts w:hint="eastAsia" w:ascii="微软雅黑" w:hAnsi="微软雅黑" w:eastAsia="微软雅黑" w:cs="宋体"/>
          <w:color w:val="000000"/>
        </w:rPr>
        <w:t>受理、初审材料→复审材料→部门领导审批→公示→报县财政局审批→拨付资金</w:t>
      </w:r>
    </w:p>
    <w:p w14:paraId="1F83F1F5">
      <w:pPr>
        <w:spacing w:line="0" w:lineRule="atLeast"/>
        <w:rPr>
          <w:rFonts w:ascii="微软雅黑" w:hAnsi="微软雅黑" w:eastAsia="微软雅黑" w:cs="宋体"/>
          <w:color w:val="000000"/>
        </w:rPr>
      </w:pPr>
      <w:r>
        <w:rPr>
          <w:rFonts w:ascii="微软雅黑" w:hAnsi="微软雅黑" w:eastAsia="微软雅黑" w:cs="宋体"/>
          <w:color w:val="000000"/>
        </w:rPr>
        <w:t>八、承诺日期：20工作日</w:t>
      </w:r>
    </w:p>
    <w:p w14:paraId="56EE726E">
      <w:pPr>
        <w:spacing w:line="0" w:lineRule="atLeast"/>
        <w:rPr>
          <w:rFonts w:ascii="微软雅黑" w:hAnsi="微软雅黑" w:eastAsia="微软雅黑" w:cs="宋体"/>
          <w:color w:val="000000"/>
        </w:rPr>
      </w:pPr>
      <w:r>
        <w:rPr>
          <w:rFonts w:ascii="微软雅黑" w:hAnsi="微软雅黑" w:eastAsia="微软雅黑" w:cs="宋体"/>
          <w:color w:val="000000"/>
        </w:rPr>
        <w:t>九、收费标准：不收费</w:t>
      </w:r>
    </w:p>
    <w:p w14:paraId="6A8A5110">
      <w:pPr>
        <w:spacing w:line="0" w:lineRule="atLeast"/>
        <w:rPr>
          <w:rFonts w:ascii="微软雅黑" w:hAnsi="微软雅黑" w:eastAsia="微软雅黑" w:cs="宋体"/>
          <w:color w:val="000000"/>
        </w:rPr>
      </w:pPr>
      <w:r>
        <w:rPr>
          <w:rFonts w:ascii="微软雅黑" w:hAnsi="微软雅黑" w:eastAsia="微软雅黑" w:cs="宋体"/>
          <w:color w:val="000000"/>
        </w:rPr>
        <w:t>十、咨询电话：0335—2557027</w:t>
      </w:r>
    </w:p>
    <w:p w14:paraId="4D7FECF6">
      <w:pPr>
        <w:spacing w:line="0" w:lineRule="atLeast"/>
      </w:pPr>
      <w:r>
        <w:rPr>
          <w:rFonts w:ascii="微软雅黑" w:hAnsi="微软雅黑" w:eastAsia="微软雅黑" w:cs="宋体"/>
          <w:color w:val="000000"/>
        </w:rPr>
        <w:t xml:space="preserve">    投诉举报：0335—2557916</w:t>
      </w:r>
    </w:p>
    <w:sectPr>
      <w:pgSz w:w="16838" w:h="11906" w:orient="landscape"/>
      <w:pgMar w:top="1440" w:right="1080" w:bottom="1440" w:left="1080" w:header="851" w:footer="992" w:gutter="0"/>
      <w:cols w:space="425" w:num="3" w:sep="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CB3"/>
    <w:rsid w:val="0005409B"/>
    <w:rsid w:val="000C18B7"/>
    <w:rsid w:val="000C35BB"/>
    <w:rsid w:val="003352C4"/>
    <w:rsid w:val="00357223"/>
    <w:rsid w:val="004156BD"/>
    <w:rsid w:val="005434F2"/>
    <w:rsid w:val="00762DB8"/>
    <w:rsid w:val="00822378"/>
    <w:rsid w:val="008B2CB3"/>
    <w:rsid w:val="00913AE4"/>
    <w:rsid w:val="009F0D56"/>
    <w:rsid w:val="00AD329A"/>
    <w:rsid w:val="00CC6589"/>
    <w:rsid w:val="00D85E0D"/>
    <w:rsid w:val="00DE7B52"/>
    <w:rsid w:val="00ED4F78"/>
    <w:rsid w:val="26521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1"/>
    <w:basedOn w:val="1"/>
    <w:next w:val="1"/>
    <w:link w:val="17"/>
    <w:qFormat/>
    <w:uiPriority w:val="9"/>
    <w:pPr>
      <w:keepNext/>
      <w:spacing w:before="240" w:after="60"/>
      <w:outlineLvl w:val="0"/>
    </w:pPr>
    <w:rPr>
      <w:rFonts w:ascii="Cambria" w:hAnsi="Cambria" w:eastAsia="宋体"/>
      <w:b/>
      <w:bCs/>
      <w:kern w:val="32"/>
      <w:sz w:val="32"/>
      <w:szCs w:val="32"/>
    </w:rPr>
  </w:style>
  <w:style w:type="paragraph" w:styleId="3">
    <w:name w:val="heading 2"/>
    <w:basedOn w:val="1"/>
    <w:next w:val="1"/>
    <w:link w:val="18"/>
    <w:semiHidden/>
    <w:unhideWhenUsed/>
    <w:qFormat/>
    <w:uiPriority w:val="9"/>
    <w:pPr>
      <w:keepNext/>
      <w:spacing w:before="240" w:after="60"/>
      <w:outlineLvl w:val="1"/>
    </w:pPr>
    <w:rPr>
      <w:rFonts w:ascii="Cambria" w:hAnsi="Cambria" w:eastAsia="宋体"/>
      <w:b/>
      <w:bCs/>
      <w:i/>
      <w:iCs/>
      <w:sz w:val="28"/>
      <w:szCs w:val="28"/>
    </w:rPr>
  </w:style>
  <w:style w:type="paragraph" w:styleId="4">
    <w:name w:val="heading 3"/>
    <w:basedOn w:val="1"/>
    <w:next w:val="1"/>
    <w:link w:val="19"/>
    <w:semiHidden/>
    <w:unhideWhenUsed/>
    <w:qFormat/>
    <w:uiPriority w:val="9"/>
    <w:pPr>
      <w:keepNext/>
      <w:spacing w:before="240" w:after="60"/>
      <w:outlineLvl w:val="2"/>
    </w:pPr>
    <w:rPr>
      <w:rFonts w:ascii="Cambria" w:hAnsi="Cambria" w:eastAsia="宋体"/>
      <w:b/>
      <w:bCs/>
      <w:sz w:val="26"/>
      <w:szCs w:val="26"/>
    </w:rPr>
  </w:style>
  <w:style w:type="paragraph" w:styleId="5">
    <w:name w:val="heading 4"/>
    <w:basedOn w:val="1"/>
    <w:next w:val="1"/>
    <w:link w:val="20"/>
    <w:semiHidden/>
    <w:unhideWhenUsed/>
    <w:qFormat/>
    <w:uiPriority w:val="9"/>
    <w:pPr>
      <w:keepNext/>
      <w:spacing w:before="240" w:after="60"/>
      <w:outlineLvl w:val="3"/>
    </w:pPr>
    <w:rPr>
      <w:b/>
      <w:bCs/>
      <w:sz w:val="28"/>
      <w:szCs w:val="28"/>
    </w:rPr>
  </w:style>
  <w:style w:type="paragraph" w:styleId="6">
    <w:name w:val="heading 5"/>
    <w:basedOn w:val="1"/>
    <w:next w:val="1"/>
    <w:link w:val="21"/>
    <w:semiHidden/>
    <w:unhideWhenUsed/>
    <w:qFormat/>
    <w:uiPriority w:val="9"/>
    <w:pPr>
      <w:spacing w:before="240" w:after="60"/>
      <w:outlineLvl w:val="4"/>
    </w:pPr>
    <w:rPr>
      <w:b/>
      <w:bCs/>
      <w:i/>
      <w:iCs/>
      <w:sz w:val="26"/>
      <w:szCs w:val="26"/>
    </w:rPr>
  </w:style>
  <w:style w:type="paragraph" w:styleId="7">
    <w:name w:val="heading 6"/>
    <w:basedOn w:val="1"/>
    <w:next w:val="1"/>
    <w:link w:val="22"/>
    <w:semiHidden/>
    <w:unhideWhenUsed/>
    <w:qFormat/>
    <w:uiPriority w:val="9"/>
    <w:pPr>
      <w:spacing w:before="240" w:after="60"/>
      <w:outlineLvl w:val="5"/>
    </w:pPr>
    <w:rPr>
      <w:b/>
      <w:bCs/>
      <w:sz w:val="22"/>
      <w:szCs w:val="22"/>
    </w:rPr>
  </w:style>
  <w:style w:type="paragraph" w:styleId="8">
    <w:name w:val="heading 7"/>
    <w:basedOn w:val="1"/>
    <w:next w:val="1"/>
    <w:link w:val="23"/>
    <w:semiHidden/>
    <w:unhideWhenUsed/>
    <w:qFormat/>
    <w:uiPriority w:val="9"/>
    <w:pPr>
      <w:spacing w:before="240" w:after="60"/>
      <w:outlineLvl w:val="6"/>
    </w:pPr>
  </w:style>
  <w:style w:type="paragraph" w:styleId="9">
    <w:name w:val="heading 8"/>
    <w:basedOn w:val="1"/>
    <w:next w:val="1"/>
    <w:link w:val="24"/>
    <w:semiHidden/>
    <w:unhideWhenUsed/>
    <w:qFormat/>
    <w:uiPriority w:val="9"/>
    <w:pPr>
      <w:spacing w:before="240" w:after="60"/>
      <w:outlineLvl w:val="7"/>
    </w:pPr>
    <w:rPr>
      <w:i/>
      <w:iCs/>
    </w:rPr>
  </w:style>
  <w:style w:type="paragraph" w:styleId="10">
    <w:name w:val="heading 9"/>
    <w:basedOn w:val="1"/>
    <w:next w:val="1"/>
    <w:link w:val="25"/>
    <w:semiHidden/>
    <w:unhideWhenUsed/>
    <w:qFormat/>
    <w:uiPriority w:val="9"/>
    <w:pPr>
      <w:spacing w:before="240" w:after="60"/>
      <w:outlineLvl w:val="8"/>
    </w:pPr>
    <w:rPr>
      <w:rFonts w:ascii="Cambria" w:hAnsi="Cambria" w:eastAsia="宋体"/>
      <w:sz w:val="22"/>
      <w:szCs w:val="22"/>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1">
    <w:name w:val="Subtitle"/>
    <w:basedOn w:val="1"/>
    <w:next w:val="1"/>
    <w:link w:val="27"/>
    <w:qFormat/>
    <w:uiPriority w:val="11"/>
    <w:pPr>
      <w:spacing w:after="60"/>
      <w:jc w:val="center"/>
      <w:outlineLvl w:val="1"/>
    </w:pPr>
    <w:rPr>
      <w:rFonts w:ascii="Cambria" w:hAnsi="Cambria" w:eastAsia="宋体"/>
    </w:rPr>
  </w:style>
  <w:style w:type="paragraph" w:styleId="12">
    <w:name w:val="Title"/>
    <w:basedOn w:val="1"/>
    <w:next w:val="1"/>
    <w:link w:val="26"/>
    <w:qFormat/>
    <w:uiPriority w:val="10"/>
    <w:pPr>
      <w:spacing w:before="240" w:after="60"/>
      <w:jc w:val="center"/>
      <w:outlineLvl w:val="0"/>
    </w:pPr>
    <w:rPr>
      <w:rFonts w:ascii="Cambria" w:hAnsi="Cambria" w:eastAsia="宋体"/>
      <w:b/>
      <w:bCs/>
      <w:kern w:val="28"/>
      <w:sz w:val="32"/>
      <w:szCs w:val="32"/>
    </w:rPr>
  </w:style>
  <w:style w:type="character" w:styleId="15">
    <w:name w:val="Strong"/>
    <w:qFormat/>
    <w:uiPriority w:val="22"/>
    <w:rPr>
      <w:b/>
      <w:bCs/>
    </w:rPr>
  </w:style>
  <w:style w:type="character" w:styleId="16">
    <w:name w:val="Emphasis"/>
    <w:qFormat/>
    <w:uiPriority w:val="20"/>
    <w:rPr>
      <w:rFonts w:ascii="Calibri" w:hAnsi="Calibri"/>
      <w:b/>
      <w:i/>
      <w:iCs/>
    </w:rPr>
  </w:style>
  <w:style w:type="character" w:customStyle="1" w:styleId="17">
    <w:name w:val="标题 1 Char"/>
    <w:link w:val="2"/>
    <w:qFormat/>
    <w:uiPriority w:val="9"/>
    <w:rPr>
      <w:rFonts w:ascii="Cambria" w:hAnsi="Cambria" w:eastAsia="宋体"/>
      <w:b/>
      <w:bCs/>
      <w:kern w:val="32"/>
      <w:sz w:val="32"/>
      <w:szCs w:val="32"/>
    </w:rPr>
  </w:style>
  <w:style w:type="character" w:customStyle="1" w:styleId="18">
    <w:name w:val="标题 2 Char"/>
    <w:link w:val="3"/>
    <w:semiHidden/>
    <w:uiPriority w:val="9"/>
    <w:rPr>
      <w:rFonts w:ascii="Cambria" w:hAnsi="Cambria" w:eastAsia="宋体"/>
      <w:b/>
      <w:bCs/>
      <w:i/>
      <w:iCs/>
      <w:sz w:val="28"/>
      <w:szCs w:val="28"/>
    </w:rPr>
  </w:style>
  <w:style w:type="character" w:customStyle="1" w:styleId="19">
    <w:name w:val="标题 3 Char"/>
    <w:link w:val="4"/>
    <w:semiHidden/>
    <w:qFormat/>
    <w:uiPriority w:val="9"/>
    <w:rPr>
      <w:rFonts w:ascii="Cambria" w:hAnsi="Cambria" w:eastAsia="宋体"/>
      <w:b/>
      <w:bCs/>
      <w:sz w:val="26"/>
      <w:szCs w:val="26"/>
    </w:rPr>
  </w:style>
  <w:style w:type="character" w:customStyle="1" w:styleId="20">
    <w:name w:val="标题 4 Char"/>
    <w:link w:val="5"/>
    <w:semiHidden/>
    <w:qFormat/>
    <w:uiPriority w:val="9"/>
    <w:rPr>
      <w:b/>
      <w:bCs/>
      <w:sz w:val="28"/>
      <w:szCs w:val="28"/>
    </w:rPr>
  </w:style>
  <w:style w:type="character" w:customStyle="1" w:styleId="21">
    <w:name w:val="标题 5 Char"/>
    <w:link w:val="6"/>
    <w:semiHidden/>
    <w:uiPriority w:val="9"/>
    <w:rPr>
      <w:b/>
      <w:bCs/>
      <w:i/>
      <w:iCs/>
      <w:sz w:val="26"/>
      <w:szCs w:val="26"/>
    </w:rPr>
  </w:style>
  <w:style w:type="character" w:customStyle="1" w:styleId="22">
    <w:name w:val="标题 6 Char"/>
    <w:link w:val="7"/>
    <w:semiHidden/>
    <w:uiPriority w:val="9"/>
    <w:rPr>
      <w:b/>
      <w:bCs/>
    </w:rPr>
  </w:style>
  <w:style w:type="character" w:customStyle="1" w:styleId="23">
    <w:name w:val="标题 7 Char"/>
    <w:link w:val="8"/>
    <w:semiHidden/>
    <w:uiPriority w:val="9"/>
    <w:rPr>
      <w:sz w:val="24"/>
      <w:szCs w:val="24"/>
    </w:rPr>
  </w:style>
  <w:style w:type="character" w:customStyle="1" w:styleId="24">
    <w:name w:val="标题 8 Char"/>
    <w:link w:val="9"/>
    <w:semiHidden/>
    <w:uiPriority w:val="9"/>
    <w:rPr>
      <w:i/>
      <w:iCs/>
      <w:sz w:val="24"/>
      <w:szCs w:val="24"/>
    </w:rPr>
  </w:style>
  <w:style w:type="character" w:customStyle="1" w:styleId="25">
    <w:name w:val="标题 9 Char"/>
    <w:link w:val="10"/>
    <w:semiHidden/>
    <w:uiPriority w:val="9"/>
    <w:rPr>
      <w:rFonts w:ascii="Cambria" w:hAnsi="Cambria" w:eastAsia="宋体"/>
    </w:rPr>
  </w:style>
  <w:style w:type="character" w:customStyle="1" w:styleId="26">
    <w:name w:val="标题 Char"/>
    <w:link w:val="12"/>
    <w:uiPriority w:val="10"/>
    <w:rPr>
      <w:rFonts w:ascii="Cambria" w:hAnsi="Cambria" w:eastAsia="宋体"/>
      <w:b/>
      <w:bCs/>
      <w:kern w:val="28"/>
      <w:sz w:val="32"/>
      <w:szCs w:val="32"/>
    </w:rPr>
  </w:style>
  <w:style w:type="character" w:customStyle="1" w:styleId="27">
    <w:name w:val="副标题 Char"/>
    <w:link w:val="11"/>
    <w:uiPriority w:val="11"/>
    <w:rPr>
      <w:rFonts w:ascii="Cambria" w:hAnsi="Cambria" w:eastAsia="宋体"/>
      <w:sz w:val="24"/>
      <w:szCs w:val="24"/>
    </w:rPr>
  </w:style>
  <w:style w:type="paragraph" w:styleId="28">
    <w:name w:val="No Spacing"/>
    <w:basedOn w:val="1"/>
    <w:qFormat/>
    <w:uiPriority w:val="1"/>
    <w:rPr>
      <w:szCs w:val="32"/>
    </w:rPr>
  </w:style>
  <w:style w:type="paragraph" w:styleId="29">
    <w:name w:val="List Paragraph"/>
    <w:basedOn w:val="1"/>
    <w:qFormat/>
    <w:uiPriority w:val="34"/>
    <w:pPr>
      <w:ind w:left="720"/>
      <w:contextualSpacing/>
    </w:pPr>
  </w:style>
  <w:style w:type="paragraph" w:styleId="30">
    <w:name w:val="Quote"/>
    <w:basedOn w:val="1"/>
    <w:next w:val="1"/>
    <w:link w:val="31"/>
    <w:qFormat/>
    <w:uiPriority w:val="29"/>
    <w:rPr>
      <w:i/>
    </w:rPr>
  </w:style>
  <w:style w:type="character" w:customStyle="1" w:styleId="31">
    <w:name w:val="引用 Char"/>
    <w:link w:val="30"/>
    <w:uiPriority w:val="29"/>
    <w:rPr>
      <w:i/>
      <w:sz w:val="24"/>
      <w:szCs w:val="24"/>
    </w:rPr>
  </w:style>
  <w:style w:type="paragraph" w:styleId="32">
    <w:name w:val="Intense Quote"/>
    <w:basedOn w:val="1"/>
    <w:next w:val="1"/>
    <w:link w:val="33"/>
    <w:qFormat/>
    <w:uiPriority w:val="30"/>
    <w:pPr>
      <w:ind w:left="720" w:right="720"/>
    </w:pPr>
    <w:rPr>
      <w:b/>
      <w:i/>
      <w:szCs w:val="22"/>
    </w:rPr>
  </w:style>
  <w:style w:type="character" w:customStyle="1" w:styleId="33">
    <w:name w:val="明显引用 Char"/>
    <w:link w:val="32"/>
    <w:uiPriority w:val="30"/>
    <w:rPr>
      <w:b/>
      <w:i/>
      <w:sz w:val="24"/>
    </w:rPr>
  </w:style>
  <w:style w:type="character" w:customStyle="1" w:styleId="34">
    <w:name w:val="Subtle Emphasis"/>
    <w:qFormat/>
    <w:uiPriority w:val="19"/>
    <w:rPr>
      <w:i/>
      <w:color w:val="5A5A5A"/>
    </w:rPr>
  </w:style>
  <w:style w:type="character" w:customStyle="1" w:styleId="35">
    <w:name w:val="Intense Emphasis"/>
    <w:qFormat/>
    <w:uiPriority w:val="21"/>
    <w:rPr>
      <w:b/>
      <w:i/>
      <w:sz w:val="24"/>
      <w:szCs w:val="24"/>
      <w:u w:val="single"/>
    </w:rPr>
  </w:style>
  <w:style w:type="character" w:customStyle="1" w:styleId="36">
    <w:name w:val="Subtle Reference"/>
    <w:qFormat/>
    <w:uiPriority w:val="31"/>
    <w:rPr>
      <w:sz w:val="24"/>
      <w:szCs w:val="24"/>
      <w:u w:val="single"/>
    </w:rPr>
  </w:style>
  <w:style w:type="character" w:customStyle="1" w:styleId="37">
    <w:name w:val="Intense Reference"/>
    <w:qFormat/>
    <w:uiPriority w:val="32"/>
    <w:rPr>
      <w:b/>
      <w:sz w:val="24"/>
      <w:u w:val="single"/>
    </w:rPr>
  </w:style>
  <w:style w:type="character" w:customStyle="1" w:styleId="38">
    <w:name w:val="Book Title"/>
    <w:qFormat/>
    <w:uiPriority w:val="33"/>
    <w:rPr>
      <w:rFonts w:ascii="Cambria" w:hAnsi="Cambria" w:eastAsia="宋体"/>
      <w:b/>
      <w:i/>
      <w:sz w:val="24"/>
      <w:szCs w:val="24"/>
    </w:rPr>
  </w:style>
  <w:style w:type="paragraph" w:customStyle="1" w:styleId="39">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835</Words>
  <Characters>864</Characters>
  <Lines>6</Lines>
  <Paragraphs>1</Paragraphs>
  <TotalTime>59</TotalTime>
  <ScaleCrop>false</ScaleCrop>
  <LinksUpToDate>false</LinksUpToDate>
  <CharactersWithSpaces>872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2018-09-29T00:29:00Z</dcterms:created>
  <dc:creator>dell</dc:creator>
  <cp:lastModifiedBy>Administrator</cp:lastModifiedBy>
  <dcterms:modified xsi:type="dcterms:W3CDTF">2025-05-16T01:15:25Z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eyJoZGlkIjoiNzEzYjllYjkxMzNmMWMyMmI4ODMyM2Y3NmY0ZDQ4NzAifQ==</vt:lpwstr>
  </property>
  <property fmtid="{D5CDD505-2E9C-101B-9397-08002B2CF9AE}" pid="3" name="KSOProductBuildVer">
    <vt:lpwstr>2052-12.1.0.20784</vt:lpwstr>
  </property>
  <property fmtid="{D5CDD505-2E9C-101B-9397-08002B2CF9AE}" pid="4" name="ICV">
    <vt:lpwstr>DEB50A0E196A4224ACB7F028E27032EF_12</vt:lpwstr>
  </property>
</Properties>
</file>