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b/>
          <w:sz w:val="32"/>
          <w:szCs w:val="32"/>
        </w:rPr>
      </w:pPr>
    </w:p>
    <w:p>
      <w:pPr>
        <w:spacing w:line="360" w:lineRule="auto"/>
        <w:jc w:val="center"/>
        <w:rPr>
          <w:rFonts w:ascii="仿宋_GB2312" w:eastAsia="仿宋_GB2312"/>
          <w:sz w:val="32"/>
          <w:szCs w:val="32"/>
        </w:rPr>
      </w:pPr>
      <w:r>
        <w:rPr>
          <w:rFonts w:hint="eastAsia" w:ascii="黑体" w:eastAsia="黑体"/>
          <w:sz w:val="44"/>
          <w:szCs w:val="44"/>
        </w:rPr>
        <w:br w:type="textWrapping"/>
      </w:r>
      <w:r>
        <w:rPr>
          <w:rFonts w:hint="eastAsia" w:ascii="黑体" w:eastAsia="黑体"/>
          <w:sz w:val="44"/>
          <w:szCs w:val="44"/>
        </w:rPr>
        <w:t>2020年度昌黎县城市管理综合行政执法局部门整体支出绩效自评报告</w:t>
      </w:r>
    </w:p>
    <w:p>
      <w:pPr>
        <w:spacing w:line="360" w:lineRule="auto"/>
        <w:ind w:firstLine="600" w:firstLineChars="200"/>
        <w:rPr>
          <w:rFonts w:ascii="黑体" w:eastAsia="黑体"/>
          <w:sz w:val="30"/>
        </w:rPr>
      </w:pPr>
    </w:p>
    <w:p>
      <w:pPr>
        <w:spacing w:line="360" w:lineRule="auto"/>
        <w:ind w:firstLine="562" w:firstLineChars="200"/>
        <w:jc w:val="left"/>
        <w:rPr>
          <w:rFonts w:asciiTheme="majorEastAsia" w:hAnsiTheme="majorEastAsia" w:eastAsiaTheme="majorEastAsia"/>
          <w:b/>
          <w:sz w:val="28"/>
          <w:szCs w:val="28"/>
        </w:rPr>
      </w:pPr>
      <w:r>
        <w:rPr>
          <w:rFonts w:hint="eastAsia" w:asciiTheme="majorEastAsia" w:hAnsiTheme="majorEastAsia" w:eastAsiaTheme="majorEastAsia"/>
          <w:b/>
          <w:sz w:val="28"/>
          <w:szCs w:val="28"/>
        </w:rPr>
        <w:t>一、部门概况</w:t>
      </w:r>
    </w:p>
    <w:p>
      <w:pPr>
        <w:spacing w:line="360" w:lineRule="auto"/>
        <w:ind w:firstLine="562" w:firstLineChars="200"/>
        <w:jc w:val="left"/>
        <w:rPr>
          <w:rFonts w:asciiTheme="majorEastAsia" w:hAnsiTheme="majorEastAsia" w:eastAsiaTheme="majorEastAsia"/>
          <w:b/>
          <w:sz w:val="28"/>
          <w:szCs w:val="28"/>
        </w:rPr>
      </w:pPr>
      <w:r>
        <w:rPr>
          <w:rFonts w:hint="eastAsia" w:asciiTheme="majorEastAsia" w:hAnsiTheme="majorEastAsia" w:eastAsiaTheme="majorEastAsia"/>
          <w:b/>
          <w:sz w:val="28"/>
          <w:szCs w:val="28"/>
        </w:rPr>
        <w:t>（一）部门主</w:t>
      </w:r>
      <w:r>
        <w:rPr>
          <w:rFonts w:asciiTheme="majorEastAsia" w:hAnsiTheme="majorEastAsia" w:eastAsiaTheme="majorEastAsia"/>
          <w:b/>
          <w:sz w:val="28"/>
          <w:szCs w:val="28"/>
        </w:rPr>
        <w:t>要职责职能</w:t>
      </w:r>
      <w:r>
        <w:rPr>
          <w:rFonts w:hint="eastAsia" w:asciiTheme="majorEastAsia" w:hAnsiTheme="majorEastAsia" w:eastAsiaTheme="majorEastAsia"/>
          <w:b/>
          <w:sz w:val="28"/>
          <w:szCs w:val="28"/>
        </w:rPr>
        <w:t>，组织架构、人员及资产等</w:t>
      </w:r>
      <w:r>
        <w:rPr>
          <w:rFonts w:asciiTheme="majorEastAsia" w:hAnsiTheme="majorEastAsia" w:eastAsiaTheme="majorEastAsia"/>
          <w:b/>
          <w:sz w:val="28"/>
          <w:szCs w:val="28"/>
        </w:rPr>
        <w:t>基本</w:t>
      </w:r>
      <w:r>
        <w:rPr>
          <w:rFonts w:hint="eastAsia" w:asciiTheme="majorEastAsia" w:hAnsiTheme="majorEastAsia" w:eastAsiaTheme="majorEastAsia"/>
          <w:b/>
          <w:sz w:val="28"/>
          <w:szCs w:val="28"/>
        </w:rPr>
        <w:t>情况。</w:t>
      </w:r>
    </w:p>
    <w:p>
      <w:pPr>
        <w:spacing w:line="360" w:lineRule="auto"/>
        <w:ind w:firstLine="562" w:firstLineChars="200"/>
        <w:jc w:val="left"/>
        <w:rPr>
          <w:rFonts w:asciiTheme="majorEastAsia" w:hAnsiTheme="majorEastAsia" w:eastAsiaTheme="majorEastAsia"/>
          <w:b/>
          <w:sz w:val="28"/>
          <w:szCs w:val="28"/>
        </w:rPr>
      </w:pPr>
      <w:r>
        <w:rPr>
          <w:rFonts w:hint="eastAsia" w:asciiTheme="majorEastAsia" w:hAnsiTheme="majorEastAsia" w:eastAsiaTheme="majorEastAsia"/>
          <w:b/>
          <w:sz w:val="28"/>
          <w:szCs w:val="28"/>
        </w:rPr>
        <w:t>1、部门职责</w:t>
      </w:r>
    </w:p>
    <w:p>
      <w:pPr>
        <w:autoSpaceDE w:val="0"/>
        <w:spacing w:line="360" w:lineRule="auto"/>
        <w:ind w:firstLine="560" w:firstLineChars="200"/>
        <w:jc w:val="left"/>
        <w:rPr>
          <w:rFonts w:asciiTheme="majorEastAsia" w:hAnsiTheme="majorEastAsia" w:eastAsiaTheme="majorEastAsia"/>
          <w:sz w:val="28"/>
          <w:szCs w:val="28"/>
        </w:rPr>
      </w:pPr>
      <w:r>
        <w:rPr>
          <w:rFonts w:hint="eastAsia" w:cs="微软雅黑" w:asciiTheme="majorEastAsia" w:hAnsiTheme="majorEastAsia" w:eastAsiaTheme="majorEastAsia"/>
          <w:color w:val="000000"/>
          <w:sz w:val="28"/>
          <w:szCs w:val="28"/>
        </w:rPr>
        <w:t>（1）</w:t>
      </w:r>
      <w:r>
        <w:rPr>
          <w:rFonts w:hint="eastAsia" w:asciiTheme="majorEastAsia" w:hAnsiTheme="majorEastAsia" w:eastAsiaTheme="majorEastAsia"/>
          <w:sz w:val="28"/>
          <w:szCs w:val="28"/>
        </w:rPr>
        <w:t>贯彻执行国家、省、市、县有关城市管理综合行政执法方面的方针、政策和法律法规。拟定城市管理方面的地方性法规、政府规章、规范性文件；制定全县城市管理行业发展规划、年度计划及各项措施并负责组织实施；负责城市管理行业安全生产监管。</w:t>
      </w:r>
    </w:p>
    <w:p>
      <w:pPr>
        <w:topLinePunct/>
        <w:autoSpaceDE w:val="0"/>
        <w:snapToGrid w:val="0"/>
        <w:spacing w:line="360" w:lineRule="auto"/>
        <w:ind w:firstLine="200"/>
        <w:jc w:val="left"/>
        <w:rPr>
          <w:rFonts w:asciiTheme="majorEastAsia" w:hAnsiTheme="majorEastAsia" w:eastAsiaTheme="majorEastAsia"/>
          <w:sz w:val="28"/>
          <w:szCs w:val="28"/>
        </w:rPr>
      </w:pPr>
      <w:r>
        <w:rPr>
          <w:rFonts w:hint="eastAsia" w:cs="微软雅黑" w:asciiTheme="majorEastAsia" w:hAnsiTheme="majorEastAsia" w:eastAsiaTheme="majorEastAsia"/>
          <w:color w:val="000000"/>
          <w:sz w:val="28"/>
          <w:szCs w:val="28"/>
        </w:rPr>
        <w:t>（2）</w:t>
      </w:r>
      <w:r>
        <w:rPr>
          <w:rFonts w:hint="eastAsia" w:asciiTheme="majorEastAsia" w:hAnsiTheme="majorEastAsia" w:eastAsiaTheme="majorEastAsia"/>
          <w:spacing w:val="-6"/>
          <w:kern w:val="32"/>
          <w:sz w:val="28"/>
          <w:szCs w:val="28"/>
        </w:rPr>
        <w:t>指导</w:t>
      </w:r>
      <w:r>
        <w:rPr>
          <w:rFonts w:hint="eastAsia" w:asciiTheme="majorEastAsia" w:hAnsiTheme="majorEastAsia" w:eastAsiaTheme="majorEastAsia"/>
          <w:sz w:val="28"/>
          <w:szCs w:val="28"/>
        </w:rPr>
        <w:t>城市市容市貌管理工作。负责制定城市容貌秩序管理标准和年度计划并督导落实；组织开展城市市容市貌综合治理和样板街道打造；负责城市区市容市貌管理工作的监督、检查、考核；监督城市区施工工地容貌秩序；负责城市区户外广告以及门店牌匾设置的监督管理工作；指导城市区建筑物、构筑物和市政设施外立面保洁管理工作。</w:t>
      </w:r>
    </w:p>
    <w:p>
      <w:pPr>
        <w:topLinePunct/>
        <w:autoSpaceDE w:val="0"/>
        <w:snapToGrid w:val="0"/>
        <w:spacing w:line="360" w:lineRule="auto"/>
        <w:ind w:firstLine="200"/>
        <w:jc w:val="left"/>
        <w:rPr>
          <w:rFonts w:asciiTheme="majorEastAsia" w:hAnsiTheme="majorEastAsia" w:eastAsiaTheme="majorEastAsia"/>
          <w:sz w:val="28"/>
          <w:szCs w:val="28"/>
        </w:rPr>
      </w:pPr>
      <w:r>
        <w:rPr>
          <w:rFonts w:hint="eastAsia" w:cs="微软雅黑" w:asciiTheme="majorEastAsia" w:hAnsiTheme="majorEastAsia" w:eastAsiaTheme="majorEastAsia"/>
          <w:color w:val="000000"/>
          <w:sz w:val="28"/>
          <w:szCs w:val="28"/>
        </w:rPr>
        <w:t>（3）</w:t>
      </w:r>
      <w:r>
        <w:rPr>
          <w:rFonts w:hint="eastAsia" w:asciiTheme="majorEastAsia" w:hAnsiTheme="majorEastAsia" w:eastAsiaTheme="majorEastAsia"/>
          <w:spacing w:val="-6"/>
          <w:kern w:val="32"/>
          <w:sz w:val="28"/>
          <w:szCs w:val="28"/>
        </w:rPr>
        <w:t>指导</w:t>
      </w:r>
      <w:r>
        <w:rPr>
          <w:rFonts w:hint="eastAsia" w:asciiTheme="majorEastAsia" w:hAnsiTheme="majorEastAsia" w:eastAsiaTheme="majorEastAsia"/>
          <w:sz w:val="28"/>
          <w:szCs w:val="28"/>
        </w:rPr>
        <w:t>城市环境卫生管理工作。组织制定城市环境卫生管理作业标准和年度计划并督导落实；负责垃圾填埋场、生活垃圾无害化处理场、垃圾中转站、城区公厕等环卫设施的建设、管理和维护工作；组织开展城市环境卫生综合治理活动；指导建制镇（乡）农村生活垃圾收运处置体系建设；负责对城乡环境卫生管理工作进行监督、检查、考核；参与城市区新建、改建、扩建的市容环卫配套工程项目审核、竣工验收等工作；负责城市医疗垃圾、建筑垃圾、餐厨垃圾、生活垃圾的收集、运输、无害化处理的管理与监督工作以及对综合利用企业的行业指导；负责城区内建筑垃圾渣土运输的管理工作；组织协调城市冬季清雪工作及“全民洗城”活动。</w:t>
      </w:r>
    </w:p>
    <w:p>
      <w:pPr>
        <w:topLinePunct/>
        <w:autoSpaceDE w:val="0"/>
        <w:snapToGrid w:val="0"/>
        <w:spacing w:line="360" w:lineRule="auto"/>
        <w:ind w:firstLine="200"/>
        <w:jc w:val="left"/>
        <w:rPr>
          <w:rFonts w:asciiTheme="majorEastAsia" w:hAnsiTheme="majorEastAsia" w:eastAsiaTheme="majorEastAsia"/>
          <w:sz w:val="28"/>
          <w:szCs w:val="28"/>
        </w:rPr>
      </w:pPr>
      <w:r>
        <w:rPr>
          <w:rFonts w:hint="eastAsia" w:cs="微软雅黑" w:asciiTheme="majorEastAsia" w:hAnsiTheme="majorEastAsia" w:eastAsiaTheme="majorEastAsia"/>
          <w:color w:val="000000"/>
          <w:sz w:val="28"/>
          <w:szCs w:val="28"/>
        </w:rPr>
        <w:t>（4）</w:t>
      </w:r>
      <w:r>
        <w:rPr>
          <w:rFonts w:hint="eastAsia" w:asciiTheme="majorEastAsia" w:hAnsiTheme="majorEastAsia" w:eastAsiaTheme="majorEastAsia"/>
          <w:sz w:val="28"/>
          <w:szCs w:val="28"/>
        </w:rPr>
        <w:t>承担城市管理综合行政执法工作：</w:t>
      </w:r>
    </w:p>
    <w:p>
      <w:pPr>
        <w:autoSpaceDE w:val="0"/>
        <w:spacing w:line="360" w:lineRule="auto"/>
        <w:ind w:firstLine="200"/>
        <w:jc w:val="left"/>
        <w:rPr>
          <w:rFonts w:asciiTheme="majorEastAsia" w:hAnsiTheme="majorEastAsia" w:eastAsiaTheme="majorEastAsia"/>
          <w:sz w:val="28"/>
          <w:szCs w:val="28"/>
        </w:rPr>
      </w:pPr>
      <w:r>
        <w:rPr>
          <w:rFonts w:hint="eastAsia" w:asciiTheme="majorEastAsia" w:hAnsiTheme="majorEastAsia" w:eastAsiaTheme="majorEastAsia"/>
          <w:sz w:val="28"/>
          <w:szCs w:val="28"/>
        </w:rPr>
        <w:t xml:space="preserve">（1）行使市容环境卫生管理方面法律、法规、规章规定的行政处罚权； </w:t>
      </w:r>
    </w:p>
    <w:p>
      <w:pPr>
        <w:autoSpaceDE w:val="0"/>
        <w:spacing w:line="360" w:lineRule="auto"/>
        <w:ind w:firstLine="200"/>
        <w:jc w:val="left"/>
        <w:rPr>
          <w:rFonts w:asciiTheme="majorEastAsia" w:hAnsiTheme="majorEastAsia" w:eastAsiaTheme="majorEastAsia"/>
          <w:sz w:val="28"/>
          <w:szCs w:val="28"/>
        </w:rPr>
      </w:pPr>
      <w:r>
        <w:rPr>
          <w:rFonts w:hint="eastAsia" w:asciiTheme="majorEastAsia" w:hAnsiTheme="majorEastAsia" w:eastAsiaTheme="majorEastAsia"/>
          <w:sz w:val="28"/>
          <w:szCs w:val="28"/>
        </w:rPr>
        <w:t>（2）行使城市绿化管理方面法律、法规、规章规定的行政处罚权。</w:t>
      </w:r>
    </w:p>
    <w:p>
      <w:pPr>
        <w:autoSpaceDE w:val="0"/>
        <w:spacing w:line="360" w:lineRule="auto"/>
        <w:ind w:firstLine="200"/>
        <w:jc w:val="left"/>
        <w:rPr>
          <w:rFonts w:asciiTheme="majorEastAsia" w:hAnsiTheme="majorEastAsia" w:eastAsiaTheme="majorEastAsia"/>
          <w:sz w:val="28"/>
          <w:szCs w:val="28"/>
        </w:rPr>
      </w:pPr>
      <w:r>
        <w:rPr>
          <w:rFonts w:hint="eastAsia" w:asciiTheme="majorEastAsia" w:hAnsiTheme="majorEastAsia" w:eastAsiaTheme="majorEastAsia"/>
          <w:sz w:val="28"/>
          <w:szCs w:val="28"/>
        </w:rPr>
        <w:t>（3）行使市政管理方面法律、法规、规章规定的行政处罚权；</w:t>
      </w:r>
    </w:p>
    <w:p>
      <w:pPr>
        <w:autoSpaceDE w:val="0"/>
        <w:spacing w:line="360" w:lineRule="auto"/>
        <w:ind w:firstLine="200"/>
        <w:jc w:val="left"/>
        <w:rPr>
          <w:rFonts w:asciiTheme="majorEastAsia" w:hAnsiTheme="majorEastAsia" w:eastAsiaTheme="majorEastAsia"/>
          <w:sz w:val="28"/>
          <w:szCs w:val="28"/>
        </w:rPr>
      </w:pPr>
      <w:r>
        <w:rPr>
          <w:rFonts w:hint="eastAsia" w:asciiTheme="majorEastAsia" w:hAnsiTheme="majorEastAsia" w:eastAsiaTheme="majorEastAsia"/>
          <w:sz w:val="28"/>
          <w:szCs w:val="28"/>
        </w:rPr>
        <w:t>（4）行使违反餐厨垃圾废弃物管理、运输、处置规定的行政处罚；</w:t>
      </w:r>
    </w:p>
    <w:p>
      <w:pPr>
        <w:autoSpaceDE w:val="0"/>
        <w:spacing w:line="360" w:lineRule="auto"/>
        <w:ind w:firstLine="200"/>
        <w:jc w:val="left"/>
        <w:rPr>
          <w:rFonts w:asciiTheme="majorEastAsia" w:hAnsiTheme="majorEastAsia" w:eastAsiaTheme="majorEastAsia"/>
          <w:sz w:val="28"/>
          <w:szCs w:val="28"/>
        </w:rPr>
      </w:pPr>
      <w:r>
        <w:rPr>
          <w:rFonts w:hint="eastAsia" w:asciiTheme="majorEastAsia" w:hAnsiTheme="majorEastAsia" w:eastAsiaTheme="majorEastAsia"/>
          <w:sz w:val="28"/>
          <w:szCs w:val="28"/>
        </w:rPr>
        <w:t>（5）负责城乡规划法律、法规、规章规定的城市规划区范围内未批先建违法建设巡查及处罚；</w:t>
      </w:r>
    </w:p>
    <w:p>
      <w:pPr>
        <w:autoSpaceDE w:val="0"/>
        <w:spacing w:line="360" w:lineRule="auto"/>
        <w:ind w:firstLine="200"/>
        <w:jc w:val="left"/>
        <w:rPr>
          <w:rFonts w:asciiTheme="majorEastAsia" w:hAnsiTheme="majorEastAsia" w:eastAsiaTheme="majorEastAsia"/>
          <w:sz w:val="28"/>
          <w:szCs w:val="28"/>
        </w:rPr>
      </w:pPr>
      <w:r>
        <w:rPr>
          <w:rFonts w:hint="eastAsia" w:asciiTheme="majorEastAsia" w:hAnsiTheme="majorEastAsia" w:eastAsiaTheme="majorEastAsia"/>
          <w:sz w:val="28"/>
          <w:szCs w:val="28"/>
        </w:rPr>
        <w:t>（6） 行使环境保护管理方面法律、法规、规章规定的对社会生活噪声污染，建筑施工扬尘和饮食服务业油烟污染，在公共场所烧烤食品、散装原煤、焚烧杂物，未采取防燃、防尘措施在人口集中地区存放煤煤矸石、煤渣、砂石、灰土等物料，不按规定倾倒、堆放、贮存、清运、处置城市生活垃圾，未按规定随意堆放、倾倒危险废物，未经处置直接倾倒、堆放危险废物，收集、贮存、利用、处置中产生残余物、渗出液，施工单位不及时清运、处置建筑施工过程中产生的垃圾以及运输过程中沿途丢弃、遗撒固体废物，拒绝环境噪声现场检查时弄虚作假行为的行政处罚。</w:t>
      </w:r>
    </w:p>
    <w:p>
      <w:pPr>
        <w:autoSpaceDE w:val="0"/>
        <w:spacing w:line="360" w:lineRule="auto"/>
        <w:ind w:firstLine="200"/>
        <w:jc w:val="left"/>
        <w:rPr>
          <w:rFonts w:asciiTheme="majorEastAsia" w:hAnsiTheme="majorEastAsia" w:eastAsiaTheme="majorEastAsia"/>
          <w:sz w:val="28"/>
          <w:szCs w:val="28"/>
        </w:rPr>
      </w:pPr>
      <w:r>
        <w:rPr>
          <w:rFonts w:hint="eastAsia" w:asciiTheme="majorEastAsia" w:hAnsiTheme="majorEastAsia" w:eastAsiaTheme="majorEastAsia"/>
          <w:sz w:val="28"/>
          <w:szCs w:val="28"/>
        </w:rPr>
        <w:t>（7） 行使工商管理、食药监管方面法律、法规、规章规定的城区户外公共场所无照经营、食品销售和餐饮摊点无证经营，以及户外占用城市道路、公共场所违法回收贩卖药品行为的行政处罚权；</w:t>
      </w:r>
    </w:p>
    <w:p>
      <w:pPr>
        <w:autoSpaceDE w:val="0"/>
        <w:spacing w:line="360" w:lineRule="auto"/>
        <w:ind w:firstLine="200"/>
        <w:jc w:val="left"/>
        <w:rPr>
          <w:rFonts w:asciiTheme="majorEastAsia" w:hAnsiTheme="majorEastAsia" w:eastAsiaTheme="majorEastAsia"/>
          <w:sz w:val="28"/>
          <w:szCs w:val="28"/>
        </w:rPr>
      </w:pPr>
      <w:r>
        <w:rPr>
          <w:rFonts w:hint="eastAsia" w:asciiTheme="majorEastAsia" w:hAnsiTheme="majorEastAsia" w:eastAsiaTheme="majorEastAsia"/>
          <w:sz w:val="28"/>
          <w:szCs w:val="28"/>
        </w:rPr>
        <w:t>（8）行使文化市场管理方面法律、法规、规章规定的未经批准或者未领取《文化经营许可证》而擅自从事文化市场经营活动和文化娱乐活动经营活动行为的行政处罚权；</w:t>
      </w:r>
    </w:p>
    <w:p>
      <w:pPr>
        <w:autoSpaceDE w:val="0"/>
        <w:spacing w:line="360" w:lineRule="auto"/>
        <w:ind w:firstLine="200"/>
        <w:jc w:val="left"/>
        <w:rPr>
          <w:rFonts w:asciiTheme="majorEastAsia" w:hAnsiTheme="majorEastAsia" w:eastAsiaTheme="majorEastAsia"/>
          <w:sz w:val="28"/>
          <w:szCs w:val="28"/>
        </w:rPr>
      </w:pPr>
      <w:r>
        <w:rPr>
          <w:rFonts w:hint="eastAsia" w:asciiTheme="majorEastAsia" w:hAnsiTheme="majorEastAsia" w:eastAsiaTheme="majorEastAsia"/>
          <w:sz w:val="28"/>
          <w:szCs w:val="28"/>
        </w:rPr>
        <w:t>（9）行使水务管理方面法律、法规章规定的向城市河道倾倒废弃物、垃圾和渣土、城市河道违法建筑物拆除的行政处罚权；</w:t>
      </w:r>
    </w:p>
    <w:p>
      <w:pPr>
        <w:autoSpaceDE w:val="0"/>
        <w:spacing w:line="360" w:lineRule="auto"/>
        <w:ind w:firstLine="200"/>
        <w:jc w:val="left"/>
        <w:rPr>
          <w:rFonts w:asciiTheme="majorEastAsia" w:hAnsiTheme="majorEastAsia" w:eastAsiaTheme="majorEastAsia"/>
          <w:sz w:val="28"/>
          <w:szCs w:val="28"/>
        </w:rPr>
      </w:pPr>
      <w:r>
        <w:rPr>
          <w:rFonts w:hint="eastAsia" w:asciiTheme="majorEastAsia" w:hAnsiTheme="majorEastAsia" w:eastAsiaTheme="majorEastAsia"/>
          <w:sz w:val="28"/>
          <w:szCs w:val="28"/>
        </w:rPr>
        <w:t>（10）负责城市市容和环境卫生管理工作和城市生活垃圾处理费及行政事业费用的收缴工作；</w:t>
      </w:r>
    </w:p>
    <w:p>
      <w:pPr>
        <w:autoSpaceDE w:val="0"/>
        <w:spacing w:line="360" w:lineRule="auto"/>
        <w:ind w:firstLine="200"/>
        <w:jc w:val="left"/>
        <w:rPr>
          <w:rFonts w:asciiTheme="majorEastAsia" w:hAnsiTheme="majorEastAsia" w:eastAsiaTheme="majorEastAsia"/>
          <w:sz w:val="28"/>
          <w:szCs w:val="28"/>
        </w:rPr>
      </w:pPr>
      <w:r>
        <w:rPr>
          <w:rFonts w:hint="eastAsia" w:asciiTheme="majorEastAsia" w:hAnsiTheme="majorEastAsia" w:eastAsiaTheme="majorEastAsia"/>
          <w:sz w:val="28"/>
          <w:szCs w:val="28"/>
        </w:rPr>
        <w:t>（11）负责数字化城管指挥，实施对城市管理全方位、全时段的实时监控，“12319”便民服务热线及社会各媒体关注的城市管理信息的收集、处理工作；对有关部门和责任人履行城市管理职责情况进行监督考核评价；</w:t>
      </w:r>
    </w:p>
    <w:p>
      <w:pPr>
        <w:autoSpaceDE w:val="0"/>
        <w:spacing w:line="360" w:lineRule="auto"/>
        <w:ind w:firstLine="200"/>
        <w:jc w:val="left"/>
        <w:rPr>
          <w:rFonts w:asciiTheme="majorEastAsia" w:hAnsiTheme="majorEastAsia" w:eastAsiaTheme="majorEastAsia"/>
          <w:sz w:val="28"/>
          <w:szCs w:val="28"/>
        </w:rPr>
      </w:pPr>
      <w:r>
        <w:rPr>
          <w:rFonts w:hint="eastAsia" w:asciiTheme="majorEastAsia" w:hAnsiTheme="majorEastAsia" w:eastAsiaTheme="majorEastAsia"/>
          <w:sz w:val="28"/>
          <w:szCs w:val="28"/>
        </w:rPr>
        <w:t>（12）在城市规划区范围内，协调公安、建设部门规划临时停车点、停车泊位；</w:t>
      </w:r>
    </w:p>
    <w:p>
      <w:pPr>
        <w:autoSpaceDE w:val="0"/>
        <w:spacing w:line="360" w:lineRule="auto"/>
        <w:ind w:firstLine="200"/>
        <w:jc w:val="left"/>
        <w:rPr>
          <w:rFonts w:asciiTheme="majorEastAsia" w:hAnsiTheme="majorEastAsia" w:eastAsiaTheme="majorEastAsia"/>
          <w:sz w:val="28"/>
          <w:szCs w:val="28"/>
        </w:rPr>
      </w:pPr>
      <w:r>
        <w:rPr>
          <w:rFonts w:hint="eastAsia" w:asciiTheme="majorEastAsia" w:hAnsiTheme="majorEastAsia" w:eastAsiaTheme="majorEastAsia"/>
          <w:sz w:val="28"/>
          <w:szCs w:val="28"/>
        </w:rPr>
        <w:t>（13）负责城市容貌整治和“门前五包”、单位庭院和居户卫生管理，查处市容整治和“门前五包”落实责任落实不到位的单位、社区和个人。</w:t>
      </w:r>
    </w:p>
    <w:p>
      <w:pPr>
        <w:autoSpaceDE w:val="0"/>
        <w:spacing w:line="360" w:lineRule="auto"/>
        <w:ind w:firstLine="200"/>
        <w:jc w:val="left"/>
        <w:rPr>
          <w:rFonts w:asciiTheme="majorEastAsia" w:hAnsiTheme="majorEastAsia" w:eastAsiaTheme="majorEastAsia"/>
          <w:sz w:val="28"/>
          <w:szCs w:val="28"/>
        </w:rPr>
      </w:pPr>
      <w:r>
        <w:rPr>
          <w:rFonts w:hint="eastAsia" w:asciiTheme="majorEastAsia" w:hAnsiTheme="majorEastAsia" w:eastAsiaTheme="majorEastAsia"/>
          <w:sz w:val="28"/>
          <w:szCs w:val="28"/>
        </w:rPr>
        <w:t>（14）负责对户外广告、标志设置发布审批登记并搞好管理工作，负责对城市建筑物外墙、空间等各类灯饰的开启进行监督管理，对沿街门面的装饰装修改变房屋外立面、非承重墙上开门、开窗的监督管理。负责对占用城市道路、挖掘城市道路的审批。</w:t>
      </w:r>
    </w:p>
    <w:p>
      <w:pPr>
        <w:autoSpaceDE w:val="0"/>
        <w:spacing w:line="360" w:lineRule="auto"/>
        <w:ind w:firstLine="200"/>
        <w:jc w:val="left"/>
        <w:rPr>
          <w:rFonts w:asciiTheme="majorEastAsia" w:hAnsiTheme="majorEastAsia" w:eastAsiaTheme="majorEastAsia"/>
          <w:b/>
          <w:bCs/>
          <w:sz w:val="28"/>
          <w:szCs w:val="28"/>
        </w:rPr>
      </w:pPr>
      <w:r>
        <w:rPr>
          <w:rFonts w:hint="eastAsia" w:asciiTheme="majorEastAsia" w:hAnsiTheme="majorEastAsia" w:eastAsiaTheme="majorEastAsia"/>
          <w:sz w:val="28"/>
          <w:szCs w:val="28"/>
        </w:rPr>
        <w:t>（15）负责受理城市管理案件的申诉、调解；对本单位执法部门履行职责和行政执法方面不作为、乱作为进行监察；配合有关部门开展专项整治和执法检查；做好在城市管理中产生的争议、听证、行政复议、行政诉讼案件等方面的工作。</w:t>
      </w:r>
    </w:p>
    <w:p>
      <w:pPr>
        <w:autoSpaceDE w:val="0"/>
        <w:spacing w:line="360" w:lineRule="auto"/>
        <w:ind w:firstLine="200"/>
        <w:jc w:val="left"/>
        <w:rPr>
          <w:rFonts w:asciiTheme="majorEastAsia" w:hAnsiTheme="majorEastAsia" w:eastAsiaTheme="majorEastAsia"/>
          <w:sz w:val="28"/>
          <w:szCs w:val="28"/>
        </w:rPr>
      </w:pPr>
      <w:r>
        <w:rPr>
          <w:rFonts w:hint="eastAsia" w:cs="微软雅黑" w:asciiTheme="majorEastAsia" w:hAnsiTheme="majorEastAsia" w:eastAsiaTheme="majorEastAsia"/>
          <w:color w:val="000000"/>
          <w:sz w:val="28"/>
          <w:szCs w:val="28"/>
        </w:rPr>
        <w:t>（5）</w:t>
      </w:r>
      <w:r>
        <w:rPr>
          <w:rFonts w:hint="eastAsia" w:asciiTheme="majorEastAsia" w:hAnsiTheme="majorEastAsia" w:eastAsiaTheme="majorEastAsia"/>
          <w:sz w:val="28"/>
          <w:szCs w:val="28"/>
        </w:rPr>
        <w:t>负责对县域内纳入城市区管理的各类开发园区、旅游景区的城市管理综合行政执法工作的监督检查和业务指导。</w:t>
      </w:r>
    </w:p>
    <w:p>
      <w:pPr>
        <w:autoSpaceDE w:val="0"/>
        <w:spacing w:line="360" w:lineRule="auto"/>
        <w:ind w:firstLine="560" w:firstLineChars="200"/>
        <w:jc w:val="left"/>
        <w:rPr>
          <w:rFonts w:asciiTheme="majorEastAsia" w:hAnsiTheme="majorEastAsia" w:eastAsiaTheme="majorEastAsia"/>
          <w:sz w:val="28"/>
          <w:szCs w:val="28"/>
        </w:rPr>
      </w:pPr>
      <w:r>
        <w:rPr>
          <w:rFonts w:hint="eastAsia" w:asciiTheme="majorEastAsia" w:hAnsiTheme="majorEastAsia" w:eastAsiaTheme="majorEastAsia"/>
          <w:sz w:val="28"/>
          <w:szCs w:val="28"/>
        </w:rPr>
        <w:t>（6）开展城市管理综合行政执法方面的对外交流工作。</w:t>
      </w:r>
    </w:p>
    <w:p>
      <w:pPr>
        <w:autoSpaceDE w:val="0"/>
        <w:spacing w:line="360" w:lineRule="auto"/>
        <w:ind w:firstLine="560" w:firstLineChars="200"/>
        <w:jc w:val="left"/>
        <w:rPr>
          <w:rFonts w:asciiTheme="majorEastAsia" w:hAnsiTheme="majorEastAsia" w:eastAsiaTheme="majorEastAsia"/>
          <w:sz w:val="28"/>
          <w:szCs w:val="28"/>
        </w:rPr>
      </w:pPr>
      <w:r>
        <w:rPr>
          <w:rFonts w:hint="eastAsia" w:asciiTheme="majorEastAsia" w:hAnsiTheme="majorEastAsia" w:eastAsiaTheme="majorEastAsia"/>
          <w:sz w:val="28"/>
          <w:szCs w:val="28"/>
        </w:rPr>
        <w:t>（7）完成县委、县政府交办的其他任务。</w:t>
      </w:r>
    </w:p>
    <w:p>
      <w:pPr>
        <w:autoSpaceDE w:val="0"/>
        <w:spacing w:line="360" w:lineRule="auto"/>
        <w:ind w:firstLine="560" w:firstLineChars="200"/>
        <w:jc w:val="left"/>
        <w:rPr>
          <w:rFonts w:asciiTheme="majorEastAsia" w:hAnsiTheme="majorEastAsia" w:eastAsiaTheme="majorEastAsia"/>
          <w:sz w:val="28"/>
          <w:szCs w:val="28"/>
        </w:rPr>
      </w:pPr>
      <w:r>
        <w:rPr>
          <w:rFonts w:hint="eastAsia" w:asciiTheme="majorEastAsia" w:hAnsiTheme="majorEastAsia" w:eastAsiaTheme="majorEastAsia"/>
          <w:sz w:val="28"/>
          <w:szCs w:val="28"/>
        </w:rPr>
        <w:t>对县城市管理综合行政执法局依法履行职责的活动，有关部门应当予以支持配合。公安机关要专门安排警力配合县城市管理综合行政执法局开展执法活动。县司法部门要做好相对集中城市管理行政处罚权工作的指导、协调和监督。要建立城市管理行政执法的公安保障机制、社会投诉联动机制和工作协调机制。县城市管理综合行政执法局要加强对行政执法人员的思想政治、职业道德和遵纪守法教育，提高行政执法人员的政治素质和业务素质。执法人员必须做到持证上岗、亮证执法、严格依法行使职权。</w:t>
      </w:r>
    </w:p>
    <w:p>
      <w:pPr>
        <w:spacing w:line="360" w:lineRule="auto"/>
        <w:ind w:firstLine="562" w:firstLineChars="200"/>
        <w:jc w:val="left"/>
        <w:rPr>
          <w:rFonts w:asciiTheme="majorEastAsia" w:hAnsiTheme="majorEastAsia" w:eastAsiaTheme="majorEastAsia"/>
          <w:b/>
          <w:sz w:val="28"/>
          <w:szCs w:val="28"/>
        </w:rPr>
      </w:pPr>
      <w:r>
        <w:rPr>
          <w:rFonts w:hint="eastAsia" w:asciiTheme="majorEastAsia" w:hAnsiTheme="majorEastAsia" w:eastAsiaTheme="majorEastAsia"/>
          <w:b/>
          <w:sz w:val="28"/>
          <w:szCs w:val="28"/>
        </w:rPr>
        <w:t>2、组织机构设置</w:t>
      </w:r>
    </w:p>
    <w:p>
      <w:pPr>
        <w:spacing w:line="360" w:lineRule="auto"/>
        <w:ind w:firstLine="200"/>
        <w:jc w:val="left"/>
        <w:rPr>
          <w:rFonts w:asciiTheme="majorEastAsia" w:hAnsiTheme="majorEastAsia" w:eastAsiaTheme="majorEastAsia"/>
          <w:sz w:val="28"/>
          <w:szCs w:val="28"/>
        </w:rPr>
      </w:pPr>
      <w:r>
        <w:rPr>
          <w:rFonts w:hint="eastAsia" w:cs="微软雅黑" w:asciiTheme="majorEastAsia" w:hAnsiTheme="majorEastAsia" w:eastAsiaTheme="majorEastAsia"/>
          <w:color w:val="000000"/>
          <w:sz w:val="28"/>
          <w:szCs w:val="28"/>
        </w:rPr>
        <w:t>昌黎县城市管理综合行政执法局设4个内设机构：1、办公室2、法制股3、管理股4、数字化城市管理监督指挥中心。我单位为一级预算单位。</w:t>
      </w:r>
    </w:p>
    <w:p>
      <w:pPr>
        <w:spacing w:line="360" w:lineRule="auto"/>
        <w:ind w:firstLine="562" w:firstLineChars="200"/>
        <w:jc w:val="left"/>
        <w:rPr>
          <w:rFonts w:asciiTheme="majorEastAsia" w:hAnsiTheme="majorEastAsia" w:eastAsiaTheme="majorEastAsia"/>
          <w:b/>
          <w:sz w:val="28"/>
          <w:szCs w:val="28"/>
        </w:rPr>
      </w:pPr>
      <w:r>
        <w:rPr>
          <w:rFonts w:hint="eastAsia" w:asciiTheme="majorEastAsia" w:hAnsiTheme="majorEastAsia" w:eastAsiaTheme="majorEastAsia"/>
          <w:b/>
          <w:sz w:val="28"/>
          <w:szCs w:val="28"/>
        </w:rPr>
        <w:t>3、人员情况</w:t>
      </w:r>
    </w:p>
    <w:p>
      <w:pPr>
        <w:spacing w:line="360" w:lineRule="auto"/>
        <w:ind w:firstLine="560" w:firstLineChars="200"/>
        <w:jc w:val="left"/>
        <w:rPr>
          <w:rFonts w:asciiTheme="majorEastAsia" w:hAnsiTheme="majorEastAsia" w:eastAsiaTheme="majorEastAsia"/>
          <w:sz w:val="28"/>
          <w:szCs w:val="28"/>
        </w:rPr>
      </w:pPr>
      <w:r>
        <w:rPr>
          <w:rFonts w:hint="eastAsia" w:asciiTheme="majorEastAsia" w:hAnsiTheme="majorEastAsia" w:eastAsiaTheme="majorEastAsia"/>
          <w:sz w:val="28"/>
          <w:szCs w:val="28"/>
        </w:rPr>
        <w:t>昌黎县城市管理综合行政执法局有在职职工191人，行政人员5人，事业人员186人。编制人数140人</w:t>
      </w:r>
    </w:p>
    <w:p>
      <w:pPr>
        <w:spacing w:line="360" w:lineRule="auto"/>
        <w:ind w:firstLine="562" w:firstLineChars="200"/>
        <w:jc w:val="left"/>
        <w:rPr>
          <w:rFonts w:asciiTheme="majorEastAsia" w:hAnsiTheme="majorEastAsia" w:eastAsiaTheme="majorEastAsia"/>
          <w:b/>
          <w:sz w:val="28"/>
          <w:szCs w:val="28"/>
        </w:rPr>
      </w:pPr>
      <w:r>
        <w:rPr>
          <w:rFonts w:hint="eastAsia" w:asciiTheme="majorEastAsia" w:hAnsiTheme="majorEastAsia" w:eastAsiaTheme="majorEastAsia"/>
          <w:b/>
          <w:sz w:val="28"/>
          <w:szCs w:val="28"/>
        </w:rPr>
        <w:t>4、资产情况</w:t>
      </w:r>
    </w:p>
    <w:p>
      <w:pPr>
        <w:spacing w:line="360" w:lineRule="auto"/>
        <w:ind w:firstLine="560" w:firstLineChars="200"/>
        <w:jc w:val="left"/>
        <w:rPr>
          <w:rFonts w:asciiTheme="majorEastAsia" w:hAnsiTheme="majorEastAsia" w:eastAsiaTheme="majorEastAsia"/>
          <w:sz w:val="28"/>
          <w:szCs w:val="28"/>
        </w:rPr>
      </w:pPr>
      <w:r>
        <w:rPr>
          <w:rFonts w:hint="eastAsia" w:asciiTheme="majorEastAsia" w:hAnsiTheme="majorEastAsia" w:eastAsiaTheme="majorEastAsia"/>
          <w:sz w:val="28"/>
          <w:szCs w:val="28"/>
        </w:rPr>
        <w:t>截止到2020年底固定资产原值2039.01万元；在建工程500万元；公共基础设施原值634.754万元。</w:t>
      </w:r>
    </w:p>
    <w:p>
      <w:pPr>
        <w:spacing w:line="360" w:lineRule="auto"/>
        <w:ind w:firstLine="562" w:firstLineChars="200"/>
        <w:jc w:val="left"/>
        <w:rPr>
          <w:rFonts w:asciiTheme="majorEastAsia" w:hAnsiTheme="majorEastAsia" w:eastAsiaTheme="majorEastAsia"/>
          <w:b/>
          <w:sz w:val="28"/>
          <w:szCs w:val="28"/>
        </w:rPr>
      </w:pPr>
      <w:r>
        <w:rPr>
          <w:rFonts w:hint="eastAsia" w:asciiTheme="majorEastAsia" w:hAnsiTheme="majorEastAsia" w:eastAsiaTheme="majorEastAsia"/>
          <w:b/>
          <w:sz w:val="28"/>
          <w:szCs w:val="28"/>
        </w:rPr>
        <w:t>（二）当年部门履职总体目标、</w:t>
      </w:r>
      <w:r>
        <w:rPr>
          <w:rFonts w:asciiTheme="majorEastAsia" w:hAnsiTheme="majorEastAsia" w:eastAsiaTheme="majorEastAsia"/>
          <w:b/>
          <w:sz w:val="28"/>
          <w:szCs w:val="28"/>
        </w:rPr>
        <w:t>工作任务</w:t>
      </w:r>
      <w:r>
        <w:rPr>
          <w:rFonts w:hint="eastAsia" w:asciiTheme="majorEastAsia" w:hAnsiTheme="majorEastAsia" w:eastAsiaTheme="majorEastAsia"/>
          <w:b/>
          <w:sz w:val="28"/>
          <w:szCs w:val="28"/>
        </w:rPr>
        <w:t>。</w:t>
      </w:r>
    </w:p>
    <w:p>
      <w:pPr>
        <w:autoSpaceDE w:val="0"/>
        <w:spacing w:line="360" w:lineRule="auto"/>
        <w:ind w:firstLine="560" w:firstLineChars="200"/>
        <w:jc w:val="left"/>
        <w:rPr>
          <w:rFonts w:asciiTheme="majorEastAsia" w:hAnsiTheme="majorEastAsia" w:eastAsiaTheme="majorEastAsia"/>
          <w:sz w:val="28"/>
          <w:szCs w:val="28"/>
        </w:rPr>
      </w:pPr>
      <w:r>
        <w:rPr>
          <w:rFonts w:hint="eastAsia" w:asciiTheme="majorEastAsia" w:hAnsiTheme="majorEastAsia" w:eastAsiaTheme="majorEastAsia"/>
          <w:color w:val="000000"/>
          <w:sz w:val="28"/>
          <w:szCs w:val="28"/>
        </w:rPr>
        <w:t>昌黎县城市管理综合行政执法局将高举中国特色社会主义伟大旗帜，以习近平新时代中国特色社会主义思想为指导，深入贯彻落实党的十九大和十九届二中、三中、四中、五中全会精神，全面落实县委十二届五次全会精神，在县委、县政府的坚强领导下，依法行使宪法和法律赋予的各项职权，推进城市管理工作实践创新，为加快建设新时代沿海强县、魅力昌黎，实现重塑大县强县形象的昌黎梦做出积极贡献。具体体现在如下方面：有序开展城市管理工作，确保规范整洁的城区环境；</w:t>
      </w:r>
      <w:r>
        <w:rPr>
          <w:rFonts w:hint="eastAsia" w:asciiTheme="majorEastAsia" w:hAnsiTheme="majorEastAsia" w:eastAsiaTheme="majorEastAsia"/>
          <w:sz w:val="28"/>
          <w:szCs w:val="28"/>
        </w:rPr>
        <w:t>每月开展一次的市容市貌综合整治行动，确保城市市容市貌规范有序；不定期联合相关部门开展餐饮油烟检查治理，有效提高空气质量；渣土车辆全部安装GPS系统，并严格规划时间路线，确保道路整洁；落实18小时保洁责任制，完善垃圾收运体系，加强农村环卫保洁督导，主次干道机械化清扫率达到87%以上；加大违法建设查处力度，发现问题及时解决；数字化城管与城市管理相结合的方式增强城市管理效率。</w:t>
      </w:r>
    </w:p>
    <w:p>
      <w:pPr>
        <w:spacing w:line="360" w:lineRule="auto"/>
        <w:ind w:firstLine="562" w:firstLineChars="200"/>
        <w:jc w:val="left"/>
        <w:rPr>
          <w:rFonts w:asciiTheme="majorEastAsia" w:hAnsiTheme="majorEastAsia" w:eastAsiaTheme="majorEastAsia"/>
          <w:b/>
          <w:sz w:val="28"/>
          <w:szCs w:val="28"/>
        </w:rPr>
      </w:pPr>
      <w:r>
        <w:rPr>
          <w:rFonts w:hint="eastAsia" w:asciiTheme="majorEastAsia" w:hAnsiTheme="majorEastAsia" w:eastAsiaTheme="majorEastAsia"/>
          <w:b/>
          <w:sz w:val="28"/>
          <w:szCs w:val="28"/>
        </w:rPr>
        <w:t>（三）当年部门年度整体支出绩效目标</w:t>
      </w:r>
      <w:r>
        <w:rPr>
          <w:rFonts w:asciiTheme="majorEastAsia" w:hAnsiTheme="majorEastAsia" w:eastAsiaTheme="majorEastAsia"/>
          <w:b/>
          <w:sz w:val="28"/>
          <w:szCs w:val="28"/>
        </w:rPr>
        <w:t>。</w:t>
      </w:r>
    </w:p>
    <w:p>
      <w:pPr>
        <w:spacing w:line="360" w:lineRule="auto"/>
        <w:ind w:firstLine="560" w:firstLineChars="200"/>
        <w:jc w:val="left"/>
        <w:rPr>
          <w:rFonts w:asciiTheme="majorEastAsia" w:hAnsiTheme="majorEastAsia" w:eastAsiaTheme="majorEastAsia"/>
          <w:sz w:val="28"/>
          <w:szCs w:val="28"/>
        </w:rPr>
      </w:pPr>
      <w:r>
        <w:rPr>
          <w:rFonts w:hint="eastAsia" w:asciiTheme="majorEastAsia" w:hAnsiTheme="majorEastAsia" w:eastAsiaTheme="majorEastAsia"/>
          <w:sz w:val="28"/>
          <w:szCs w:val="28"/>
        </w:rPr>
        <w:t>确保规范整洁的城区环境，加强农村环卫保洁督导，提高主次干道机械化清扫率，加强垃圾填埋场及垃圾中转站站内设备维护，保证垃圾及时压缩运转，及时对垃圾进行填埋覆土，对环卫车辆及时修理保养，保证车辆正常使用。保证环卫工人工资及时发放，提供环卫工人临时休息点，保证数字化指挥中心网络及视频监控正常使用，在城区设立生活垃圾分类试点，购置垃圾分类设备</w:t>
      </w:r>
    </w:p>
    <w:p>
      <w:pPr>
        <w:spacing w:line="360" w:lineRule="auto"/>
        <w:ind w:firstLine="562" w:firstLineChars="200"/>
        <w:jc w:val="left"/>
        <w:rPr>
          <w:rFonts w:asciiTheme="majorEastAsia" w:hAnsiTheme="majorEastAsia" w:eastAsiaTheme="majorEastAsia"/>
          <w:b/>
          <w:sz w:val="28"/>
          <w:szCs w:val="28"/>
        </w:rPr>
      </w:pPr>
      <w:r>
        <w:rPr>
          <w:rFonts w:hint="eastAsia" w:asciiTheme="majorEastAsia" w:hAnsiTheme="majorEastAsia" w:eastAsiaTheme="majorEastAsia"/>
          <w:b/>
          <w:sz w:val="28"/>
          <w:szCs w:val="28"/>
        </w:rPr>
        <w:t>（四）部门预算绩效管理开展情况。</w:t>
      </w:r>
    </w:p>
    <w:p>
      <w:pPr>
        <w:spacing w:line="360" w:lineRule="auto"/>
        <w:ind w:firstLine="562" w:firstLineChars="200"/>
        <w:jc w:val="left"/>
        <w:rPr>
          <w:rFonts w:asciiTheme="majorEastAsia" w:hAnsiTheme="majorEastAsia" w:eastAsiaTheme="majorEastAsia"/>
          <w:b/>
          <w:sz w:val="28"/>
          <w:szCs w:val="28"/>
        </w:rPr>
      </w:pPr>
      <w:r>
        <w:rPr>
          <w:rFonts w:hint="eastAsia" w:asciiTheme="majorEastAsia" w:hAnsiTheme="majorEastAsia" w:eastAsiaTheme="majorEastAsia"/>
          <w:b/>
          <w:sz w:val="28"/>
          <w:szCs w:val="28"/>
        </w:rPr>
        <w:t>1、部门预算绩效组织情况</w:t>
      </w:r>
    </w:p>
    <w:p>
      <w:pPr>
        <w:spacing w:line="360" w:lineRule="auto"/>
        <w:ind w:firstLine="644" w:firstLineChars="200"/>
        <w:jc w:val="left"/>
        <w:rPr>
          <w:rFonts w:cs="仿宋" w:asciiTheme="majorEastAsia" w:hAnsiTheme="majorEastAsia" w:eastAsiaTheme="majorEastAsia"/>
          <w:color w:val="000000"/>
          <w:spacing w:val="21"/>
          <w:sz w:val="28"/>
          <w:szCs w:val="28"/>
          <w:shd w:val="clear" w:color="auto" w:fill="FFFFFF"/>
        </w:rPr>
      </w:pPr>
      <w:r>
        <w:rPr>
          <w:rFonts w:cs="仿宋" w:asciiTheme="majorEastAsia" w:hAnsiTheme="majorEastAsia" w:eastAsiaTheme="majorEastAsia"/>
          <w:color w:val="000000"/>
          <w:spacing w:val="21"/>
          <w:sz w:val="28"/>
          <w:szCs w:val="28"/>
          <w:shd w:val="clear" w:color="auto" w:fill="FFFFFF"/>
        </w:rPr>
        <w:t>加强组织领导按照</w:t>
      </w:r>
      <w:r>
        <w:rPr>
          <w:rFonts w:hint="eastAsia" w:cs="仿宋" w:asciiTheme="majorEastAsia" w:hAnsiTheme="majorEastAsia" w:eastAsiaTheme="majorEastAsia"/>
          <w:color w:val="000000"/>
          <w:spacing w:val="21"/>
          <w:sz w:val="28"/>
          <w:szCs w:val="28"/>
          <w:shd w:val="clear" w:color="auto" w:fill="FFFFFF"/>
        </w:rPr>
        <w:t>县</w:t>
      </w:r>
      <w:r>
        <w:rPr>
          <w:rFonts w:cs="仿宋" w:asciiTheme="majorEastAsia" w:hAnsiTheme="majorEastAsia" w:eastAsiaTheme="majorEastAsia"/>
          <w:color w:val="000000"/>
          <w:spacing w:val="21"/>
          <w:sz w:val="28"/>
          <w:szCs w:val="28"/>
          <w:shd w:val="clear" w:color="auto" w:fill="FFFFFF"/>
        </w:rPr>
        <w:t>财政局安排部署，我</w:t>
      </w:r>
      <w:r>
        <w:rPr>
          <w:rFonts w:hint="eastAsia" w:cs="仿宋" w:asciiTheme="majorEastAsia" w:hAnsiTheme="majorEastAsia" w:eastAsiaTheme="majorEastAsia"/>
          <w:color w:val="000000"/>
          <w:spacing w:val="21"/>
          <w:sz w:val="28"/>
          <w:szCs w:val="28"/>
          <w:shd w:val="clear" w:color="auto" w:fill="FFFFFF"/>
        </w:rPr>
        <w:t>部门认真安排部署预算绩效评价工作，明确了由一名分管主管领导专门负责此项工作，具体工作由财务牵头，组织、协调和督促各项目相关业务科室落实此项工作。</w:t>
      </w:r>
    </w:p>
    <w:p>
      <w:pPr>
        <w:spacing w:line="360" w:lineRule="auto"/>
        <w:ind w:firstLine="646" w:firstLineChars="200"/>
        <w:jc w:val="left"/>
        <w:rPr>
          <w:rFonts w:cs="仿宋" w:asciiTheme="majorEastAsia" w:hAnsiTheme="majorEastAsia" w:eastAsiaTheme="majorEastAsia"/>
          <w:b/>
          <w:color w:val="000000"/>
          <w:spacing w:val="21"/>
          <w:sz w:val="28"/>
          <w:szCs w:val="28"/>
          <w:shd w:val="clear" w:color="auto" w:fill="FFFFFF"/>
        </w:rPr>
      </w:pPr>
      <w:r>
        <w:rPr>
          <w:rFonts w:hint="eastAsia" w:cs="仿宋" w:asciiTheme="majorEastAsia" w:hAnsiTheme="majorEastAsia" w:eastAsiaTheme="majorEastAsia"/>
          <w:b/>
          <w:color w:val="000000"/>
          <w:spacing w:val="21"/>
          <w:sz w:val="28"/>
          <w:szCs w:val="28"/>
          <w:shd w:val="clear" w:color="auto" w:fill="FFFFFF"/>
        </w:rPr>
        <w:t>2、实施过程</w:t>
      </w:r>
    </w:p>
    <w:p>
      <w:pPr>
        <w:spacing w:line="360" w:lineRule="auto"/>
        <w:ind w:firstLine="644" w:firstLineChars="200"/>
        <w:jc w:val="left"/>
        <w:rPr>
          <w:rFonts w:cs="仿宋" w:asciiTheme="majorEastAsia" w:hAnsiTheme="majorEastAsia" w:eastAsiaTheme="majorEastAsia"/>
          <w:color w:val="000000"/>
          <w:spacing w:val="21"/>
          <w:sz w:val="28"/>
          <w:szCs w:val="28"/>
          <w:shd w:val="clear" w:color="auto" w:fill="FFFFFF"/>
        </w:rPr>
      </w:pPr>
      <w:r>
        <w:rPr>
          <w:rFonts w:hint="eastAsia" w:cs="仿宋" w:asciiTheme="majorEastAsia" w:hAnsiTheme="majorEastAsia" w:eastAsiaTheme="majorEastAsia"/>
          <w:color w:val="000000"/>
          <w:spacing w:val="21"/>
          <w:sz w:val="28"/>
          <w:szCs w:val="28"/>
          <w:shd w:val="clear" w:color="auto" w:fill="FFFFFF"/>
        </w:rPr>
        <w:t>制定实施方案，为推进绩效管理工作健康有序开展，根据上级有关规定和要求，对评价的单位、项目、时间及责任人等明确了主体责任，规范了工作内容，确保绩效评价工作有章可循，有序开展。</w:t>
      </w:r>
    </w:p>
    <w:p>
      <w:pPr>
        <w:spacing w:line="360" w:lineRule="auto"/>
        <w:ind w:firstLine="644" w:firstLineChars="200"/>
        <w:jc w:val="left"/>
        <w:rPr>
          <w:rFonts w:cs="仿宋" w:asciiTheme="majorEastAsia" w:hAnsiTheme="majorEastAsia" w:eastAsiaTheme="majorEastAsia"/>
          <w:color w:val="000000"/>
          <w:spacing w:val="21"/>
          <w:sz w:val="28"/>
          <w:szCs w:val="28"/>
          <w:shd w:val="clear" w:color="auto" w:fill="FFFFFF"/>
        </w:rPr>
      </w:pPr>
      <w:r>
        <w:rPr>
          <w:rFonts w:hint="eastAsia" w:cs="仿宋" w:asciiTheme="majorEastAsia" w:hAnsiTheme="majorEastAsia" w:eastAsiaTheme="majorEastAsia"/>
          <w:color w:val="000000"/>
          <w:spacing w:val="21"/>
          <w:sz w:val="28"/>
          <w:szCs w:val="28"/>
          <w:shd w:val="clear" w:color="auto" w:fill="FFFFFF"/>
        </w:rPr>
        <w:t>稳步推进工作，按照昌黎县财政局关于印发昌财监【2021】2号文件，昌黎县财政局关于做好2020年度县级财政项目支出绩效自评及部门整体支出绩效自评工作的通知，以《中</w:t>
      </w:r>
      <w:r>
        <w:rPr>
          <w:rFonts w:hint="eastAsia" w:cs="仿宋" w:asciiTheme="majorEastAsia" w:hAnsiTheme="majorEastAsia" w:eastAsiaTheme="majorEastAsia"/>
          <w:color w:val="000000"/>
          <w:spacing w:val="21"/>
          <w:sz w:val="28"/>
          <w:szCs w:val="28"/>
          <w:shd w:val="clear" w:color="auto" w:fill="FFFFFF"/>
          <w:lang w:eastAsia="zh-CN"/>
        </w:rPr>
        <w:t>华</w:t>
      </w:r>
      <w:bookmarkStart w:id="0" w:name="_GoBack"/>
      <w:bookmarkEnd w:id="0"/>
      <w:r>
        <w:rPr>
          <w:rFonts w:hint="eastAsia" w:cs="仿宋" w:asciiTheme="majorEastAsia" w:hAnsiTheme="majorEastAsia" w:eastAsiaTheme="majorEastAsia"/>
          <w:color w:val="000000"/>
          <w:spacing w:val="21"/>
          <w:sz w:val="28"/>
          <w:szCs w:val="28"/>
          <w:shd w:val="clear" w:color="auto" w:fill="FFFFFF"/>
        </w:rPr>
        <w:t>人民共和国预算法》、中共中央 国务院关于《全面实施预算绩效管理推进工作方案》（中发【2018】34号）及中央、省、市、县相关法律、法规等制度；国家和省、市、县国民经济与社会发展规划；国家和省、市、县制定的预算绩效管理制度、资金使用管理办法；县级预算部门职责和年度工作计划；县级预算部门年初设置的绩效目标、绩效指标和绩效标准，为评价依据，由各科室负责对归口管理的部门进行单位绩效自评工作和督查、复审。</w:t>
      </w:r>
    </w:p>
    <w:p>
      <w:pPr>
        <w:spacing w:line="360" w:lineRule="auto"/>
        <w:ind w:firstLine="644" w:firstLineChars="200"/>
        <w:jc w:val="left"/>
        <w:rPr>
          <w:rFonts w:cs="仿宋" w:asciiTheme="majorEastAsia" w:hAnsiTheme="majorEastAsia" w:eastAsiaTheme="majorEastAsia"/>
          <w:color w:val="000000"/>
          <w:spacing w:val="21"/>
          <w:sz w:val="28"/>
          <w:szCs w:val="28"/>
          <w:shd w:val="clear" w:color="auto" w:fill="FFFFFF"/>
        </w:rPr>
      </w:pPr>
      <w:r>
        <w:rPr>
          <w:rFonts w:hint="eastAsia" w:cs="仿宋" w:asciiTheme="majorEastAsia" w:hAnsiTheme="majorEastAsia" w:eastAsiaTheme="majorEastAsia"/>
          <w:color w:val="000000"/>
          <w:spacing w:val="21"/>
          <w:sz w:val="28"/>
          <w:szCs w:val="28"/>
          <w:shd w:val="clear" w:color="auto" w:fill="FFFFFF"/>
        </w:rPr>
        <w:t>评价结果运用。通过开展预算绩效评价，我们对财政预算资金管理规范、发挥效益突出、预算绩效成绩显著的项目，在下一年度项目资金安排时重点考虑，在向上申报项目时，同等条件下优先上报。</w:t>
      </w:r>
    </w:p>
    <w:p>
      <w:pPr>
        <w:spacing w:line="360" w:lineRule="auto"/>
        <w:ind w:firstLine="562" w:firstLineChars="200"/>
        <w:jc w:val="left"/>
        <w:rPr>
          <w:rFonts w:asciiTheme="majorEastAsia" w:hAnsiTheme="majorEastAsia" w:eastAsiaTheme="majorEastAsia"/>
          <w:b/>
          <w:sz w:val="28"/>
          <w:szCs w:val="28"/>
        </w:rPr>
      </w:pPr>
      <w:r>
        <w:rPr>
          <w:rFonts w:hint="eastAsia" w:asciiTheme="majorEastAsia" w:hAnsiTheme="majorEastAsia" w:eastAsiaTheme="majorEastAsia"/>
          <w:b/>
          <w:sz w:val="28"/>
          <w:szCs w:val="28"/>
        </w:rPr>
        <w:t>（五）当年部门预算</w:t>
      </w:r>
      <w:r>
        <w:rPr>
          <w:rFonts w:asciiTheme="majorEastAsia" w:hAnsiTheme="majorEastAsia" w:eastAsiaTheme="majorEastAsia"/>
          <w:b/>
          <w:sz w:val="28"/>
          <w:szCs w:val="28"/>
        </w:rPr>
        <w:t>及执行情况</w:t>
      </w:r>
      <w:r>
        <w:rPr>
          <w:rFonts w:hint="eastAsia" w:asciiTheme="majorEastAsia" w:hAnsiTheme="majorEastAsia" w:eastAsiaTheme="majorEastAsia"/>
          <w:b/>
          <w:sz w:val="28"/>
          <w:szCs w:val="28"/>
        </w:rPr>
        <w:t>。</w:t>
      </w:r>
    </w:p>
    <w:p>
      <w:pPr>
        <w:spacing w:line="360" w:lineRule="auto"/>
        <w:ind w:firstLine="560" w:firstLineChars="200"/>
        <w:jc w:val="left"/>
        <w:rPr>
          <w:rFonts w:asciiTheme="majorEastAsia" w:hAnsiTheme="majorEastAsia" w:eastAsiaTheme="majorEastAsia"/>
          <w:sz w:val="28"/>
          <w:szCs w:val="28"/>
        </w:rPr>
      </w:pPr>
      <w:r>
        <w:rPr>
          <w:rFonts w:hint="eastAsia" w:asciiTheme="majorEastAsia" w:hAnsiTheme="majorEastAsia" w:eastAsiaTheme="majorEastAsia"/>
          <w:sz w:val="28"/>
          <w:szCs w:val="28"/>
        </w:rPr>
        <w:t>2020年部门预算为9288.69万元，其中：项目预算为7584.8万元。全年预算执行数为7266.53万元，其中：项目支出执行预算数为5657.45万元。全年预算执行率为78%，其中：项目支出预算执行率为74.59%。</w:t>
      </w:r>
    </w:p>
    <w:p>
      <w:pPr>
        <w:spacing w:line="360" w:lineRule="auto"/>
        <w:ind w:firstLine="562" w:firstLineChars="200"/>
        <w:jc w:val="left"/>
        <w:rPr>
          <w:rFonts w:asciiTheme="majorEastAsia" w:hAnsiTheme="majorEastAsia" w:eastAsiaTheme="majorEastAsia"/>
          <w:b/>
          <w:sz w:val="28"/>
          <w:szCs w:val="28"/>
        </w:rPr>
      </w:pPr>
      <w:r>
        <w:rPr>
          <w:rFonts w:hint="eastAsia" w:asciiTheme="majorEastAsia" w:hAnsiTheme="majorEastAsia" w:eastAsiaTheme="majorEastAsia"/>
          <w:b/>
          <w:sz w:val="28"/>
          <w:szCs w:val="28"/>
        </w:rPr>
        <w:t>二、部门整体支出绩效实现情况</w:t>
      </w:r>
    </w:p>
    <w:p>
      <w:pPr>
        <w:spacing w:line="360" w:lineRule="auto"/>
        <w:ind w:firstLine="562" w:firstLineChars="200"/>
        <w:jc w:val="left"/>
        <w:rPr>
          <w:rFonts w:asciiTheme="majorEastAsia" w:hAnsiTheme="majorEastAsia" w:eastAsiaTheme="majorEastAsia"/>
          <w:b/>
          <w:sz w:val="28"/>
          <w:szCs w:val="28"/>
        </w:rPr>
      </w:pPr>
      <w:r>
        <w:rPr>
          <w:rFonts w:hint="eastAsia" w:asciiTheme="majorEastAsia" w:hAnsiTheme="majorEastAsia" w:eastAsiaTheme="majorEastAsia"/>
          <w:b/>
          <w:sz w:val="28"/>
          <w:szCs w:val="28"/>
        </w:rPr>
        <w:t>（一）履职完成情况：</w:t>
      </w:r>
    </w:p>
    <w:p>
      <w:pPr>
        <w:spacing w:line="360" w:lineRule="auto"/>
        <w:ind w:firstLine="560" w:firstLineChars="200"/>
        <w:jc w:val="left"/>
        <w:rPr>
          <w:rFonts w:asciiTheme="majorEastAsia" w:hAnsiTheme="majorEastAsia" w:eastAsiaTheme="majorEastAsia"/>
          <w:sz w:val="28"/>
          <w:szCs w:val="28"/>
        </w:rPr>
      </w:pPr>
      <w:r>
        <w:rPr>
          <w:rFonts w:hint="eastAsia" w:asciiTheme="majorEastAsia" w:hAnsiTheme="majorEastAsia" w:eastAsiaTheme="majorEastAsia"/>
          <w:sz w:val="28"/>
          <w:szCs w:val="28"/>
        </w:rPr>
        <w:t>数量指标情况：完成16个乡镇的农村保洁，保证了1座垃圾填埋场的正常运转，50座公厕的运转维护，城区环卫425人保证城区卫生清扫，实际完成率100%；质量指标情况：全县清扫合格率达到100%，公厕无害化处理率达到100%；时效指标情况：垃圾填埋处理时间1天，达到全县垃圾清理及时性，保证垃圾无积存。</w:t>
      </w:r>
    </w:p>
    <w:p>
      <w:pPr>
        <w:spacing w:line="360" w:lineRule="auto"/>
        <w:ind w:firstLine="562" w:firstLineChars="200"/>
        <w:jc w:val="left"/>
        <w:rPr>
          <w:rFonts w:asciiTheme="majorEastAsia" w:hAnsiTheme="majorEastAsia" w:eastAsiaTheme="majorEastAsia"/>
          <w:b/>
          <w:sz w:val="28"/>
          <w:szCs w:val="28"/>
        </w:rPr>
      </w:pPr>
      <w:r>
        <w:rPr>
          <w:rFonts w:hint="eastAsia" w:asciiTheme="majorEastAsia" w:hAnsiTheme="majorEastAsia" w:eastAsiaTheme="majorEastAsia"/>
          <w:b/>
          <w:sz w:val="28"/>
          <w:szCs w:val="28"/>
        </w:rPr>
        <w:t>（二）履职效果情况</w:t>
      </w:r>
      <w:r>
        <w:rPr>
          <w:rFonts w:asciiTheme="majorEastAsia" w:hAnsiTheme="majorEastAsia" w:eastAsiaTheme="majorEastAsia"/>
          <w:b/>
          <w:sz w:val="28"/>
          <w:szCs w:val="28"/>
        </w:rPr>
        <w:t>：</w:t>
      </w:r>
    </w:p>
    <w:p>
      <w:pPr>
        <w:spacing w:line="360" w:lineRule="auto"/>
        <w:ind w:firstLine="560" w:firstLineChars="200"/>
        <w:jc w:val="left"/>
        <w:rPr>
          <w:rFonts w:asciiTheme="majorEastAsia" w:hAnsiTheme="majorEastAsia" w:eastAsiaTheme="majorEastAsia"/>
          <w:sz w:val="28"/>
          <w:szCs w:val="28"/>
        </w:rPr>
      </w:pPr>
      <w:r>
        <w:rPr>
          <w:rFonts w:hint="eastAsia" w:asciiTheme="majorEastAsia" w:hAnsiTheme="majorEastAsia" w:eastAsiaTheme="majorEastAsia"/>
          <w:sz w:val="28"/>
          <w:szCs w:val="28"/>
        </w:rPr>
        <w:t>经济效益情况：带动当地企业经济收入，带动当地劳动力收入效果明显，环卫雇佣人员带动本地劳动力收入；社会效益情况：劳动就业增长增加5%，保洁范围的增加提供劳动就业增长率。生态效益情况：改善生态环境，改善居民居住环境，通过环卫清扫清运及时性，垃圾填埋及时性，环境改善效果明显。</w:t>
      </w:r>
    </w:p>
    <w:p>
      <w:pPr>
        <w:spacing w:line="360" w:lineRule="auto"/>
        <w:ind w:firstLine="562" w:firstLineChars="200"/>
        <w:jc w:val="left"/>
        <w:rPr>
          <w:rFonts w:asciiTheme="majorEastAsia" w:hAnsiTheme="majorEastAsia" w:eastAsiaTheme="majorEastAsia"/>
          <w:b/>
          <w:sz w:val="28"/>
          <w:szCs w:val="28"/>
        </w:rPr>
      </w:pPr>
      <w:r>
        <w:rPr>
          <w:rFonts w:hint="eastAsia" w:asciiTheme="majorEastAsia" w:hAnsiTheme="majorEastAsia" w:eastAsiaTheme="majorEastAsia"/>
          <w:b/>
          <w:sz w:val="28"/>
          <w:szCs w:val="28"/>
        </w:rPr>
        <w:t>（三）</w:t>
      </w:r>
      <w:r>
        <w:rPr>
          <w:rFonts w:asciiTheme="majorEastAsia" w:hAnsiTheme="majorEastAsia" w:eastAsiaTheme="majorEastAsia"/>
          <w:b/>
          <w:sz w:val="28"/>
          <w:szCs w:val="28"/>
        </w:rPr>
        <w:t>社会满意度及可持续性影响</w:t>
      </w:r>
    </w:p>
    <w:p>
      <w:pPr>
        <w:spacing w:line="360" w:lineRule="auto"/>
        <w:ind w:firstLine="560" w:firstLineChars="200"/>
        <w:jc w:val="left"/>
        <w:rPr>
          <w:rFonts w:asciiTheme="majorEastAsia" w:hAnsiTheme="majorEastAsia" w:eastAsiaTheme="majorEastAsia"/>
          <w:sz w:val="28"/>
          <w:szCs w:val="28"/>
        </w:rPr>
      </w:pPr>
      <w:r>
        <w:rPr>
          <w:rFonts w:hint="eastAsia" w:asciiTheme="majorEastAsia" w:hAnsiTheme="majorEastAsia" w:eastAsiaTheme="majorEastAsia"/>
          <w:sz w:val="28"/>
          <w:szCs w:val="28"/>
        </w:rPr>
        <w:t>可持续影响指标：清洁保持时间达到1个月，通过提高清扫机械化率，加大人员清扫力度，使环境保持时间得到提高；社会满意度情况：社会公众及服务对象满意度得到提高，达到90%，环境改善使居民居住环境得到改善，通过新建、改建公厕的增加，对公厕的维护及清扫保洁使居民满意度增加。</w:t>
      </w:r>
    </w:p>
    <w:p>
      <w:pPr>
        <w:spacing w:line="360" w:lineRule="auto"/>
        <w:ind w:firstLine="562" w:firstLineChars="200"/>
        <w:jc w:val="left"/>
        <w:rPr>
          <w:rFonts w:asciiTheme="majorEastAsia" w:hAnsiTheme="majorEastAsia" w:eastAsiaTheme="majorEastAsia"/>
          <w:b/>
          <w:sz w:val="28"/>
          <w:szCs w:val="28"/>
        </w:rPr>
      </w:pPr>
      <w:r>
        <w:rPr>
          <w:rFonts w:hint="eastAsia" w:asciiTheme="majorEastAsia" w:hAnsiTheme="majorEastAsia" w:eastAsiaTheme="majorEastAsia"/>
          <w:b/>
          <w:sz w:val="28"/>
          <w:szCs w:val="28"/>
        </w:rPr>
        <w:t>三、部门整体支出绩效中存</w:t>
      </w:r>
      <w:r>
        <w:rPr>
          <w:rFonts w:asciiTheme="majorEastAsia" w:hAnsiTheme="majorEastAsia" w:eastAsiaTheme="majorEastAsia"/>
          <w:b/>
          <w:sz w:val="28"/>
          <w:szCs w:val="28"/>
        </w:rPr>
        <w:t>在问题</w:t>
      </w:r>
      <w:r>
        <w:rPr>
          <w:rFonts w:hint="eastAsia" w:asciiTheme="majorEastAsia" w:hAnsiTheme="majorEastAsia" w:eastAsiaTheme="majorEastAsia"/>
          <w:b/>
          <w:sz w:val="28"/>
          <w:szCs w:val="28"/>
        </w:rPr>
        <w:t>及</w:t>
      </w:r>
      <w:r>
        <w:rPr>
          <w:rFonts w:asciiTheme="majorEastAsia" w:hAnsiTheme="majorEastAsia" w:eastAsiaTheme="majorEastAsia"/>
          <w:b/>
          <w:sz w:val="28"/>
          <w:szCs w:val="28"/>
        </w:rPr>
        <w:t>改进措施</w:t>
      </w:r>
    </w:p>
    <w:p>
      <w:pPr>
        <w:spacing w:line="360" w:lineRule="auto"/>
        <w:ind w:firstLine="562" w:firstLineChars="200"/>
        <w:jc w:val="left"/>
        <w:rPr>
          <w:rFonts w:asciiTheme="majorEastAsia" w:hAnsiTheme="majorEastAsia" w:eastAsiaTheme="majorEastAsia"/>
          <w:b/>
          <w:sz w:val="28"/>
          <w:szCs w:val="28"/>
        </w:rPr>
      </w:pPr>
      <w:r>
        <w:rPr>
          <w:rFonts w:hint="eastAsia" w:asciiTheme="majorEastAsia" w:hAnsiTheme="majorEastAsia" w:eastAsiaTheme="majorEastAsia"/>
          <w:b/>
          <w:sz w:val="28"/>
          <w:szCs w:val="28"/>
        </w:rPr>
        <w:t>（一）</w:t>
      </w:r>
      <w:r>
        <w:rPr>
          <w:rFonts w:asciiTheme="majorEastAsia" w:hAnsiTheme="majorEastAsia" w:eastAsiaTheme="majorEastAsia"/>
          <w:b/>
          <w:sz w:val="28"/>
          <w:szCs w:val="28"/>
        </w:rPr>
        <w:t>主要问题</w:t>
      </w:r>
      <w:r>
        <w:rPr>
          <w:rFonts w:hint="eastAsia" w:asciiTheme="majorEastAsia" w:hAnsiTheme="majorEastAsia" w:eastAsiaTheme="majorEastAsia"/>
          <w:b/>
          <w:sz w:val="28"/>
          <w:szCs w:val="28"/>
        </w:rPr>
        <w:t>及</w:t>
      </w:r>
      <w:r>
        <w:rPr>
          <w:rFonts w:asciiTheme="majorEastAsia" w:hAnsiTheme="majorEastAsia" w:eastAsiaTheme="majorEastAsia"/>
          <w:b/>
          <w:sz w:val="28"/>
          <w:szCs w:val="28"/>
        </w:rPr>
        <w:t>原因分析</w:t>
      </w:r>
    </w:p>
    <w:p>
      <w:pPr>
        <w:pStyle w:val="2"/>
        <w:jc w:val="left"/>
        <w:rPr>
          <w:rFonts w:asciiTheme="majorEastAsia" w:hAnsiTheme="majorEastAsia" w:eastAsiaTheme="majorEastAsia"/>
        </w:rPr>
      </w:pPr>
      <w:r>
        <w:rPr>
          <w:rFonts w:asciiTheme="majorEastAsia" w:hAnsiTheme="majorEastAsia" w:eastAsiaTheme="majorEastAsia"/>
        </w:rPr>
        <w:t>通过评价发现，项目实施虽取得了一定的成效，但还存在一些问题和不足，主要表现在：</w:t>
      </w:r>
    </w:p>
    <w:p>
      <w:pPr>
        <w:widowControl/>
        <w:adjustRightInd w:val="0"/>
        <w:snapToGrid w:val="0"/>
        <w:spacing w:line="360" w:lineRule="auto"/>
        <w:ind w:firstLine="562" w:firstLineChars="200"/>
        <w:jc w:val="left"/>
        <w:rPr>
          <w:rFonts w:asciiTheme="majorEastAsia" w:hAnsiTheme="majorEastAsia" w:eastAsiaTheme="majorEastAsia"/>
          <w:b/>
          <w:sz w:val="28"/>
          <w:szCs w:val="28"/>
        </w:rPr>
      </w:pPr>
      <w:r>
        <w:rPr>
          <w:rFonts w:hint="eastAsia" w:asciiTheme="majorEastAsia" w:hAnsiTheme="majorEastAsia" w:eastAsiaTheme="majorEastAsia"/>
          <w:b/>
          <w:sz w:val="28"/>
          <w:szCs w:val="28"/>
        </w:rPr>
        <w:t>1.</w:t>
      </w:r>
      <w:r>
        <w:rPr>
          <w:rFonts w:hint="eastAsia" w:cs="仿宋_GB2312" w:asciiTheme="majorEastAsia" w:hAnsiTheme="majorEastAsia" w:eastAsiaTheme="majorEastAsia"/>
          <w:b/>
          <w:color w:val="000000" w:themeColor="text1"/>
          <w:sz w:val="28"/>
          <w:szCs w:val="28"/>
        </w:rPr>
        <w:t xml:space="preserve"> 垃圾填埋场超负荷运行</w:t>
      </w:r>
    </w:p>
    <w:p>
      <w:pPr>
        <w:adjustRightInd w:val="0"/>
        <w:snapToGrid w:val="0"/>
        <w:spacing w:line="360" w:lineRule="auto"/>
        <w:ind w:firstLine="560" w:firstLineChars="200"/>
        <w:jc w:val="left"/>
        <w:rPr>
          <w:rFonts w:cs="仿宋_GB2312" w:asciiTheme="majorEastAsia" w:hAnsiTheme="majorEastAsia" w:eastAsiaTheme="majorEastAsia"/>
          <w:bCs/>
          <w:color w:val="000000" w:themeColor="text1"/>
          <w:sz w:val="28"/>
          <w:szCs w:val="28"/>
        </w:rPr>
      </w:pPr>
      <w:r>
        <w:rPr>
          <w:rFonts w:hint="eastAsia" w:cs="仿宋_GB2312" w:asciiTheme="majorEastAsia" w:hAnsiTheme="majorEastAsia" w:eastAsiaTheme="majorEastAsia"/>
          <w:bCs/>
          <w:color w:val="000000" w:themeColor="text1"/>
          <w:sz w:val="28"/>
          <w:szCs w:val="28"/>
        </w:rPr>
        <w:t>垃圾填埋场于2011年开始投入使用，库容111万立方米，原设计使用年限12年。但由于地理位置及地形地貌的特殊性，经过10年的使用填埋库区已经填满，达到了饱和状态。垃圾已经超出地面高度，现只能采用围堰的方法防止垃圾泄露，预计年末围堰高度将达到5m。由于项目单位未能提供垃圾场原始设计容量数据，根据已有资料分析，垃圾场超出地面高度可能会造成垃圾场超负荷运行，可能会影响后续垃圾填埋场停用之后的地面恢复工程。其次，垃圾填埋场收容的垃圾量加大，会影响垃圾渗滤液的处理效率，是否能最大限度的完成垃圾无害化处理还存在疑问。</w:t>
      </w:r>
    </w:p>
    <w:p>
      <w:pPr>
        <w:widowControl/>
        <w:adjustRightInd w:val="0"/>
        <w:snapToGrid w:val="0"/>
        <w:spacing w:line="360" w:lineRule="auto"/>
        <w:ind w:firstLine="562" w:firstLineChars="200"/>
        <w:jc w:val="left"/>
        <w:rPr>
          <w:rFonts w:asciiTheme="majorEastAsia" w:hAnsiTheme="majorEastAsia" w:eastAsiaTheme="majorEastAsia"/>
          <w:b/>
          <w:sz w:val="28"/>
          <w:szCs w:val="28"/>
        </w:rPr>
      </w:pPr>
      <w:r>
        <w:rPr>
          <w:rFonts w:hint="eastAsia" w:asciiTheme="majorEastAsia" w:hAnsiTheme="majorEastAsia" w:eastAsiaTheme="majorEastAsia"/>
          <w:b/>
          <w:sz w:val="28"/>
          <w:szCs w:val="28"/>
        </w:rPr>
        <w:t>2.</w:t>
      </w:r>
      <w:r>
        <w:rPr>
          <w:rFonts w:hint="eastAsia" w:cs="仿宋_GB2312" w:asciiTheme="majorEastAsia" w:hAnsiTheme="majorEastAsia" w:eastAsiaTheme="majorEastAsia"/>
          <w:b/>
          <w:color w:val="000000" w:themeColor="text1"/>
          <w:sz w:val="28"/>
          <w:szCs w:val="28"/>
        </w:rPr>
        <w:t>项目组织问题</w:t>
      </w:r>
    </w:p>
    <w:p>
      <w:pPr>
        <w:adjustRightInd w:val="0"/>
        <w:snapToGrid w:val="0"/>
        <w:spacing w:line="360" w:lineRule="auto"/>
        <w:ind w:firstLine="560" w:firstLineChars="200"/>
        <w:jc w:val="left"/>
        <w:rPr>
          <w:rFonts w:cs="仿宋_GB2312" w:asciiTheme="majorEastAsia" w:hAnsiTheme="majorEastAsia" w:eastAsiaTheme="majorEastAsia"/>
          <w:bCs/>
          <w:color w:val="000000" w:themeColor="text1"/>
          <w:sz w:val="28"/>
          <w:szCs w:val="28"/>
        </w:rPr>
      </w:pPr>
      <w:r>
        <w:rPr>
          <w:rFonts w:hint="eastAsia" w:cs="仿宋_GB2312" w:asciiTheme="majorEastAsia" w:hAnsiTheme="majorEastAsia" w:eastAsiaTheme="majorEastAsia"/>
          <w:bCs/>
          <w:color w:val="000000" w:themeColor="text1"/>
          <w:sz w:val="28"/>
          <w:szCs w:val="28"/>
        </w:rPr>
        <w:t>在自评期间，出现项目职责不明确的情况。该项目已经延续多年，2019年该项目负责人员有调整，没有采取有效手段对该项目进行组织安排，项目相关任务和责任分配不明确，导致项目涉及的人员没有很好的了解总体项目工作，责任不清。项目的组织领导过程出现问题，这对中期监控、绩效评价工作都产生了很大的阻力，也影响项目执行情况。</w:t>
      </w:r>
    </w:p>
    <w:p>
      <w:pPr>
        <w:adjustRightInd w:val="0"/>
        <w:snapToGrid w:val="0"/>
        <w:spacing w:line="360" w:lineRule="auto"/>
        <w:ind w:firstLine="560" w:firstLineChars="200"/>
        <w:jc w:val="left"/>
        <w:rPr>
          <w:rFonts w:cs="仿宋_GB2312" w:asciiTheme="majorEastAsia" w:hAnsiTheme="majorEastAsia" w:eastAsiaTheme="majorEastAsia"/>
          <w:b/>
          <w:color w:val="000000" w:themeColor="text1"/>
          <w:sz w:val="28"/>
          <w:szCs w:val="28"/>
        </w:rPr>
      </w:pPr>
      <w:r>
        <w:rPr>
          <w:rFonts w:hint="eastAsia" w:cs="仿宋_GB2312" w:asciiTheme="majorEastAsia" w:hAnsiTheme="majorEastAsia" w:eastAsiaTheme="majorEastAsia"/>
          <w:bCs/>
          <w:color w:val="000000" w:themeColor="text1"/>
          <w:sz w:val="28"/>
          <w:szCs w:val="28"/>
        </w:rPr>
        <w:t>3.</w:t>
      </w:r>
      <w:r>
        <w:rPr>
          <w:rFonts w:hint="eastAsia" w:cs="仿宋_GB2312" w:asciiTheme="majorEastAsia" w:hAnsiTheme="majorEastAsia" w:eastAsiaTheme="majorEastAsia"/>
          <w:b/>
          <w:color w:val="000000" w:themeColor="text1"/>
          <w:sz w:val="28"/>
          <w:szCs w:val="28"/>
        </w:rPr>
        <w:t xml:space="preserve"> 缺少项目资料</w:t>
      </w:r>
    </w:p>
    <w:p>
      <w:pPr>
        <w:adjustRightInd w:val="0"/>
        <w:snapToGrid w:val="0"/>
        <w:spacing w:line="360" w:lineRule="auto"/>
        <w:ind w:firstLine="560" w:firstLineChars="200"/>
        <w:jc w:val="left"/>
        <w:rPr>
          <w:rFonts w:cs="仿宋_GB2312" w:asciiTheme="majorEastAsia" w:hAnsiTheme="majorEastAsia" w:eastAsiaTheme="majorEastAsia"/>
          <w:bCs/>
          <w:color w:val="000000" w:themeColor="text1"/>
          <w:sz w:val="28"/>
          <w:szCs w:val="28"/>
        </w:rPr>
      </w:pPr>
      <w:r>
        <w:rPr>
          <w:rFonts w:hint="eastAsia" w:cs="仿宋_GB2312" w:asciiTheme="majorEastAsia" w:hAnsiTheme="majorEastAsia" w:eastAsiaTheme="majorEastAsia"/>
          <w:bCs/>
          <w:color w:val="000000" w:themeColor="text1"/>
          <w:sz w:val="28"/>
          <w:szCs w:val="28"/>
        </w:rPr>
        <w:t>项目在执行过程中未留存相关文件资料，缺乏评价佐证依据，未提供垃圾场设计图纸、工程施工计划相关资料，这影响到绩效监控工作的推进和执行，不符合项目立项及管理规定，且无法对执行情况实时监察和控制，掌握项目执行情况。</w:t>
      </w:r>
    </w:p>
    <w:p>
      <w:pPr>
        <w:spacing w:line="360" w:lineRule="auto"/>
        <w:ind w:firstLine="562" w:firstLineChars="200"/>
        <w:jc w:val="left"/>
        <w:rPr>
          <w:rFonts w:asciiTheme="majorEastAsia" w:hAnsiTheme="majorEastAsia" w:eastAsiaTheme="majorEastAsia"/>
          <w:b/>
          <w:sz w:val="28"/>
          <w:szCs w:val="28"/>
        </w:rPr>
      </w:pPr>
      <w:r>
        <w:rPr>
          <w:rFonts w:hint="eastAsia" w:asciiTheme="majorEastAsia" w:hAnsiTheme="majorEastAsia" w:eastAsiaTheme="majorEastAsia"/>
          <w:b/>
          <w:sz w:val="28"/>
          <w:szCs w:val="28"/>
        </w:rPr>
        <w:t>（二）</w:t>
      </w:r>
      <w:r>
        <w:rPr>
          <w:rFonts w:asciiTheme="majorEastAsia" w:hAnsiTheme="majorEastAsia" w:eastAsiaTheme="majorEastAsia"/>
          <w:b/>
          <w:sz w:val="28"/>
          <w:szCs w:val="28"/>
        </w:rPr>
        <w:t>改</w:t>
      </w:r>
      <w:r>
        <w:rPr>
          <w:rFonts w:hint="eastAsia" w:asciiTheme="majorEastAsia" w:hAnsiTheme="majorEastAsia" w:eastAsiaTheme="majorEastAsia"/>
          <w:b/>
          <w:sz w:val="28"/>
          <w:szCs w:val="28"/>
        </w:rPr>
        <w:t>进</w:t>
      </w:r>
      <w:r>
        <w:rPr>
          <w:rFonts w:asciiTheme="majorEastAsia" w:hAnsiTheme="majorEastAsia" w:eastAsiaTheme="majorEastAsia"/>
          <w:b/>
          <w:sz w:val="28"/>
          <w:szCs w:val="28"/>
        </w:rPr>
        <w:t>的方向</w:t>
      </w:r>
      <w:r>
        <w:rPr>
          <w:rFonts w:hint="eastAsia" w:asciiTheme="majorEastAsia" w:hAnsiTheme="majorEastAsia" w:eastAsiaTheme="majorEastAsia"/>
          <w:b/>
          <w:sz w:val="28"/>
          <w:szCs w:val="28"/>
        </w:rPr>
        <w:t>和具体</w:t>
      </w:r>
      <w:r>
        <w:rPr>
          <w:rFonts w:asciiTheme="majorEastAsia" w:hAnsiTheme="majorEastAsia" w:eastAsiaTheme="majorEastAsia"/>
          <w:b/>
          <w:sz w:val="28"/>
          <w:szCs w:val="28"/>
        </w:rPr>
        <w:t>措施</w:t>
      </w:r>
    </w:p>
    <w:p>
      <w:pPr>
        <w:pStyle w:val="2"/>
        <w:jc w:val="left"/>
        <w:rPr>
          <w:rFonts w:asciiTheme="majorEastAsia" w:hAnsiTheme="majorEastAsia" w:eastAsiaTheme="majorEastAsia"/>
        </w:rPr>
      </w:pPr>
      <w:r>
        <w:rPr>
          <w:rFonts w:asciiTheme="majorEastAsia" w:hAnsiTheme="majorEastAsia" w:eastAsiaTheme="majorEastAsia"/>
        </w:rPr>
        <w:t>为进一步提高专项资金使用效益，针对存在的问题，提出如下建议：</w:t>
      </w:r>
    </w:p>
    <w:p>
      <w:pPr>
        <w:pStyle w:val="2"/>
        <w:ind w:firstLine="562"/>
        <w:jc w:val="left"/>
        <w:rPr>
          <w:rFonts w:asciiTheme="majorEastAsia" w:hAnsiTheme="majorEastAsia" w:eastAsiaTheme="majorEastAsia"/>
          <w:b/>
        </w:rPr>
      </w:pPr>
      <w:r>
        <w:rPr>
          <w:rFonts w:hint="eastAsia" w:asciiTheme="majorEastAsia" w:hAnsiTheme="majorEastAsia" w:eastAsiaTheme="majorEastAsia"/>
          <w:b/>
        </w:rPr>
        <w:t>1. 建议加强垃圾分类管理</w:t>
      </w:r>
    </w:p>
    <w:p>
      <w:pPr>
        <w:adjustRightInd w:val="0"/>
        <w:snapToGrid w:val="0"/>
        <w:spacing w:line="360" w:lineRule="auto"/>
        <w:ind w:firstLine="560" w:firstLineChars="200"/>
        <w:jc w:val="left"/>
        <w:rPr>
          <w:rFonts w:cs="仿宋_GB2312" w:asciiTheme="majorEastAsia" w:hAnsiTheme="majorEastAsia" w:eastAsiaTheme="majorEastAsia"/>
          <w:bCs/>
          <w:color w:val="000000" w:themeColor="text1"/>
          <w:sz w:val="28"/>
          <w:szCs w:val="28"/>
        </w:rPr>
      </w:pPr>
      <w:r>
        <w:rPr>
          <w:rFonts w:hint="eastAsia" w:cs="仿宋_GB2312" w:asciiTheme="majorEastAsia" w:hAnsiTheme="majorEastAsia" w:eastAsiaTheme="majorEastAsia"/>
          <w:bCs/>
          <w:color w:val="000000" w:themeColor="text1"/>
          <w:sz w:val="28"/>
          <w:szCs w:val="28"/>
        </w:rPr>
        <w:t>目前垃圾处理的方法还处于传统的堆放填埋方式，而进行垃圾分类收集可以减少垃圾处理量和处理设备，降低处理成本，减少土地资源的消耗，具有社会、经济、生态三方面的效益。生活垃圾中有些物质不易降解，使土地受到严重侵蚀。通过垃圾分类，去掉能回收的、不易降解的物质，减少垃圾数量达50%以上，实行垃圾分类已经迫在眉睫。</w:t>
      </w:r>
    </w:p>
    <w:p>
      <w:pPr>
        <w:pStyle w:val="2"/>
        <w:ind w:firstLine="562"/>
        <w:jc w:val="left"/>
        <w:rPr>
          <w:rFonts w:asciiTheme="majorEastAsia" w:hAnsiTheme="majorEastAsia" w:eastAsiaTheme="majorEastAsia"/>
          <w:b/>
          <w:bCs/>
        </w:rPr>
      </w:pPr>
      <w:r>
        <w:rPr>
          <w:rFonts w:hint="eastAsia" w:asciiTheme="majorEastAsia" w:hAnsiTheme="majorEastAsia" w:eastAsiaTheme="majorEastAsia"/>
          <w:b/>
          <w:bCs/>
        </w:rPr>
        <w:t>2.</w:t>
      </w:r>
      <w:r>
        <w:rPr>
          <w:rFonts w:hint="eastAsia" w:asciiTheme="majorEastAsia" w:hAnsiTheme="majorEastAsia" w:eastAsiaTheme="majorEastAsia"/>
          <w:b/>
        </w:rPr>
        <w:t xml:space="preserve"> 建议注重垃圾填埋工艺科学环保性</w:t>
      </w:r>
    </w:p>
    <w:p>
      <w:pPr>
        <w:adjustRightInd w:val="0"/>
        <w:snapToGrid w:val="0"/>
        <w:spacing w:line="360" w:lineRule="auto"/>
        <w:ind w:firstLine="560" w:firstLineChars="200"/>
        <w:jc w:val="left"/>
        <w:rPr>
          <w:rFonts w:cs="仿宋_GB2312" w:asciiTheme="majorEastAsia" w:hAnsiTheme="majorEastAsia" w:eastAsiaTheme="majorEastAsia"/>
          <w:bCs/>
          <w:sz w:val="28"/>
          <w:szCs w:val="28"/>
        </w:rPr>
      </w:pPr>
      <w:r>
        <w:rPr>
          <w:rFonts w:cs="仿宋_GB2312" w:asciiTheme="majorEastAsia" w:hAnsiTheme="majorEastAsia" w:eastAsiaTheme="majorEastAsia"/>
          <w:bCs/>
          <w:sz w:val="28"/>
          <w:szCs w:val="28"/>
        </w:rPr>
        <w:t>加强渗滤液收集能力，</w:t>
      </w:r>
      <w:r>
        <w:rPr>
          <w:rFonts w:hint="eastAsia" w:cs="仿宋_GB2312" w:asciiTheme="majorEastAsia" w:hAnsiTheme="majorEastAsia" w:eastAsiaTheme="majorEastAsia"/>
          <w:bCs/>
          <w:sz w:val="28"/>
          <w:szCs w:val="28"/>
        </w:rPr>
        <w:t>完善</w:t>
      </w:r>
      <w:r>
        <w:rPr>
          <w:rFonts w:cs="仿宋_GB2312" w:asciiTheme="majorEastAsia" w:hAnsiTheme="majorEastAsia" w:eastAsiaTheme="majorEastAsia"/>
          <w:bCs/>
          <w:sz w:val="28"/>
          <w:szCs w:val="28"/>
        </w:rPr>
        <w:t>渗滤液处理设施，提高处理能力</w:t>
      </w:r>
      <w:r>
        <w:rPr>
          <w:rFonts w:hint="eastAsia" w:cs="仿宋_GB2312" w:asciiTheme="majorEastAsia" w:hAnsiTheme="majorEastAsia" w:eastAsiaTheme="majorEastAsia"/>
          <w:bCs/>
          <w:sz w:val="28"/>
          <w:szCs w:val="28"/>
        </w:rPr>
        <w:t>。</w:t>
      </w:r>
      <w:r>
        <w:rPr>
          <w:rFonts w:cs="仿宋_GB2312" w:asciiTheme="majorEastAsia" w:hAnsiTheme="majorEastAsia" w:eastAsiaTheme="majorEastAsia"/>
          <w:bCs/>
          <w:sz w:val="28"/>
          <w:szCs w:val="28"/>
        </w:rPr>
        <w:t>加强垃圾渗滤液的收集及处理运行管理，确保稳定达标排放</w:t>
      </w:r>
      <w:r>
        <w:rPr>
          <w:rFonts w:hint="eastAsia" w:cs="仿宋_GB2312" w:asciiTheme="majorEastAsia" w:hAnsiTheme="majorEastAsia" w:eastAsiaTheme="majorEastAsia"/>
          <w:bCs/>
          <w:sz w:val="28"/>
          <w:szCs w:val="28"/>
        </w:rPr>
        <w:t>，有效防止垃圾渗滤液对地下水、地表水造成污染，提高环境质量和城市综合素质。</w:t>
      </w:r>
    </w:p>
    <w:p>
      <w:pPr>
        <w:adjustRightInd w:val="0"/>
        <w:snapToGrid w:val="0"/>
        <w:spacing w:line="360" w:lineRule="auto"/>
        <w:ind w:firstLine="560" w:firstLineChars="200"/>
        <w:jc w:val="left"/>
        <w:rPr>
          <w:rFonts w:cs="仿宋_GB2312" w:asciiTheme="majorEastAsia" w:hAnsiTheme="majorEastAsia" w:eastAsiaTheme="majorEastAsia"/>
          <w:b/>
          <w:color w:val="000000" w:themeColor="text1"/>
          <w:sz w:val="28"/>
          <w:szCs w:val="28"/>
        </w:rPr>
      </w:pPr>
      <w:r>
        <w:rPr>
          <w:rFonts w:hint="eastAsia" w:cs="仿宋_GB2312" w:asciiTheme="majorEastAsia" w:hAnsiTheme="majorEastAsia" w:eastAsiaTheme="majorEastAsia"/>
          <w:bCs/>
          <w:sz w:val="28"/>
          <w:szCs w:val="28"/>
        </w:rPr>
        <w:t>3.</w:t>
      </w:r>
      <w:r>
        <w:rPr>
          <w:rFonts w:hint="eastAsia" w:cs="仿宋_GB2312" w:asciiTheme="majorEastAsia" w:hAnsiTheme="majorEastAsia" w:eastAsiaTheme="majorEastAsia"/>
          <w:b/>
          <w:color w:val="000000" w:themeColor="text1"/>
          <w:sz w:val="28"/>
          <w:szCs w:val="28"/>
        </w:rPr>
        <w:t xml:space="preserve"> 建议项目实施单位完善资金和绩效管理制度</w:t>
      </w:r>
    </w:p>
    <w:p>
      <w:pPr>
        <w:adjustRightInd w:val="0"/>
        <w:snapToGrid w:val="0"/>
        <w:spacing w:line="360" w:lineRule="auto"/>
        <w:ind w:firstLine="560" w:firstLineChars="200"/>
        <w:jc w:val="left"/>
        <w:rPr>
          <w:rFonts w:cs="仿宋_GB2312" w:asciiTheme="majorEastAsia" w:hAnsiTheme="majorEastAsia" w:eastAsiaTheme="majorEastAsia"/>
          <w:bCs/>
          <w:sz w:val="28"/>
          <w:szCs w:val="28"/>
        </w:rPr>
      </w:pPr>
      <w:r>
        <w:rPr>
          <w:rFonts w:hint="eastAsia" w:cs="仿宋_GB2312" w:asciiTheme="majorEastAsia" w:hAnsiTheme="majorEastAsia" w:eastAsiaTheme="majorEastAsia"/>
          <w:bCs/>
          <w:sz w:val="28"/>
          <w:szCs w:val="28"/>
        </w:rPr>
        <w:t>该项目投资较大、涉及内容多，建议项目实施单位完善专项资金管理制度，完善项目资金档案管理。同时加强昌黎县生活垃圾卫生填埋场覆土工程的绩效管理，提高财政资金的使用效率。建议财政部门举办绩效管理等方面的业务培训和交流，以提高财政资金的使用效益和公共服务质量。</w:t>
      </w:r>
    </w:p>
    <w:p>
      <w:pPr>
        <w:spacing w:line="360" w:lineRule="auto"/>
        <w:ind w:firstLine="562" w:firstLineChars="200"/>
        <w:jc w:val="left"/>
        <w:rPr>
          <w:rFonts w:asciiTheme="majorEastAsia" w:hAnsiTheme="majorEastAsia" w:eastAsiaTheme="majorEastAsia"/>
          <w:b/>
          <w:sz w:val="28"/>
          <w:szCs w:val="28"/>
        </w:rPr>
      </w:pPr>
      <w:r>
        <w:rPr>
          <w:rFonts w:hint="eastAsia" w:asciiTheme="majorEastAsia" w:hAnsiTheme="majorEastAsia" w:eastAsiaTheme="majorEastAsia"/>
          <w:b/>
          <w:sz w:val="28"/>
          <w:szCs w:val="28"/>
        </w:rPr>
        <w:t>四、</w:t>
      </w:r>
      <w:r>
        <w:rPr>
          <w:rFonts w:asciiTheme="majorEastAsia" w:hAnsiTheme="majorEastAsia" w:eastAsiaTheme="majorEastAsia"/>
          <w:b/>
          <w:sz w:val="28"/>
          <w:szCs w:val="28"/>
        </w:rPr>
        <w:t>绩效自评</w:t>
      </w:r>
      <w:r>
        <w:rPr>
          <w:rFonts w:hint="eastAsia" w:asciiTheme="majorEastAsia" w:hAnsiTheme="majorEastAsia" w:eastAsiaTheme="majorEastAsia"/>
          <w:b/>
          <w:sz w:val="28"/>
          <w:szCs w:val="28"/>
        </w:rPr>
        <w:t>结果</w:t>
      </w:r>
      <w:r>
        <w:rPr>
          <w:rFonts w:asciiTheme="majorEastAsia" w:hAnsiTheme="majorEastAsia" w:eastAsiaTheme="majorEastAsia"/>
          <w:b/>
          <w:sz w:val="28"/>
          <w:szCs w:val="28"/>
        </w:rPr>
        <w:t>拟应用和公开</w:t>
      </w:r>
      <w:r>
        <w:rPr>
          <w:rFonts w:hint="eastAsia" w:asciiTheme="majorEastAsia" w:hAnsiTheme="majorEastAsia" w:eastAsiaTheme="majorEastAsia"/>
          <w:b/>
          <w:sz w:val="28"/>
          <w:szCs w:val="28"/>
        </w:rPr>
        <w:t>情况</w:t>
      </w:r>
    </w:p>
    <w:p>
      <w:pPr>
        <w:spacing w:line="360" w:lineRule="auto"/>
        <w:ind w:firstLine="560" w:firstLineChars="200"/>
        <w:jc w:val="left"/>
        <w:rPr>
          <w:rFonts w:hint="eastAsia" w:asciiTheme="majorEastAsia" w:hAnsiTheme="majorEastAsia" w:eastAsiaTheme="majorEastAsia"/>
          <w:sz w:val="28"/>
          <w:szCs w:val="28"/>
        </w:rPr>
      </w:pPr>
      <w:r>
        <w:rPr>
          <w:rFonts w:hint="eastAsia" w:asciiTheme="majorEastAsia" w:hAnsiTheme="majorEastAsia" w:eastAsiaTheme="majorEastAsia"/>
          <w:sz w:val="28"/>
          <w:szCs w:val="28"/>
        </w:rPr>
        <w:t>通过对2020年项目的绩效自评找出问题，指出解决方案并提出具体措施，运用到各个项目中，由项目负责人制定实施方案，在绩效会议中说明具体实施方法，由项目内控部门监督实施执行。2020年绩效自评在政府网站中公开。</w:t>
      </w:r>
    </w:p>
    <w:p>
      <w:pPr>
        <w:spacing w:line="360" w:lineRule="auto"/>
        <w:ind w:firstLine="560" w:firstLineChars="200"/>
        <w:jc w:val="left"/>
        <w:rPr>
          <w:rFonts w:hint="eastAsia" w:asciiTheme="majorEastAsia" w:hAnsiTheme="majorEastAsia" w:eastAsiaTheme="majorEastAsia"/>
          <w:sz w:val="28"/>
          <w:szCs w:val="28"/>
        </w:rPr>
      </w:pPr>
    </w:p>
    <w:p>
      <w:pPr>
        <w:spacing w:line="360" w:lineRule="auto"/>
        <w:ind w:firstLine="560" w:firstLineChars="200"/>
        <w:jc w:val="left"/>
        <w:rPr>
          <w:rFonts w:hint="eastAsia" w:asciiTheme="majorEastAsia" w:hAnsiTheme="majorEastAsia" w:eastAsiaTheme="majorEastAsia"/>
          <w:sz w:val="28"/>
          <w:szCs w:val="28"/>
        </w:rPr>
      </w:pPr>
    </w:p>
    <w:p>
      <w:pPr>
        <w:spacing w:line="360" w:lineRule="auto"/>
        <w:ind w:firstLine="560" w:firstLineChars="200"/>
        <w:jc w:val="left"/>
        <w:rPr>
          <w:rFonts w:hint="eastAsia" w:asciiTheme="majorEastAsia" w:hAnsiTheme="majorEastAsia" w:eastAsiaTheme="majorEastAsia"/>
          <w:sz w:val="28"/>
          <w:szCs w:val="28"/>
        </w:rPr>
      </w:pPr>
    </w:p>
    <w:p>
      <w:pPr>
        <w:spacing w:line="360" w:lineRule="auto"/>
        <w:ind w:firstLine="560" w:firstLineChars="200"/>
        <w:jc w:val="left"/>
        <w:rPr>
          <w:rFonts w:hint="eastAsia" w:asciiTheme="majorEastAsia" w:hAnsiTheme="majorEastAsia" w:eastAsiaTheme="majorEastAsia"/>
          <w:sz w:val="28"/>
          <w:szCs w:val="28"/>
        </w:rPr>
      </w:pPr>
    </w:p>
    <w:p>
      <w:pPr>
        <w:spacing w:line="360" w:lineRule="auto"/>
        <w:ind w:firstLine="3500" w:firstLineChars="1250"/>
        <w:jc w:val="left"/>
        <w:rPr>
          <w:rFonts w:hint="eastAsia" w:asciiTheme="majorEastAsia" w:hAnsiTheme="majorEastAsia" w:eastAsiaTheme="majorEastAsia"/>
          <w:sz w:val="28"/>
          <w:szCs w:val="28"/>
        </w:rPr>
      </w:pPr>
      <w:r>
        <w:rPr>
          <w:rFonts w:hint="eastAsia" w:asciiTheme="majorEastAsia" w:hAnsiTheme="majorEastAsia" w:eastAsiaTheme="majorEastAsia"/>
          <w:sz w:val="28"/>
          <w:szCs w:val="28"/>
        </w:rPr>
        <w:t>昌黎县城市管理综合行政执法局</w:t>
      </w:r>
    </w:p>
    <w:p>
      <w:pPr>
        <w:spacing w:line="360" w:lineRule="auto"/>
        <w:ind w:firstLine="4200" w:firstLineChars="1500"/>
        <w:jc w:val="left"/>
        <w:rPr>
          <w:rFonts w:asciiTheme="majorEastAsia" w:hAnsiTheme="majorEastAsia" w:eastAsiaTheme="majorEastAsia"/>
          <w:sz w:val="28"/>
          <w:szCs w:val="28"/>
        </w:rPr>
      </w:pPr>
      <w:r>
        <w:rPr>
          <w:rFonts w:hint="eastAsia" w:asciiTheme="majorEastAsia" w:hAnsiTheme="majorEastAsia" w:eastAsiaTheme="majorEastAsia"/>
          <w:sz w:val="28"/>
          <w:szCs w:val="28"/>
        </w:rPr>
        <w:t>2020年3月15日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2867"/>
    <w:rsid w:val="000603F7"/>
    <w:rsid w:val="001D5EE6"/>
    <w:rsid w:val="00412867"/>
    <w:rsid w:val="00484471"/>
    <w:rsid w:val="0053079B"/>
    <w:rsid w:val="00670775"/>
    <w:rsid w:val="00687341"/>
    <w:rsid w:val="006E23FC"/>
    <w:rsid w:val="00751FF5"/>
    <w:rsid w:val="00780299"/>
    <w:rsid w:val="00813EBB"/>
    <w:rsid w:val="00A72770"/>
    <w:rsid w:val="00A82FD9"/>
    <w:rsid w:val="00AA1EE6"/>
    <w:rsid w:val="00B176A7"/>
    <w:rsid w:val="00B35BF5"/>
    <w:rsid w:val="00C40E0A"/>
    <w:rsid w:val="00C4103C"/>
    <w:rsid w:val="00C67384"/>
    <w:rsid w:val="00C879BB"/>
    <w:rsid w:val="00EB7B62"/>
    <w:rsid w:val="00F179E0"/>
    <w:rsid w:val="00F96C9D"/>
    <w:rsid w:val="00FE5FC5"/>
    <w:rsid w:val="08986F9A"/>
    <w:rsid w:val="091B51A7"/>
    <w:rsid w:val="095D751E"/>
    <w:rsid w:val="09DC2579"/>
    <w:rsid w:val="0B181275"/>
    <w:rsid w:val="0D912F05"/>
    <w:rsid w:val="12E56B03"/>
    <w:rsid w:val="1C6B232F"/>
    <w:rsid w:val="1E5840CD"/>
    <w:rsid w:val="3BF57A54"/>
    <w:rsid w:val="3D5C2229"/>
    <w:rsid w:val="4F222F32"/>
    <w:rsid w:val="508B5328"/>
    <w:rsid w:val="508E71CE"/>
    <w:rsid w:val="52D27021"/>
    <w:rsid w:val="59450230"/>
    <w:rsid w:val="5BDE16DC"/>
    <w:rsid w:val="6E0772EA"/>
    <w:rsid w:val="713316A3"/>
    <w:rsid w:val="726C5969"/>
    <w:rsid w:val="72C85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5"/>
    <w:qFormat/>
    <w:uiPriority w:val="1"/>
    <w:pPr>
      <w:autoSpaceDE w:val="0"/>
      <w:autoSpaceDN w:val="0"/>
      <w:adjustRightInd w:val="0"/>
      <w:snapToGrid w:val="0"/>
      <w:spacing w:line="360" w:lineRule="auto"/>
      <w:ind w:firstLine="560" w:firstLineChars="200"/>
    </w:pPr>
    <w:rPr>
      <w:rFonts w:ascii="仿宋_GB2312" w:eastAsia="仿宋_GB2312"/>
      <w:kern w:val="0"/>
      <w:sz w:val="28"/>
      <w:szCs w:val="28"/>
      <w:lang w:bidi="zh-CN"/>
    </w:rPr>
  </w:style>
  <w:style w:type="character" w:customStyle="1" w:styleId="5">
    <w:name w:val="正文文本 Char"/>
    <w:basedOn w:val="4"/>
    <w:link w:val="2"/>
    <w:uiPriority w:val="1"/>
    <w:rPr>
      <w:rFonts w:ascii="仿宋_GB2312" w:eastAsia="仿宋_GB2312"/>
      <w:sz w:val="28"/>
      <w:szCs w:val="28"/>
      <w:lang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792</Words>
  <Characters>4519</Characters>
  <Lines>37</Lines>
  <Paragraphs>10</Paragraphs>
  <TotalTime>2498</TotalTime>
  <ScaleCrop>false</ScaleCrop>
  <LinksUpToDate>false</LinksUpToDate>
  <CharactersWithSpaces>5301</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2021-05-29T08:05:00Z</dcterms:created>
  <dc:creator>Administrator</dc:creator>
  <cp:lastModifiedBy>Administrator</cp:lastModifiedBy>
  <dcterms:modified xsi:type="dcterms:W3CDTF">2024-07-15T06:32:51Z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