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一、中国共产党昌黎县委员会党校本级收支预算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一、中国共产党昌黎县委员会党校本级收支预算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281001中国共产党昌黎县委员会党校本级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322.64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322.64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322.64</w:t>
            </w:r>
          </w:p>
        </w:tc>
        <w:tc>
          <w:tcPr>
            <w:tcW w:w="4535" w:type="dxa"/>
            <w:vAlign w:val="center"/>
          </w:tcPr>
          <w:p>
            <w:pPr>
              <w:pStyle w:val="14"/>
            </w:pPr>
            <w:r>
              <w:t>本年支出合计</w:t>
            </w:r>
          </w:p>
        </w:tc>
        <w:tc>
          <w:tcPr>
            <w:tcW w:w="2126" w:type="dxa"/>
            <w:vAlign w:val="center"/>
          </w:tcPr>
          <w:p>
            <w:pPr>
              <w:pStyle w:val="15"/>
            </w:pPr>
            <w:r>
              <w:t>322.64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322.64</w:t>
            </w:r>
          </w:p>
        </w:tc>
        <w:tc>
          <w:tcPr>
            <w:tcW w:w="4535" w:type="dxa"/>
            <w:vAlign w:val="center"/>
          </w:tcPr>
          <w:p>
            <w:pPr>
              <w:pStyle w:val="14"/>
            </w:pPr>
            <w:r>
              <w:t>支出总计</w:t>
            </w:r>
          </w:p>
        </w:tc>
        <w:tc>
          <w:tcPr>
            <w:tcW w:w="2126" w:type="dxa"/>
            <w:vAlign w:val="center"/>
          </w:tcPr>
          <w:p>
            <w:pPr>
              <w:pStyle w:val="15"/>
            </w:pPr>
            <w:r>
              <w:t>322.64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281001中国共产党昌黎县委员会党校本级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322.64</w:t>
            </w:r>
          </w:p>
        </w:tc>
        <w:tc>
          <w:tcPr>
            <w:tcW w:w="1134" w:type="dxa"/>
            <w:vAlign w:val="center"/>
          </w:tcPr>
          <w:p>
            <w:pPr>
              <w:pStyle w:val="15"/>
            </w:pPr>
            <w:r>
              <w:t>322.64</w:t>
            </w:r>
          </w:p>
        </w:tc>
        <w:tc>
          <w:tcPr>
            <w:tcW w:w="1134" w:type="dxa"/>
            <w:vAlign w:val="center"/>
          </w:tcPr>
          <w:p>
            <w:pPr>
              <w:pStyle w:val="15"/>
            </w:pPr>
            <w:r>
              <w:t>322.64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322.64</w:t>
            </w:r>
          </w:p>
        </w:tc>
        <w:tc>
          <w:tcPr>
            <w:tcW w:w="1134" w:type="dxa"/>
            <w:vAlign w:val="center"/>
          </w:tcPr>
          <w:p>
            <w:pPr>
              <w:pStyle w:val="11"/>
            </w:pPr>
            <w:r>
              <w:t>322.64</w:t>
            </w:r>
          </w:p>
        </w:tc>
        <w:tc>
          <w:tcPr>
            <w:tcW w:w="1134" w:type="dxa"/>
            <w:vAlign w:val="center"/>
          </w:tcPr>
          <w:p>
            <w:pPr>
              <w:pStyle w:val="11"/>
            </w:pPr>
            <w:r>
              <w:t>322.64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322.64</w:t>
            </w:r>
          </w:p>
        </w:tc>
        <w:tc>
          <w:tcPr>
            <w:tcW w:w="1134" w:type="dxa"/>
            <w:vAlign w:val="center"/>
          </w:tcPr>
          <w:p>
            <w:pPr>
              <w:pStyle w:val="11"/>
            </w:pPr>
            <w:r>
              <w:t>322.64</w:t>
            </w:r>
          </w:p>
        </w:tc>
        <w:tc>
          <w:tcPr>
            <w:tcW w:w="1134" w:type="dxa"/>
            <w:vAlign w:val="center"/>
          </w:tcPr>
          <w:p>
            <w:pPr>
              <w:pStyle w:val="11"/>
            </w:pPr>
            <w:r>
              <w:t>322.64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322.64</w:t>
            </w:r>
          </w:p>
        </w:tc>
        <w:tc>
          <w:tcPr>
            <w:tcW w:w="1134" w:type="dxa"/>
            <w:vAlign w:val="center"/>
          </w:tcPr>
          <w:p>
            <w:pPr>
              <w:pStyle w:val="11"/>
            </w:pPr>
            <w:r>
              <w:t>322.64</w:t>
            </w:r>
          </w:p>
        </w:tc>
        <w:tc>
          <w:tcPr>
            <w:tcW w:w="1134" w:type="dxa"/>
            <w:vAlign w:val="center"/>
          </w:tcPr>
          <w:p>
            <w:pPr>
              <w:pStyle w:val="11"/>
            </w:pPr>
            <w:r>
              <w:t>322.64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281001中国共产党昌黎县委员会党校本级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322.64</w:t>
            </w:r>
          </w:p>
        </w:tc>
        <w:tc>
          <w:tcPr>
            <w:tcW w:w="1361" w:type="dxa"/>
            <w:vAlign w:val="center"/>
          </w:tcPr>
          <w:p>
            <w:pPr>
              <w:pStyle w:val="15"/>
            </w:pPr>
            <w:r>
              <w:t>312.64</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322.64</w:t>
            </w:r>
          </w:p>
        </w:tc>
        <w:tc>
          <w:tcPr>
            <w:tcW w:w="1361" w:type="dxa"/>
            <w:vAlign w:val="center"/>
          </w:tcPr>
          <w:p>
            <w:pPr>
              <w:pStyle w:val="11"/>
            </w:pPr>
            <w:r>
              <w:t>312.64</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322.64</w:t>
            </w:r>
          </w:p>
        </w:tc>
        <w:tc>
          <w:tcPr>
            <w:tcW w:w="1361" w:type="dxa"/>
            <w:vAlign w:val="center"/>
          </w:tcPr>
          <w:p>
            <w:pPr>
              <w:pStyle w:val="11"/>
            </w:pPr>
            <w:r>
              <w:t>312.64</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2050802</w:t>
            </w:r>
          </w:p>
        </w:tc>
        <w:tc>
          <w:tcPr>
            <w:tcW w:w="4535" w:type="dxa"/>
            <w:vAlign w:val="center"/>
          </w:tcPr>
          <w:p>
            <w:pPr>
              <w:pStyle w:val="12"/>
            </w:pPr>
            <w:r>
              <w:t>干部教育</w:t>
            </w:r>
          </w:p>
        </w:tc>
        <w:tc>
          <w:tcPr>
            <w:tcW w:w="1361" w:type="dxa"/>
            <w:vAlign w:val="center"/>
          </w:tcPr>
          <w:p>
            <w:pPr>
              <w:pStyle w:val="11"/>
            </w:pPr>
            <w:r>
              <w:t>322.64</w:t>
            </w:r>
          </w:p>
        </w:tc>
        <w:tc>
          <w:tcPr>
            <w:tcW w:w="1361" w:type="dxa"/>
            <w:vAlign w:val="center"/>
          </w:tcPr>
          <w:p>
            <w:pPr>
              <w:pStyle w:val="11"/>
            </w:pPr>
            <w:r>
              <w:t>312.64</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281001中国共产党昌黎县委员会党校本级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322.64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322.64</w:t>
            </w:r>
          </w:p>
        </w:tc>
        <w:tc>
          <w:tcPr>
            <w:tcW w:w="1474" w:type="dxa"/>
            <w:vAlign w:val="center"/>
          </w:tcPr>
          <w:p>
            <w:pPr>
              <w:pStyle w:val="11"/>
            </w:pPr>
            <w:r>
              <w:t>322.64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322.64</w:t>
            </w:r>
          </w:p>
        </w:tc>
        <w:tc>
          <w:tcPr>
            <w:tcW w:w="3402" w:type="dxa"/>
            <w:vAlign w:val="center"/>
          </w:tcPr>
          <w:p>
            <w:pPr>
              <w:pStyle w:val="14"/>
            </w:pPr>
            <w:r>
              <w:t>本年支出合计</w:t>
            </w:r>
          </w:p>
        </w:tc>
        <w:tc>
          <w:tcPr>
            <w:tcW w:w="1474" w:type="dxa"/>
            <w:vAlign w:val="center"/>
          </w:tcPr>
          <w:p>
            <w:pPr>
              <w:pStyle w:val="15"/>
            </w:pPr>
            <w:r>
              <w:t>322.64</w:t>
            </w:r>
          </w:p>
        </w:tc>
        <w:tc>
          <w:tcPr>
            <w:tcW w:w="1474" w:type="dxa"/>
            <w:vAlign w:val="center"/>
          </w:tcPr>
          <w:p>
            <w:pPr>
              <w:pStyle w:val="15"/>
            </w:pPr>
            <w:r>
              <w:t>322.64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322.64</w:t>
            </w:r>
          </w:p>
        </w:tc>
        <w:tc>
          <w:tcPr>
            <w:tcW w:w="3402" w:type="dxa"/>
            <w:vAlign w:val="center"/>
          </w:tcPr>
          <w:p>
            <w:pPr>
              <w:pStyle w:val="14"/>
            </w:pPr>
            <w:r>
              <w:t>支出总计</w:t>
            </w:r>
          </w:p>
        </w:tc>
        <w:tc>
          <w:tcPr>
            <w:tcW w:w="1474" w:type="dxa"/>
            <w:vAlign w:val="center"/>
          </w:tcPr>
          <w:p>
            <w:pPr>
              <w:pStyle w:val="15"/>
            </w:pPr>
            <w:r>
              <w:t>322.64</w:t>
            </w:r>
          </w:p>
        </w:tc>
        <w:tc>
          <w:tcPr>
            <w:tcW w:w="1474" w:type="dxa"/>
            <w:vAlign w:val="center"/>
          </w:tcPr>
          <w:p>
            <w:pPr>
              <w:pStyle w:val="15"/>
            </w:pPr>
            <w:r>
              <w:t>322.64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281001中国共产党昌黎县委员会党校本级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322.64</w:t>
            </w:r>
          </w:p>
        </w:tc>
        <w:tc>
          <w:tcPr>
            <w:tcW w:w="2551" w:type="dxa"/>
            <w:vAlign w:val="center"/>
          </w:tcPr>
          <w:p>
            <w:pPr>
              <w:pStyle w:val="15"/>
            </w:pPr>
            <w:r>
              <w:t>312.64</w:t>
            </w: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322.64</w:t>
            </w:r>
          </w:p>
        </w:tc>
        <w:tc>
          <w:tcPr>
            <w:tcW w:w="2551" w:type="dxa"/>
            <w:vAlign w:val="center"/>
          </w:tcPr>
          <w:p>
            <w:pPr>
              <w:pStyle w:val="11"/>
            </w:pPr>
            <w:r>
              <w:t>312.64</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322.64</w:t>
            </w:r>
          </w:p>
        </w:tc>
        <w:tc>
          <w:tcPr>
            <w:tcW w:w="2551" w:type="dxa"/>
            <w:vAlign w:val="center"/>
          </w:tcPr>
          <w:p>
            <w:pPr>
              <w:pStyle w:val="11"/>
            </w:pPr>
            <w:r>
              <w:t>312.64</w:t>
            </w: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322.64</w:t>
            </w:r>
          </w:p>
        </w:tc>
        <w:tc>
          <w:tcPr>
            <w:tcW w:w="2551" w:type="dxa"/>
            <w:vAlign w:val="center"/>
          </w:tcPr>
          <w:p>
            <w:pPr>
              <w:pStyle w:val="11"/>
            </w:pPr>
            <w:r>
              <w:t>312.64</w:t>
            </w:r>
          </w:p>
        </w:tc>
        <w:tc>
          <w:tcPr>
            <w:tcW w:w="2551" w:type="dxa"/>
            <w:vAlign w:val="center"/>
          </w:tcPr>
          <w:p>
            <w:pPr>
              <w:pStyle w:val="11"/>
            </w:pPr>
            <w:r>
              <w:t>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281001中国共产党昌黎县委员会党校本级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312.64</w:t>
            </w:r>
          </w:p>
        </w:tc>
        <w:tc>
          <w:tcPr>
            <w:tcW w:w="2551" w:type="dxa"/>
            <w:vAlign w:val="center"/>
          </w:tcPr>
          <w:p>
            <w:pPr>
              <w:pStyle w:val="15"/>
            </w:pPr>
            <w:r>
              <w:t>298.28</w:t>
            </w:r>
          </w:p>
        </w:tc>
        <w:tc>
          <w:tcPr>
            <w:tcW w:w="2551" w:type="dxa"/>
            <w:vAlign w:val="center"/>
          </w:tcPr>
          <w:p>
            <w:pPr>
              <w:pStyle w:val="15"/>
            </w:pPr>
            <w:r>
              <w:t>14.36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259.65</w:t>
            </w:r>
          </w:p>
        </w:tc>
        <w:tc>
          <w:tcPr>
            <w:tcW w:w="2551" w:type="dxa"/>
            <w:vAlign w:val="center"/>
          </w:tcPr>
          <w:p>
            <w:pPr>
              <w:pStyle w:val="11"/>
            </w:pPr>
            <w:r>
              <w:t>259.65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124.98</w:t>
            </w:r>
          </w:p>
        </w:tc>
        <w:tc>
          <w:tcPr>
            <w:tcW w:w="2551" w:type="dxa"/>
            <w:vAlign w:val="center"/>
          </w:tcPr>
          <w:p>
            <w:pPr>
              <w:pStyle w:val="11"/>
            </w:pPr>
            <w:r>
              <w:t>124.98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29.08</w:t>
            </w:r>
          </w:p>
        </w:tc>
        <w:tc>
          <w:tcPr>
            <w:tcW w:w="2551" w:type="dxa"/>
            <w:vAlign w:val="center"/>
          </w:tcPr>
          <w:p>
            <w:pPr>
              <w:pStyle w:val="11"/>
            </w:pPr>
            <w:r>
              <w:t>29.08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12.04</w:t>
            </w:r>
          </w:p>
        </w:tc>
        <w:tc>
          <w:tcPr>
            <w:tcW w:w="2551" w:type="dxa"/>
            <w:vAlign w:val="center"/>
          </w:tcPr>
          <w:p>
            <w:pPr>
              <w:pStyle w:val="11"/>
            </w:pPr>
            <w:r>
              <w:t>12.04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30.49</w:t>
            </w:r>
          </w:p>
        </w:tc>
        <w:tc>
          <w:tcPr>
            <w:tcW w:w="2551" w:type="dxa"/>
            <w:vAlign w:val="center"/>
          </w:tcPr>
          <w:p>
            <w:pPr>
              <w:pStyle w:val="11"/>
            </w:pPr>
            <w:r>
              <w:t>30.49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28.95</w:t>
            </w:r>
          </w:p>
        </w:tc>
        <w:tc>
          <w:tcPr>
            <w:tcW w:w="2551" w:type="dxa"/>
            <w:vAlign w:val="center"/>
          </w:tcPr>
          <w:p>
            <w:pPr>
              <w:pStyle w:val="11"/>
            </w:pPr>
            <w:r>
              <w:t>28.95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15.30</w:t>
            </w:r>
          </w:p>
        </w:tc>
        <w:tc>
          <w:tcPr>
            <w:tcW w:w="2551" w:type="dxa"/>
            <w:vAlign w:val="center"/>
          </w:tcPr>
          <w:p>
            <w:pPr>
              <w:pStyle w:val="11"/>
            </w:pPr>
            <w:r>
              <w:t>15.30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4.34</w:t>
            </w:r>
          </w:p>
        </w:tc>
        <w:tc>
          <w:tcPr>
            <w:tcW w:w="2551" w:type="dxa"/>
            <w:vAlign w:val="center"/>
          </w:tcPr>
          <w:p>
            <w:pPr>
              <w:pStyle w:val="11"/>
            </w:pPr>
            <w:r>
              <w:t>4.34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14.48</w:t>
            </w:r>
          </w:p>
        </w:tc>
        <w:tc>
          <w:tcPr>
            <w:tcW w:w="2551" w:type="dxa"/>
            <w:vAlign w:val="center"/>
          </w:tcPr>
          <w:p>
            <w:pPr>
              <w:pStyle w:val="11"/>
            </w:pPr>
            <w:r>
              <w:t>14.48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14.36</w:t>
            </w:r>
          </w:p>
        </w:tc>
        <w:tc>
          <w:tcPr>
            <w:tcW w:w="2551" w:type="dxa"/>
            <w:vAlign w:val="center"/>
          </w:tcPr>
          <w:p>
            <w:pPr>
              <w:pStyle w:val="11"/>
            </w:pPr>
          </w:p>
        </w:tc>
        <w:tc>
          <w:tcPr>
            <w:tcW w:w="2551" w:type="dxa"/>
            <w:vAlign w:val="center"/>
          </w:tcPr>
          <w:p>
            <w:pPr>
              <w:pStyle w:val="11"/>
            </w:pPr>
            <w:r>
              <w:t>14.36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2.07</w:t>
            </w:r>
          </w:p>
        </w:tc>
        <w:tc>
          <w:tcPr>
            <w:tcW w:w="2551" w:type="dxa"/>
            <w:vAlign w:val="center"/>
          </w:tcPr>
          <w:p>
            <w:pPr>
              <w:pStyle w:val="11"/>
            </w:pPr>
          </w:p>
        </w:tc>
        <w:tc>
          <w:tcPr>
            <w:tcW w:w="2551" w:type="dxa"/>
            <w:vAlign w:val="center"/>
          </w:tcPr>
          <w:p>
            <w:pPr>
              <w:pStyle w:val="11"/>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7.38</w:t>
            </w:r>
          </w:p>
        </w:tc>
        <w:tc>
          <w:tcPr>
            <w:tcW w:w="2551" w:type="dxa"/>
            <w:vAlign w:val="center"/>
          </w:tcPr>
          <w:p>
            <w:pPr>
              <w:pStyle w:val="11"/>
            </w:pPr>
          </w:p>
        </w:tc>
        <w:tc>
          <w:tcPr>
            <w:tcW w:w="2551" w:type="dxa"/>
            <w:vAlign w:val="center"/>
          </w:tcPr>
          <w:p>
            <w:pPr>
              <w:pStyle w:val="11"/>
            </w:pPr>
            <w: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0.71</w:t>
            </w:r>
          </w:p>
        </w:tc>
        <w:tc>
          <w:tcPr>
            <w:tcW w:w="2551" w:type="dxa"/>
            <w:vAlign w:val="center"/>
          </w:tcPr>
          <w:p>
            <w:pPr>
              <w:pStyle w:val="11"/>
            </w:pPr>
          </w:p>
        </w:tc>
        <w:tc>
          <w:tcPr>
            <w:tcW w:w="2551" w:type="dxa"/>
            <w:vAlign w:val="center"/>
          </w:tcPr>
          <w:p>
            <w:pPr>
              <w:pStyle w:val="11"/>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38.63</w:t>
            </w:r>
          </w:p>
        </w:tc>
        <w:tc>
          <w:tcPr>
            <w:tcW w:w="2551" w:type="dxa"/>
            <w:vAlign w:val="center"/>
          </w:tcPr>
          <w:p>
            <w:pPr>
              <w:pStyle w:val="11"/>
            </w:pPr>
            <w:r>
              <w:t>38.63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38.62</w:t>
            </w:r>
          </w:p>
        </w:tc>
        <w:tc>
          <w:tcPr>
            <w:tcW w:w="2551" w:type="dxa"/>
            <w:vAlign w:val="center"/>
          </w:tcPr>
          <w:p>
            <w:pPr>
              <w:pStyle w:val="11"/>
            </w:pPr>
            <w:r>
              <w:t>38.62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281001中国共产党昌黎县委员会党校本级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281001中国共产党昌黎县委员会党校本级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281001中国共产党昌黎县委员会党校本级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0.30</w:t>
            </w:r>
          </w:p>
        </w:tc>
        <w:tc>
          <w:tcPr>
            <w:tcW w:w="2381" w:type="dxa"/>
            <w:vAlign w:val="center"/>
          </w:tcPr>
          <w:p>
            <w:pPr>
              <w:pStyle w:val="15"/>
            </w:pPr>
            <w:r>
              <w:t>0.30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中国共产党昌黎县委员会党校本级2024年单位预算信息公开情况说明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按照《中华人民共和国预算法》、《地方预决算公开操作规程》和《关于进一步推进预算公开工作的实施意见》规定，现将中国共产党昌黎县委员会党校本级2024年单位预算公开如下：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（一）发挥干部教育培训主渠道作用，有计划地培训乡科级领导干部、基层党员干部、优秀中青年干部等，负责对学员在培训期间的表现进行考核，提出考核意见。</w:t>
      </w:r>
    </w:p>
    <w:p>
      <w:pPr>
        <w:pStyle w:val="17"/>
      </w:pPr>
      <w:r>
        <w:t>（二）对学员进行马克思列宁主义、毛泽东思想、邓小平理论、“三个代表”重要思想、科学发展观、习近平新时代中国特色社会主义思想教育和党性教育，引导学员忠诚捍卫“两个确立”、增强“四个意识”、坚定“四个自信”。</w:t>
      </w:r>
    </w:p>
    <w:p>
      <w:pPr>
        <w:pStyle w:val="17"/>
      </w:pPr>
      <w:r>
        <w:t>（三）围绕党的中心任务和县委、县政府的重大决策和战略部署，对重大理论和现实问题开展科学研究，为县委、县政府决策提供服务，为教学和社会实践服务，发挥智库作用。</w:t>
      </w:r>
    </w:p>
    <w:p>
      <w:pPr>
        <w:pStyle w:val="17"/>
      </w:pPr>
      <w:r>
        <w:t>（四）根据县委对全县干部队伍建设的要求，会同有关部门制定各类骨干的培训轮训计划，承担各类领导干部、公务员、党外干部等培训轮训任务。</w:t>
      </w:r>
    </w:p>
    <w:p>
      <w:pPr>
        <w:pStyle w:val="17"/>
      </w:pPr>
      <w:r>
        <w:t>（五）承办县委、县政府举办的各类专题研讨班、学习班。</w:t>
      </w:r>
    </w:p>
    <w:p>
      <w:pPr>
        <w:pStyle w:val="17"/>
      </w:pPr>
      <w:r>
        <w:t>（六）完成县委、县政府交办的其他任务。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中国共产党昌黎县委员会党校本级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反映本单位当年全部收入。2024年预算收入322.64万元，其中：一般公共预算收入322.64万元，基金预算收入0万元，国有资本经营预算收入0万元，财政专户核拨收入0万元，单位资金收入0万元，上年结转结余0万元。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中国共产党昌黎县委员会党校本级年度单位预算中支出预算的总体情况。2024年支出预算322.64万元，其中基本支出312.64万元，包括人员经费298.28万元和日常公用经费14.3</w:t>
      </w:r>
      <w:r>
        <w:rPr>
          <w:rFonts w:hint="eastAsia"/>
          <w:lang w:val="en-US" w:eastAsia="zh-CN"/>
        </w:rPr>
        <w:t>6</w:t>
      </w:r>
      <w:r>
        <w:t>万元；项目支出10万元，主要为干部培训经费</w:t>
      </w:r>
    </w:p>
    <w:p>
      <w:pPr>
        <w:pStyle w:val="18"/>
      </w:pPr>
      <w:r>
        <w:t>3、比上年增减情况</w:t>
      </w:r>
    </w:p>
    <w:p>
      <w:pPr>
        <w:pStyle w:val="18"/>
      </w:pPr>
      <w:r>
        <w:t>2024年预算收支安排322.64万元，较2023年预算减少35.2</w:t>
      </w:r>
      <w:r>
        <w:rPr>
          <w:rFonts w:hint="eastAsia"/>
          <w:lang w:val="en-US" w:eastAsia="zh-CN"/>
        </w:rPr>
        <w:t>9</w:t>
      </w:r>
      <w:r>
        <w:t>万元，其中：基本支出减少33.2</w:t>
      </w:r>
      <w:r>
        <w:rPr>
          <w:rFonts w:hint="eastAsia"/>
          <w:lang w:val="en-US" w:eastAsia="zh-CN"/>
        </w:rPr>
        <w:t>9</w:t>
      </w:r>
      <w:r>
        <w:t>万元，主要为单位退休4人，新增3人的工资差额</w:t>
      </w:r>
      <w:r>
        <w:rPr>
          <w:rFonts w:hint="eastAsia"/>
          <w:lang w:val="en-US" w:eastAsia="zh-CN"/>
        </w:rPr>
        <w:t>,</w:t>
      </w:r>
      <w:r>
        <w:t>项目支出减少2万元，主要为综合事务管理费缩减</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2024年，我单位机关运行经费共计安排14.36万元，主要用于日常维修、办公用房水电费、办公用房取暖费、办公用房物业管理费等日常运行支出。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0.3万元，其中因公出国（境）费0万元；公务用车购置及运维费0万元（其中：公务用车购置费为0万元，公务用车运维费0万元)；公务接待费0.3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1、综合事务管理费(运转保障）绩效目标表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13032224P00XH2X100043</w:t>
            </w:r>
          </w:p>
        </w:tc>
        <w:tc>
          <w:tcPr>
            <w:tcW w:w="2835" w:type="dxa"/>
            <w:vAlign w:val="center"/>
          </w:tcPr>
          <w:p>
            <w:pPr>
              <w:pStyle w:val="10"/>
            </w:pPr>
            <w:r>
              <w:t>项目名称</w:t>
            </w:r>
          </w:p>
        </w:tc>
        <w:tc>
          <w:tcPr>
            <w:tcW w:w="6094" w:type="dxa"/>
            <w:gridSpan w:val="3"/>
            <w:vAlign w:val="center"/>
          </w:tcPr>
          <w:p>
            <w:pPr>
              <w:pStyle w:val="12"/>
            </w:pPr>
            <w:r>
              <w:t>综合事务管理费(运转保障）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用于党校轮训培训的各项支出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1.通过本校教师授课与外请专家、学者授课相结合的教学形式，开拓学员思路；通过开展现场教学、情</w:t>
            </w:r>
            <w:r>
              <w:rPr>
                <w:rFonts w:hint="eastAsia"/>
                <w:lang w:eastAsia="zh-CN"/>
              </w:rPr>
              <w:t>景</w:t>
            </w:r>
            <w:bookmarkStart w:id="1" w:name="_GoBack"/>
            <w:bookmarkEnd w:id="1"/>
            <w:r>
              <w:t>模拟教学、案例教学、特色教学，有效提高培训质量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5386" w:type="dxa"/>
            <w:vAlign w:val="center"/>
          </w:tcPr>
          <w:p>
            <w:pPr>
              <w:pStyle w:val="12"/>
            </w:pPr>
            <w:r>
              <w:t>参加培训学员的人数</w:t>
            </w:r>
          </w:p>
        </w:tc>
        <w:tc>
          <w:tcPr>
            <w:tcW w:w="2268" w:type="dxa"/>
            <w:vAlign w:val="center"/>
          </w:tcPr>
          <w:p>
            <w:pPr>
              <w:pStyle w:val="12"/>
            </w:pPr>
            <w:r>
              <w:t>≥600人</w:t>
            </w:r>
          </w:p>
        </w:tc>
        <w:tc>
          <w:tcPr>
            <w:tcW w:w="1276" w:type="dxa"/>
            <w:vAlign w:val="center"/>
          </w:tcPr>
          <w:p>
            <w:pPr>
              <w:pStyle w:val="12"/>
            </w:pPr>
            <w:r>
              <w:t>《2023年全县干部教育培训工作安排》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受训学员培训合格率/应受训学员总数的比例</w:t>
            </w:r>
          </w:p>
        </w:tc>
        <w:tc>
          <w:tcPr>
            <w:tcW w:w="2268" w:type="dxa"/>
            <w:vAlign w:val="center"/>
          </w:tcPr>
          <w:p>
            <w:pPr>
              <w:pStyle w:val="12"/>
            </w:pPr>
            <w:r>
              <w:t>≥85%</w:t>
            </w:r>
          </w:p>
        </w:tc>
        <w:tc>
          <w:tcPr>
            <w:tcW w:w="1276" w:type="dxa"/>
            <w:vAlign w:val="center"/>
          </w:tcPr>
          <w:p>
            <w:pPr>
              <w:pStyle w:val="12"/>
            </w:pPr>
            <w:r>
              <w:t>《2023年全县干部教育培训工作安排》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培训按期完成率</w:t>
            </w:r>
          </w:p>
        </w:tc>
        <w:tc>
          <w:tcPr>
            <w:tcW w:w="5386" w:type="dxa"/>
            <w:vAlign w:val="center"/>
          </w:tcPr>
          <w:p>
            <w:pPr>
              <w:pStyle w:val="12"/>
            </w:pPr>
            <w:r>
              <w:t>举办各类专题研讨班的课时数量/上级要求培训课时的比例</w:t>
            </w:r>
          </w:p>
        </w:tc>
        <w:tc>
          <w:tcPr>
            <w:tcW w:w="2268" w:type="dxa"/>
            <w:vAlign w:val="center"/>
          </w:tcPr>
          <w:p>
            <w:pPr>
              <w:pStyle w:val="12"/>
            </w:pPr>
            <w:r>
              <w:t>≥90%</w:t>
            </w:r>
          </w:p>
        </w:tc>
        <w:tc>
          <w:tcPr>
            <w:tcW w:w="1276" w:type="dxa"/>
            <w:vAlign w:val="center"/>
          </w:tcPr>
          <w:p>
            <w:pPr>
              <w:pStyle w:val="12"/>
            </w:pPr>
            <w:r>
              <w:t>《2023年全县干部教育培训工作安排》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培训费用</w:t>
            </w:r>
          </w:p>
        </w:tc>
        <w:tc>
          <w:tcPr>
            <w:tcW w:w="5386" w:type="dxa"/>
            <w:vAlign w:val="center"/>
          </w:tcPr>
          <w:p>
            <w:pPr>
              <w:pStyle w:val="12"/>
            </w:pPr>
            <w:r>
              <w:t>培训班所需的费用</w:t>
            </w:r>
          </w:p>
        </w:tc>
        <w:tc>
          <w:tcPr>
            <w:tcW w:w="2268" w:type="dxa"/>
            <w:vAlign w:val="center"/>
          </w:tcPr>
          <w:p>
            <w:pPr>
              <w:pStyle w:val="12"/>
            </w:pPr>
            <w:r>
              <w:t>10万元</w:t>
            </w:r>
          </w:p>
        </w:tc>
        <w:tc>
          <w:tcPr>
            <w:tcW w:w="1276" w:type="dxa"/>
            <w:vAlign w:val="center"/>
          </w:tcPr>
          <w:p>
            <w:pPr>
              <w:pStyle w:val="12"/>
            </w:pPr>
            <w:r>
              <w:t>《2023年全县干部教育培训工作安排》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提高财政资金的使用效率</w:t>
            </w:r>
          </w:p>
        </w:tc>
        <w:tc>
          <w:tcPr>
            <w:tcW w:w="5386" w:type="dxa"/>
            <w:vAlign w:val="center"/>
          </w:tcPr>
          <w:p>
            <w:pPr>
              <w:pStyle w:val="12"/>
            </w:pPr>
            <w:r>
              <w:t>工作效率、财政资金的使用效率提高，做到节俭高效</w:t>
            </w:r>
          </w:p>
        </w:tc>
        <w:tc>
          <w:tcPr>
            <w:tcW w:w="2268" w:type="dxa"/>
            <w:vAlign w:val="center"/>
          </w:tcPr>
          <w:p>
            <w:pPr>
              <w:pStyle w:val="12"/>
            </w:pPr>
            <w:r>
              <w:t>进一步提高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培训班党员干部素质提高</w:t>
            </w:r>
          </w:p>
        </w:tc>
        <w:tc>
          <w:tcPr>
            <w:tcW w:w="5386" w:type="dxa"/>
            <w:vAlign w:val="center"/>
          </w:tcPr>
          <w:p>
            <w:pPr>
              <w:pStyle w:val="12"/>
            </w:pPr>
            <w:r>
              <w:t>举办各类培训，提高党员干部素质</w:t>
            </w:r>
          </w:p>
        </w:tc>
        <w:tc>
          <w:tcPr>
            <w:tcW w:w="2268" w:type="dxa"/>
            <w:vAlign w:val="center"/>
          </w:tcPr>
          <w:p>
            <w:pPr>
              <w:pStyle w:val="12"/>
            </w:pPr>
            <w:r>
              <w:t>进一步提高</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保证业务工作持续有效运转</w:t>
            </w:r>
          </w:p>
        </w:tc>
        <w:tc>
          <w:tcPr>
            <w:tcW w:w="2268" w:type="dxa"/>
            <w:vAlign w:val="center"/>
          </w:tcPr>
          <w:p>
            <w:pPr>
              <w:pStyle w:val="12"/>
            </w:pPr>
            <w:r>
              <w:t>长期稳定</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学员满意率</w:t>
            </w:r>
          </w:p>
        </w:tc>
        <w:tc>
          <w:tcPr>
            <w:tcW w:w="5386" w:type="dxa"/>
            <w:vAlign w:val="center"/>
          </w:tcPr>
          <w:p>
            <w:pPr>
              <w:pStyle w:val="12"/>
            </w:pPr>
            <w:r>
              <w:t>受训人员对教学活动和教学管理表示满意的人数/应受训学员总数</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281001中国共产党昌黎县委员会党校本级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中国共产党昌黎县委员会党校本级上年末固定资产金额为</w:t>
      </w:r>
      <w:r>
        <w:rPr>
          <w:rFonts w:hint="eastAsia" w:eastAsia="方正仿宋_GBK" w:cs="Times New Roman"/>
          <w:b w:val="0"/>
          <w:color w:val="000000"/>
          <w:sz w:val="28"/>
          <w:lang w:val="en-US" w:eastAsia="zh-CN"/>
        </w:rPr>
        <w:t>217.12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281001中国共产党昌黎县委员会党校本级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217.12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2803.83</w:t>
            </w:r>
          </w:p>
        </w:tc>
        <w:tc>
          <w:tcPr>
            <w:tcW w:w="2835" w:type="dxa"/>
            <w:vAlign w:val="center"/>
          </w:tcPr>
          <w:p>
            <w:pPr>
              <w:pStyle w:val="11"/>
            </w:pPr>
            <w:r>
              <w:t>138.96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1624.52</w:t>
            </w:r>
          </w:p>
        </w:tc>
        <w:tc>
          <w:tcPr>
            <w:tcW w:w="2835" w:type="dxa"/>
            <w:vAlign w:val="center"/>
          </w:tcPr>
          <w:p>
            <w:pPr>
              <w:pStyle w:val="11"/>
            </w:pPr>
            <w:r>
              <w:t>58.11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167</w:t>
            </w:r>
          </w:p>
        </w:tc>
        <w:tc>
          <w:tcPr>
            <w:tcW w:w="2835" w:type="dxa"/>
            <w:vAlign w:val="center"/>
          </w:tcPr>
          <w:p>
            <w:pPr>
              <w:pStyle w:val="11"/>
              <w:rPr>
                <w:rFonts w:hint="default" w:eastAsia="方正书宋_GBK"/>
                <w:lang w:val="en-US" w:eastAsia="zh-CN"/>
              </w:rPr>
            </w:pPr>
            <w:r>
              <w:rPr>
                <w:rFonts w:hint="eastAsia"/>
                <w:lang w:val="en-US" w:eastAsia="zh-CN"/>
              </w:rPr>
              <w:t>78.16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DY1ZDNmOWY2YWY5MDA2NTQ1NjBhMzIwYjlmYzQifQ=="/>
  </w:docVars>
  <w:rsids>
    <w:rsidRoot w:val="00000000"/>
    <w:rsid w:val="0A585627"/>
    <w:rsid w:val="279A2ECA"/>
    <w:rsid w:val="29426D61"/>
    <w:rsid w:val="2ACF0400"/>
    <w:rsid w:val="4E854D43"/>
    <w:rsid w:val="550B12F4"/>
    <w:rsid w:val="55CA66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2024-02-05T09:55:47Z</dcterms:created>
  <dcterms:modified xsi:type="dcterms:W3CDTF">2024-02-05T01:55:47Z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2024-02-05T09:55:41Z</dcterms:created>
  <dcterms:modified xsi:type="dcterms:W3CDTF">2024-02-05T01:55:41Z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2024-02-05T09:55:46Z</dcterms:created>
  <dcterms:modified xsi:type="dcterms:W3CDTF">2024-02-05T01:55:46Z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2024-02-05T09:55:47Z</dcterms:created>
  <dcterms:modified xsi:type="dcterms:W3CDTF">2024-02-05T01:55:47Z</dcterms:modified>
</cp:coreProperties>
</file>

<file path=customXml/itemProps1.xml><?xml version="1.0" encoding="utf-8"?>
<ds:datastoreItem xmlns:ds="http://schemas.openxmlformats.org/officeDocument/2006/customXml" ds:itemID="{4efdbb41-a222-470b-9a18-f901a116b4df}">
  <ds:schemaRefs/>
</ds:datastoreItem>
</file>

<file path=customXml/itemProps2.xml><?xml version="1.0" encoding="utf-8"?>
<ds:datastoreItem xmlns:ds="http://schemas.openxmlformats.org/officeDocument/2006/customXml" ds:itemID="{631ea359-0b01-4b10-b1c2-c2f4dccde4b2}">
  <ds:schemaRefs/>
</ds:datastoreItem>
</file>

<file path=customXml/itemProps3.xml><?xml version="1.0" encoding="utf-8"?>
<ds:datastoreItem xmlns:ds="http://schemas.openxmlformats.org/officeDocument/2006/customXml" ds:itemID="{48f7fbd6-cfb5-45f3-9ebb-54a9535fcb58}">
  <ds:schemaRefs/>
</ds:datastoreItem>
</file>

<file path=customXml/itemProps4.xml><?xml version="1.0" encoding="utf-8"?>
<ds:datastoreItem xmlns:ds="http://schemas.openxmlformats.org/officeDocument/2006/customXml" ds:itemID="{1f10ac1f-4381-4fd9-bd71-b25628dda240}">
  <ds:schemaRefs/>
</ds:datastoreItem>
</file>

<file path=customXml/itemProps5.xml><?xml version="1.0" encoding="utf-8"?>
<ds:datastoreItem xmlns:ds="http://schemas.openxmlformats.org/officeDocument/2006/customXml" ds:itemID="{f193387d-a923-477b-b8d6-20ee72b9a37c}">
  <ds:schemaRefs/>
</ds:datastoreItem>
</file>

<file path=customXml/itemProps6.xml><?xml version="1.0" encoding="utf-8"?>
<ds:datastoreItem xmlns:ds="http://schemas.openxmlformats.org/officeDocument/2006/customXml" ds:itemID="{a575723c-7616-4e1b-a6a7-5683fc13e71c}">
  <ds:schemaRefs/>
</ds:datastoreItem>
</file>

<file path=customXml/itemProps7.xml><?xml version="1.0" encoding="utf-8"?>
<ds:datastoreItem xmlns:ds="http://schemas.openxmlformats.org/officeDocument/2006/customXml" ds:itemID="{5417905b-846e-457d-aabc-e8c79de28c4a}">
  <ds:schemaRefs/>
</ds:datastoreItem>
</file>

<file path=customXml/itemProps8.xml><?xml version="1.0" encoding="utf-8"?>
<ds:datastoreItem xmlns:ds="http://schemas.openxmlformats.org/officeDocument/2006/customXml" ds:itemID="{e239e507-a427-4ffc-a6ef-a18bff68db67}">
  <ds:schemaRefs/>
</ds:datastoreItem>
</file>

<file path=docProps/app.xml><?xml version="1.0" encoding="utf-8"?>
<Properties xmlns="http://schemas.openxmlformats.org/officeDocument/2006/extended-properties" xmlns:vt="http://schemas.openxmlformats.org/officeDocument/2006/docPropsVTypes">
  <Pages>25</Pages>
  <Words>5214</Words>
  <Characters>6150</Characters>
  <TotalTime>4</TotalTime>
  <ScaleCrop>false</ScaleCrop>
  <LinksUpToDate>false</LinksUpToDate>
  <CharactersWithSpaces>6287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2024-02-05T09:55:00Z</dcterms:created>
  <dc:creator>Administrator</dc:creator>
  <cp:lastModifiedBy>随缘</cp:lastModifiedBy>
  <dcterms:modified xsi:type="dcterms:W3CDTF">2025-07-25T07:44:41Z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341C5714582D4E3F936FBDD103CAB44D</vt:lpwstr>
  </property>
</Properties>
</file>