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7931F">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3pt;margin-top:504.65pt;height:98.9pt;width:431.7pt;z-index:251667456;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">
            <v:path/>
            <v:fill on="f" focussize="0,0"/>
            <v:stroke on="f"/>
            <v:imagedata o:title=""/>
            <o:lock v:ext="edit"/>
            <v:textbox>
              <w:txbxContent>
                <w:p w14:paraId="42F957DE">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w:t>
                  </w:r>
                </w:p>
                <w:p w14:paraId="1277CC9F">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部门名称：昌黎县卫生健康局</w:t>
                  </w:r>
                </w:p>
              </w:txbxContent>
            </v:textbox>
          </v:rect>
        </w:pict>
      </w:r>
      <w:r>
        <w:rPr>
          <w:rFonts w:hint="eastAsia"/>
        </w:rPr>
        <w:drawing>
          <wp:anchor distT="0" distB="0" distL="0" distR="0" simplePos="0" relativeHeight="251668480"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w:pict>
          <v:rect id="_x0000_s1027" o:spid="_x0000_s1027" o:spt="1" style="position:absolute;left:0pt;margin-left:88.1pt;margin-top:625.45pt;height:40.95pt;width:256.7pt;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">
            <v:path/>
            <v:fill on="f" focussize="0,0"/>
            <v:stroke on="f"/>
            <v:imagedata o:title=""/>
            <o:lock v:ext="edit"/>
            <v:textbox>
              <w:txbxContent>
                <w:p w14:paraId="4B27501D">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w:r>
      <w:r>
        <w:pict>
          <v:group id="组合 11" o:spid="_x0000_s1028" o:spt="203" style="position:absolute;left:0pt;margin-left:-83pt;margin-top:196.75pt;height:274.95pt;width:613.65pt;z-index:251665408;mso-width-relative:page;mso-height-relative:page;"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">
            <o:lock v:ext="edit"/>
            <v:rect id="矩形 1" o:spid="_x0000_s1029"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path/>
              <v:fill on="t" focussize="0,0"/>
              <v:stroke on="f"/>
              <v:imagedata o:title=""/>
              <o:lock v:ext="edit"/>
              <v:textbox>
                <w:txbxContent>
                  <w:p w14:paraId="7D755B5E">
                    <w:pPr>
                      <w:jc w:val="center"/>
                    </w:pPr>
                  </w:p>
                </w:txbxContent>
              </v:textbox>
            </v:rect>
            <v:shape id="Image" o:spid="_x0000_s1030" o:spt="75"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path/>
              <v:fill on="f" focussize="0,0"/>
              <v:stroke on="f" joinstyle="miter"/>
              <v:imagedata r:id="rId12" o:title=""/>
              <o:lock v:ext="edit" aspectratio="t"/>
            </v:shape>
          </v:group>
        </w:pict>
      </w:r>
      <w:r>
        <w:pict>
          <v:rect id="文本框 33" o:spid="_x0000_s1031" o:spt="1" style="position:absolute;left:0pt;margin-left:-19.95pt;margin-top:126.9pt;height:44.9pt;width:432.6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">
            <v:path/>
            <v:fill on="f" focussize="0,0"/>
            <v:stroke on="f"/>
            <v:imagedata o:title=""/>
            <o:lock v:ext="edit"/>
            <v:textbox>
              <w:txbxContent>
                <w:p w14:paraId="30AB4BD6">
                  <w:pPr>
                    <w:jc w:val="distribute"/>
                    <w:rPr>
                      <w:rFonts w:ascii="思源黑体 CN Heavy" w:hAnsi="思源黑体 CN Heavy" w:eastAsia="思源黑体 CN Heavy"/>
                      <w:color w:val="A6A6A6"/>
                      <w:kern w:val="0"/>
                      <w:sz w:val="40"/>
                      <w:szCs w:val="40"/>
                    </w:rPr>
                  </w:pPr>
                </w:p>
              </w:txbxContent>
            </v:textbox>
          </v:rect>
        </w:pict>
      </w:r>
      <w:r>
        <w:pict>
          <v:group id="组合 6" o:spid="_x0000_s1032" o:spt="203" style="position:absolute;left:0pt;margin-left:-22.1pt;margin-top:55.15pt;height:68.65pt;width:451.7pt;z-index:251665408;mso-width-relative:page;mso-height-relative:page;"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o:lock v:ext="edit"/>
            <v:rect id="矩形 3" o:spid="_x0000_s1033"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path/>
              <v:fill on="f" focussize="0,0"/>
              <v:stroke on="f"/>
              <v:imagedata o:title=""/>
              <o:lock v:ext="edit"/>
              <v:textbox>
                <w:txbxContent>
                  <w:p w14:paraId="482A535F">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34" o:spt="20" style="position:absolute;left:6226;top:4450;height:0;width:870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path arrowok="t"/>
              <v:fill focussize="0,0"/>
              <v:stroke weight="2.25pt" color="#42719B" joinstyle="miter" dashstyle="1 1"/>
              <v:imagedata o:title=""/>
              <o:lock v:ext="edit"/>
            </v:line>
          </v:group>
        </w:pict>
      </w:r>
      <w:r>
        <w:pict>
          <v:rect id="文本框 32" o:spid="_x0000_s1035" o:spt="1" style="position:absolute;left:0pt;margin-left:39.25pt;margin-top:-19.3pt;height:62.05pt;width:223.1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">
            <v:path/>
            <v:fill on="f" focussize="0,0"/>
            <v:stroke on="f"/>
            <v:imagedata o:title=""/>
            <o:lock v:ext="edit"/>
            <v:textbox>
              <w:txbxContent>
                <w:p w14:paraId="49567957">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14:paraId="24B6B2F8">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14:paraId="2BA64633">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6268B1D7">
      <w:pPr>
        <w:widowControl/>
        <w:spacing w:after="160" w:line="580" w:lineRule="exact"/>
        <w:ind w:firstLine="640" w:firstLineChars="200"/>
        <w:rPr>
          <w:rFonts w:ascii="Times New Roman" w:hAnsi="Times New Roman" w:eastAsia="黑体" w:cs="Times New Roman"/>
          <w:sz w:val="32"/>
          <w:szCs w:val="32"/>
        </w:rPr>
      </w:pPr>
    </w:p>
    <w:p w14:paraId="0B439198">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部门</w:t>
      </w:r>
      <w:r>
        <w:rPr>
          <w:rFonts w:ascii="Times New Roman" w:hAnsi="Times New Roman" w:eastAsia="黑体" w:cs="Times New Roman"/>
          <w:sz w:val="32"/>
          <w:szCs w:val="32"/>
        </w:rPr>
        <w:t>概况</w:t>
      </w:r>
    </w:p>
    <w:p w14:paraId="4219D75F">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部门职责</w:t>
      </w:r>
    </w:p>
    <w:p w14:paraId="56217278">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6699CE23">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14:paraId="401D74B6">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14:paraId="41CFB977">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3E2EF338">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3F34156D">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5D7E4D2D">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265D19F9">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14:paraId="130077DE">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2735C36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41E7C5F3">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2DADC9C7">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4518B85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4BCE4B26">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37601DFC">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14:paraId="1A2435F7">
      <w:pPr>
        <w:widowControl/>
        <w:jc w:val="center"/>
        <w:rPr>
          <w:rFonts w:ascii="黑体" w:hAnsi="黑体" w:eastAsia="黑体" w:cs="黑体"/>
          <w:color w:val="000000"/>
          <w:sz w:val="48"/>
          <w:szCs w:val="48"/>
        </w:rPr>
      </w:pPr>
    </w:p>
    <w:p w14:paraId="5AD008DF">
      <w:pPr>
        <w:widowControl/>
        <w:jc w:val="center"/>
        <w:rPr>
          <w:rFonts w:ascii="黑体" w:hAnsi="黑体" w:eastAsia="黑体" w:cs="黑体"/>
          <w:color w:val="000000"/>
          <w:sz w:val="48"/>
          <w:szCs w:val="48"/>
        </w:rPr>
      </w:pPr>
    </w:p>
    <w:p w14:paraId="22715908">
      <w:pPr>
        <w:widowControl/>
        <w:jc w:val="center"/>
        <w:rPr>
          <w:rFonts w:ascii="黑体" w:hAnsi="黑体" w:eastAsia="黑体" w:cs="黑体"/>
          <w:color w:val="000000"/>
          <w:sz w:val="48"/>
          <w:szCs w:val="48"/>
        </w:rPr>
      </w:pPr>
    </w:p>
    <w:p w14:paraId="6BE0DF48">
      <w:pPr>
        <w:widowControl/>
        <w:jc w:val="center"/>
        <w:rPr>
          <w:rFonts w:ascii="黑体" w:hAnsi="黑体" w:eastAsia="黑体" w:cs="黑体"/>
          <w:color w:val="000000"/>
          <w:sz w:val="48"/>
          <w:szCs w:val="48"/>
        </w:rPr>
      </w:pPr>
    </w:p>
    <w:p w14:paraId="24E0DEFE">
      <w:pPr>
        <w:widowControl/>
        <w:jc w:val="center"/>
        <w:rPr>
          <w:rFonts w:ascii="黑体" w:hAnsi="黑体" w:eastAsia="黑体" w:cs="黑体"/>
          <w:color w:val="000000"/>
          <w:sz w:val="48"/>
          <w:szCs w:val="48"/>
        </w:rPr>
      </w:pPr>
    </w:p>
    <w:p w14:paraId="6A050FC8">
      <w:pPr>
        <w:widowControl/>
        <w:jc w:val="center"/>
        <w:rPr>
          <w:rFonts w:ascii="黑体" w:hAnsi="黑体" w:eastAsia="黑体" w:cs="黑体"/>
          <w:color w:val="000000"/>
          <w:sz w:val="48"/>
          <w:szCs w:val="48"/>
        </w:rPr>
      </w:pPr>
    </w:p>
    <w:p w14:paraId="1FBFB060">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675640</wp:posOffset>
            </wp:positionH>
            <wp:positionV relativeFrom="margin">
              <wp:posOffset>2561590</wp:posOffset>
            </wp:positionV>
            <wp:extent cx="739775" cy="739775"/>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14:paraId="4FB63C19">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部门概况</w:t>
      </w:r>
    </w:p>
    <w:p w14:paraId="178A466F">
      <w:pPr>
        <w:widowControl/>
        <w:spacing w:line="580" w:lineRule="exact"/>
        <w:ind w:firstLine="640" w:firstLineChars="200"/>
        <w:rPr>
          <w:rFonts w:eastAsia="黑体"/>
          <w:sz w:val="32"/>
          <w:szCs w:val="32"/>
        </w:rPr>
      </w:pPr>
    </w:p>
    <w:p w14:paraId="4A7C0159">
      <w:pPr>
        <w:rPr>
          <w:rFonts w:ascii="黑体" w:eastAsia="黑体" w:cs="黑体"/>
          <w:kern w:val="0"/>
          <w:sz w:val="32"/>
          <w:szCs w:val="32"/>
        </w:rPr>
      </w:pPr>
      <w:r>
        <w:rPr>
          <w:rFonts w:hint="eastAsia" w:ascii="黑体" w:eastAsia="黑体" w:cs="黑体"/>
          <w:kern w:val="0"/>
          <w:sz w:val="32"/>
          <w:szCs w:val="32"/>
        </w:rPr>
        <w:br w:type="page"/>
      </w:r>
    </w:p>
    <w:p w14:paraId="0D5CA7E3">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48BAF413">
      <w:p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根据市委办公厅、市政府办公厅《关于印发〈昌黎县人民政府职能转变和机构改革方案〉的通知》（秦办字〔2015〕22号）和县委、县政府《关于印发〈昌黎县人民政府机构改革工作实施意见〉的通知》（昌字〔2015〕7号）精神，设立昌黎县卫生和计划生育局，为县政府工作部门。</w:t>
      </w:r>
    </w:p>
    <w:p w14:paraId="2B8FCEF7">
      <w:pPr>
        <w:spacing w:line="560" w:lineRule="exact"/>
        <w:ind w:firstLine="640"/>
        <w:rPr>
          <w:rFonts w:ascii="仿宋_GB2312" w:eastAsia="仿宋_GB2312"/>
          <w:sz w:val="32"/>
          <w:szCs w:val="32"/>
        </w:rPr>
      </w:pPr>
      <w:r>
        <w:rPr>
          <w:rFonts w:hint="eastAsia" w:ascii="仿宋_GB2312" w:eastAsia="仿宋_GB2312"/>
          <w:sz w:val="32"/>
          <w:szCs w:val="32"/>
        </w:rPr>
        <w:t>（一）负责拟订卫生和计划生育总体规划，并组织实施。监督实施卫生和计划生育行业技术标准和技术规范。负责协调推进医药卫生体制改革和医疗保障，统筹规划卫生和计划生育服务资源配置。</w:t>
      </w:r>
    </w:p>
    <w:p w14:paraId="18B85F39">
      <w:pPr>
        <w:spacing w:line="560" w:lineRule="exact"/>
        <w:ind w:firstLine="640"/>
        <w:rPr>
          <w:rFonts w:ascii="仿宋_GB2312" w:eastAsia="仿宋_GB2312"/>
          <w:sz w:val="32"/>
          <w:szCs w:val="32"/>
        </w:rPr>
      </w:pPr>
      <w:r>
        <w:rPr>
          <w:rFonts w:hint="eastAsia" w:ascii="仿宋_GB2312" w:eastAsia="仿宋_GB2312"/>
          <w:sz w:val="32"/>
          <w:szCs w:val="32"/>
        </w:rPr>
        <w:t>（二）负责制定全县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及时报告突发公共卫生事件信息。</w:t>
      </w:r>
    </w:p>
    <w:p w14:paraId="4E36AA14">
      <w:pPr>
        <w:spacing w:line="560" w:lineRule="exact"/>
        <w:ind w:firstLine="640"/>
        <w:rPr>
          <w:rFonts w:ascii="仿宋_GB2312" w:eastAsia="仿宋_GB2312"/>
          <w:sz w:val="32"/>
          <w:szCs w:val="32"/>
        </w:rPr>
      </w:pPr>
      <w:r>
        <w:rPr>
          <w:rFonts w:hint="eastAsia" w:ascii="仿宋_GB2312" w:eastAsia="仿宋_GB2312"/>
          <w:sz w:val="32"/>
          <w:szCs w:val="32"/>
        </w:rPr>
        <w:t>（三）负责职责范围内的职业卫生、放射卫生、环境卫生、学校卫生、公共场所卫生、饮用水卫生的监督，负责传染病防治监督。配合市卫生和计划生育委员会做好食品安全风险监测和食品安全标准跟踪评价工作。</w:t>
      </w:r>
    </w:p>
    <w:p w14:paraId="75F08C65">
      <w:pPr>
        <w:spacing w:line="560" w:lineRule="exact"/>
        <w:ind w:firstLine="640"/>
        <w:rPr>
          <w:rFonts w:ascii="仿宋_GB2312" w:eastAsia="仿宋_GB2312"/>
          <w:sz w:val="32"/>
          <w:szCs w:val="32"/>
        </w:rPr>
      </w:pPr>
      <w:r>
        <w:rPr>
          <w:rFonts w:hint="eastAsia" w:ascii="仿宋_GB2312" w:eastAsia="仿宋_GB2312"/>
          <w:sz w:val="32"/>
          <w:szCs w:val="32"/>
        </w:rPr>
        <w:t>（四）负责拟订基层卫生和计划生育服务、妇幼卫生发展规划并组织实施，指导全县基层卫生和计划生育、妇幼卫生服务体系建设，推进基本公共卫生和计划生育服务均等化，完善基层运行新机制和乡村医生管理制度。</w:t>
      </w:r>
    </w:p>
    <w:p w14:paraId="251F1A50">
      <w:pPr>
        <w:spacing w:line="560" w:lineRule="exact"/>
        <w:ind w:firstLine="640"/>
        <w:rPr>
          <w:rFonts w:ascii="仿宋_GB2312" w:eastAsia="仿宋_GB2312"/>
          <w:sz w:val="32"/>
          <w:szCs w:val="32"/>
        </w:rPr>
      </w:pPr>
      <w:r>
        <w:rPr>
          <w:rFonts w:hint="eastAsia" w:ascii="仿宋_GB2312" w:eastAsia="仿宋_GB2312"/>
          <w:sz w:val="32"/>
          <w:szCs w:val="32"/>
        </w:rPr>
        <w:t>（五）负责组织推进公立医院改革，建立公益性为导向的绩效考核和评价运行机制，建设和谐医患关系，提出医疗服务和药品价格政策的建议。</w:t>
      </w:r>
    </w:p>
    <w:p w14:paraId="507BEA6B">
      <w:pPr>
        <w:spacing w:line="560" w:lineRule="exact"/>
        <w:ind w:firstLine="640"/>
        <w:rPr>
          <w:rFonts w:ascii="仿宋_GB2312" w:eastAsia="仿宋_GB2312"/>
          <w:sz w:val="32"/>
          <w:szCs w:val="32"/>
        </w:rPr>
      </w:pPr>
      <w:r>
        <w:rPr>
          <w:rFonts w:hint="eastAsia" w:ascii="仿宋_GB2312" w:eastAsia="仿宋_GB2312"/>
          <w:sz w:val="32"/>
          <w:szCs w:val="32"/>
        </w:rPr>
        <w:t>（六）负责组织实施国家基本药物制度，监督和规范各级医疗机构基本药物采购、配送和使用。</w:t>
      </w:r>
    </w:p>
    <w:p w14:paraId="6331700E">
      <w:pPr>
        <w:spacing w:line="560" w:lineRule="exact"/>
        <w:ind w:firstLine="640"/>
        <w:rPr>
          <w:rFonts w:ascii="仿宋_GB2312" w:eastAsia="仿宋_GB2312"/>
          <w:sz w:val="32"/>
          <w:szCs w:val="32"/>
        </w:rPr>
      </w:pPr>
      <w:r>
        <w:rPr>
          <w:rFonts w:hint="eastAsia" w:ascii="仿宋_GB2312" w:eastAsia="仿宋_GB2312"/>
          <w:sz w:val="32"/>
          <w:szCs w:val="32"/>
        </w:rPr>
        <w:t>（七）负责贯彻落实计划生育工作的方针、政策，组织监测计划生育发展动态，提出发布计划生育安全预警预报信息建议，负责出生人口性别比综合治理工作，组织、指导、协调开展打击非医学需要鉴定胎儿性别和选择性别人工终止妊娠行为。制定计划生育技术服务管理制度并监督实施，依法规范计划生育技术和药具管理工作，负责节育手术并发症和病残医学鉴定的管理工作；负责再生育审批工作；拟订优生优育和提高出生人口素质的政策措施并组织实施，降低出生缺陷人口数量，推动实施计划生育生殖健康促进计划。</w:t>
      </w:r>
    </w:p>
    <w:p w14:paraId="697AF974">
      <w:pPr>
        <w:spacing w:line="560" w:lineRule="exact"/>
        <w:ind w:firstLine="640"/>
        <w:rPr>
          <w:rFonts w:ascii="仿宋_GB2312" w:eastAsia="仿宋_GB2312"/>
          <w:sz w:val="32"/>
          <w:szCs w:val="32"/>
        </w:rPr>
      </w:pPr>
      <w:r>
        <w:rPr>
          <w:rFonts w:hint="eastAsia" w:ascii="仿宋_GB2312" w:eastAsia="仿宋_GB2312"/>
          <w:sz w:val="32"/>
          <w:szCs w:val="32"/>
        </w:rPr>
        <w:t>（八）组织建立计划生育利益导向、特殊困难计划生育家庭扶助和促进计划生育家庭发展等机制。负责协调推进有关部门、群众团体履行计划生育工作相关职责，建立与经济社会发展政策的衔接机制，提出稳定低生育水平的政策建议。</w:t>
      </w:r>
    </w:p>
    <w:p w14:paraId="468BB993">
      <w:pPr>
        <w:spacing w:line="560" w:lineRule="exact"/>
        <w:ind w:firstLine="640"/>
        <w:rPr>
          <w:rFonts w:ascii="仿宋_GB2312" w:eastAsia="仿宋_GB2312"/>
          <w:sz w:val="32"/>
          <w:szCs w:val="32"/>
        </w:rPr>
      </w:pPr>
      <w:r>
        <w:rPr>
          <w:rFonts w:hint="eastAsia" w:ascii="仿宋_GB2312" w:eastAsia="仿宋_GB2312"/>
          <w:sz w:val="32"/>
          <w:szCs w:val="32"/>
        </w:rPr>
        <w:t>（九）提出流动人口计划生育服务管理制度并组织落实，研究提出促进人口有序流动、合理分布的政策建议。推动建立流动人口卫生和计划生育信息共享和公共服务工作机制。</w:t>
      </w:r>
    </w:p>
    <w:p w14:paraId="3BCD57A9">
      <w:pPr>
        <w:spacing w:line="560" w:lineRule="exact"/>
        <w:ind w:firstLine="640"/>
        <w:rPr>
          <w:rFonts w:ascii="仿宋_GB2312" w:eastAsia="仿宋_GB2312"/>
          <w:sz w:val="32"/>
          <w:szCs w:val="32"/>
        </w:rPr>
      </w:pPr>
      <w:r>
        <w:rPr>
          <w:rFonts w:hint="eastAsia" w:ascii="仿宋_GB2312" w:eastAsia="仿宋_GB2312"/>
          <w:sz w:val="32"/>
          <w:szCs w:val="32"/>
        </w:rPr>
        <w:t>（十）组织拟订全县卫生和计划生育人才发展规划，指导卫生和计划生育人才队伍建设。加强全科医生等急需紧缺专业人才培养，建立完善住院医师和专科医师规范化培训制度并指导实施。</w:t>
      </w:r>
    </w:p>
    <w:p w14:paraId="504B0204">
      <w:pPr>
        <w:spacing w:line="560" w:lineRule="exact"/>
        <w:ind w:firstLine="640"/>
        <w:rPr>
          <w:rFonts w:ascii="仿宋_GB2312" w:eastAsia="仿宋_GB2312"/>
          <w:sz w:val="32"/>
          <w:szCs w:val="32"/>
        </w:rPr>
      </w:pPr>
      <w:r>
        <w:rPr>
          <w:rFonts w:hint="eastAsia" w:ascii="仿宋_GB2312" w:eastAsia="仿宋_GB2312"/>
          <w:sz w:val="32"/>
          <w:szCs w:val="32"/>
        </w:rPr>
        <w:t>（十一）组织拟订全县卫生和计划生育科技发展规划，组织实施卫生和计划生育相关科研项目。参与制定医学教育发展规划，协同指导院校医学教育和计划生育教育，组织实施毕业后医学教育和继续医学教育。</w:t>
      </w:r>
    </w:p>
    <w:p w14:paraId="23A96FBC">
      <w:pPr>
        <w:spacing w:line="560" w:lineRule="exact"/>
        <w:ind w:firstLine="640"/>
        <w:rPr>
          <w:rFonts w:ascii="仿宋_GB2312" w:eastAsia="仿宋_GB2312"/>
          <w:sz w:val="32"/>
          <w:szCs w:val="32"/>
        </w:rPr>
      </w:pPr>
      <w:r>
        <w:rPr>
          <w:rFonts w:hint="eastAsia" w:ascii="仿宋_GB2312" w:eastAsia="仿宋_GB2312"/>
          <w:sz w:val="32"/>
          <w:szCs w:val="32"/>
        </w:rPr>
        <w:t>（十二）指导全县卫生和计划生育工作，完善综合监督执法体系，规范执法行为，监督检查法律法规和政策措施的落实，组织查处重大违法行为。坚持计划生育目标管理责任制，负责对计划生育规划及目标管理责任制执行情况进行监督和考核评估，监督落实计划生育一票否决制。</w:t>
      </w:r>
    </w:p>
    <w:p w14:paraId="6C89C4E6">
      <w:pPr>
        <w:spacing w:line="560" w:lineRule="exact"/>
        <w:ind w:firstLine="640"/>
        <w:rPr>
          <w:rFonts w:ascii="仿宋_GB2312" w:eastAsia="仿宋_GB2312"/>
          <w:sz w:val="32"/>
          <w:szCs w:val="32"/>
        </w:rPr>
      </w:pPr>
      <w:r>
        <w:rPr>
          <w:rFonts w:hint="eastAsia" w:ascii="仿宋_GB2312" w:eastAsia="仿宋_GB2312"/>
          <w:sz w:val="32"/>
          <w:szCs w:val="32"/>
        </w:rPr>
        <w:t>（十三）负责卫生和计划生育宣传、健康教育、健康促进、交流合作和信息化建设等工作，依法组织实施统计、抽样调查和专项调查。</w:t>
      </w:r>
    </w:p>
    <w:p w14:paraId="503C5CD9">
      <w:pPr>
        <w:spacing w:line="560" w:lineRule="exact"/>
        <w:ind w:firstLine="640"/>
        <w:rPr>
          <w:rFonts w:ascii="仿宋_GB2312" w:eastAsia="仿宋_GB2312"/>
          <w:sz w:val="32"/>
          <w:szCs w:val="32"/>
        </w:rPr>
      </w:pPr>
      <w:r>
        <w:rPr>
          <w:rFonts w:hint="eastAsia" w:ascii="仿宋_GB2312" w:eastAsia="仿宋_GB2312"/>
          <w:sz w:val="32"/>
          <w:szCs w:val="32"/>
        </w:rPr>
        <w:t>（十四）负责县保健对象的医疗保健工作，负责县直部门有关干部医疗管理工作，负责重要会议与重大活动的医疗卫生保障工作。</w:t>
      </w:r>
    </w:p>
    <w:p w14:paraId="37E93859">
      <w:pPr>
        <w:spacing w:line="560" w:lineRule="exact"/>
        <w:ind w:firstLine="640"/>
        <w:rPr>
          <w:rFonts w:ascii="仿宋_GB2312" w:eastAsia="仿宋_GB2312"/>
          <w:sz w:val="32"/>
          <w:szCs w:val="32"/>
        </w:rPr>
      </w:pPr>
      <w:r>
        <w:rPr>
          <w:rFonts w:hint="eastAsia" w:ascii="仿宋_GB2312" w:eastAsia="仿宋_GB2312"/>
          <w:sz w:val="32"/>
          <w:szCs w:val="32"/>
        </w:rPr>
        <w:t>（十五）承担县爱国卫生运动委员会、县深化医药卫生体制改革领导小组、县人口和计划生育领导小组的日常工作。</w:t>
      </w:r>
    </w:p>
    <w:p w14:paraId="1BDD30B5">
      <w:pPr>
        <w:spacing w:line="560" w:lineRule="exact"/>
        <w:ind w:firstLine="640"/>
        <w:rPr>
          <w:rFonts w:ascii="仿宋_GB2312" w:eastAsia="仿宋_GB2312"/>
          <w:sz w:val="32"/>
          <w:szCs w:val="32"/>
        </w:rPr>
      </w:pPr>
      <w:r>
        <w:rPr>
          <w:rFonts w:hint="eastAsia" w:ascii="仿宋_GB2312" w:eastAsia="仿宋_GB2312"/>
          <w:sz w:val="32"/>
          <w:szCs w:val="32"/>
        </w:rPr>
        <w:t>（十六）承办县政府交办的其他事项。</w:t>
      </w:r>
    </w:p>
    <w:p w14:paraId="485A8F7F">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205F071C">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 24 个，具体情况如下：</w:t>
      </w:r>
    </w:p>
    <w:tbl>
      <w:tblPr>
        <w:tblStyle w:val="5"/>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2B71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76B03686">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4D82BA2A">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48F2C27B">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1F21BA41">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40F7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100E15E">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0601A6FA">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昌黎县卫生健康局(本级)</w:t>
            </w:r>
          </w:p>
        </w:tc>
        <w:tc>
          <w:tcPr>
            <w:tcW w:w="2445" w:type="dxa"/>
          </w:tcPr>
          <w:p w14:paraId="394E3A55">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2665" w:type="dxa"/>
          </w:tcPr>
          <w:p w14:paraId="11F632B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14:paraId="7CD6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64798B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w:t>
            </w:r>
          </w:p>
        </w:tc>
        <w:tc>
          <w:tcPr>
            <w:tcW w:w="3485" w:type="dxa"/>
            <w:vAlign w:val="bottom"/>
          </w:tcPr>
          <w:p w14:paraId="765437E8">
            <w:pPr>
              <w:tabs>
                <w:tab w:val="left" w:pos="1580"/>
              </w:tabs>
              <w:rPr>
                <w:rFonts w:ascii="仿宋_GB2312" w:eastAsia="仿宋_GB2312" w:cs="ArialUnicodeMS"/>
                <w:kern w:val="0"/>
                <w:sz w:val="28"/>
                <w:szCs w:val="28"/>
              </w:rPr>
            </w:pPr>
            <w:r>
              <w:rPr>
                <w:rFonts w:hint="eastAsia" w:ascii="仿宋" w:hAnsi="仿宋" w:eastAsia="仿宋"/>
                <w:sz w:val="28"/>
                <w:szCs w:val="28"/>
              </w:rPr>
              <w:t>昌黎县昌黎中心卫生院</w:t>
            </w:r>
          </w:p>
        </w:tc>
        <w:tc>
          <w:tcPr>
            <w:tcW w:w="2445" w:type="dxa"/>
          </w:tcPr>
          <w:p w14:paraId="1F080AC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Pr>
          <w:p w14:paraId="0EC09E66">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1743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7D7AA30">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3</w:t>
            </w:r>
          </w:p>
        </w:tc>
        <w:tc>
          <w:tcPr>
            <w:tcW w:w="3485" w:type="dxa"/>
            <w:vAlign w:val="bottom"/>
          </w:tcPr>
          <w:p w14:paraId="0B3FEAB9">
            <w:pPr>
              <w:tabs>
                <w:tab w:val="left" w:pos="1580"/>
              </w:tabs>
              <w:rPr>
                <w:rFonts w:ascii="仿宋_GB2312" w:eastAsia="仿宋_GB2312" w:cs="ArialUnicodeMS"/>
                <w:kern w:val="0"/>
                <w:sz w:val="28"/>
                <w:szCs w:val="28"/>
              </w:rPr>
            </w:pPr>
            <w:r>
              <w:rPr>
                <w:rFonts w:hint="eastAsia" w:ascii="仿宋" w:hAnsi="仿宋" w:eastAsia="仿宋"/>
                <w:sz w:val="28"/>
                <w:szCs w:val="28"/>
              </w:rPr>
              <w:t>昌黎县泥井中心卫生院</w:t>
            </w:r>
          </w:p>
        </w:tc>
        <w:tc>
          <w:tcPr>
            <w:tcW w:w="2445" w:type="dxa"/>
          </w:tcPr>
          <w:p w14:paraId="6D23DABB">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Pr>
          <w:p w14:paraId="0153DCB6">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7A20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3E40646D">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4</w:t>
            </w:r>
          </w:p>
        </w:tc>
        <w:tc>
          <w:tcPr>
            <w:tcW w:w="3485" w:type="dxa"/>
            <w:tcBorders>
              <w:bottom w:val="single" w:color="auto" w:sz="4" w:space="0"/>
            </w:tcBorders>
            <w:vAlign w:val="bottom"/>
          </w:tcPr>
          <w:p w14:paraId="2C8DE061">
            <w:pPr>
              <w:tabs>
                <w:tab w:val="left" w:pos="1580"/>
              </w:tabs>
              <w:rPr>
                <w:rFonts w:ascii="仿宋_GB2312" w:eastAsia="仿宋_GB2312" w:cs="ArialUnicodeMS"/>
                <w:kern w:val="0"/>
                <w:sz w:val="28"/>
                <w:szCs w:val="28"/>
              </w:rPr>
            </w:pPr>
            <w:r>
              <w:rPr>
                <w:rFonts w:hint="eastAsia" w:ascii="仿宋" w:hAnsi="仿宋" w:eastAsia="仿宋"/>
                <w:sz w:val="28"/>
                <w:szCs w:val="28"/>
              </w:rPr>
              <w:t>昌黎县安山中心卫生院</w:t>
            </w:r>
          </w:p>
        </w:tc>
        <w:tc>
          <w:tcPr>
            <w:tcW w:w="2445" w:type="dxa"/>
            <w:tcBorders>
              <w:bottom w:val="single" w:color="auto" w:sz="4" w:space="0"/>
            </w:tcBorders>
          </w:tcPr>
          <w:p w14:paraId="3EBA942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60328F65">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27F9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7230FCCE">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5</w:t>
            </w:r>
          </w:p>
        </w:tc>
        <w:tc>
          <w:tcPr>
            <w:tcW w:w="3485" w:type="dxa"/>
            <w:tcBorders>
              <w:bottom w:val="single" w:color="auto" w:sz="4" w:space="0"/>
            </w:tcBorders>
            <w:vAlign w:val="bottom"/>
          </w:tcPr>
          <w:p w14:paraId="03E0CE1E">
            <w:pPr>
              <w:tabs>
                <w:tab w:val="left" w:pos="1580"/>
              </w:tabs>
              <w:rPr>
                <w:rFonts w:ascii="仿宋_GB2312" w:eastAsia="仿宋_GB2312" w:cs="ArialUnicodeMS"/>
                <w:kern w:val="0"/>
                <w:sz w:val="28"/>
                <w:szCs w:val="28"/>
              </w:rPr>
            </w:pPr>
            <w:r>
              <w:rPr>
                <w:rFonts w:hint="eastAsia" w:ascii="仿宋" w:hAnsi="仿宋" w:eastAsia="仿宋"/>
                <w:sz w:val="28"/>
                <w:szCs w:val="28"/>
              </w:rPr>
              <w:t>昌黎县人民医院</w:t>
            </w:r>
          </w:p>
        </w:tc>
        <w:tc>
          <w:tcPr>
            <w:tcW w:w="2445" w:type="dxa"/>
            <w:tcBorders>
              <w:bottom w:val="single" w:color="auto" w:sz="4" w:space="0"/>
            </w:tcBorders>
          </w:tcPr>
          <w:p w14:paraId="574E48C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502EB872">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04F4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64DD1722">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6</w:t>
            </w:r>
          </w:p>
        </w:tc>
        <w:tc>
          <w:tcPr>
            <w:tcW w:w="3485" w:type="dxa"/>
            <w:tcBorders>
              <w:bottom w:val="single" w:color="auto" w:sz="4" w:space="0"/>
            </w:tcBorders>
            <w:vAlign w:val="bottom"/>
          </w:tcPr>
          <w:p w14:paraId="66D2E558">
            <w:pPr>
              <w:tabs>
                <w:tab w:val="left" w:pos="1580"/>
              </w:tabs>
              <w:rPr>
                <w:rFonts w:ascii="仿宋_GB2312" w:eastAsia="仿宋_GB2312" w:cs="ArialUnicodeMS"/>
                <w:kern w:val="0"/>
                <w:sz w:val="28"/>
                <w:szCs w:val="28"/>
              </w:rPr>
            </w:pPr>
            <w:r>
              <w:rPr>
                <w:rFonts w:hint="eastAsia" w:ascii="仿宋" w:hAnsi="仿宋" w:eastAsia="仿宋"/>
                <w:sz w:val="28"/>
                <w:szCs w:val="28"/>
              </w:rPr>
              <w:t>昌黎县妇幼保健院</w:t>
            </w:r>
          </w:p>
        </w:tc>
        <w:tc>
          <w:tcPr>
            <w:tcW w:w="2445" w:type="dxa"/>
            <w:tcBorders>
              <w:bottom w:val="single" w:color="auto" w:sz="4" w:space="0"/>
            </w:tcBorders>
          </w:tcPr>
          <w:p w14:paraId="51CACB5E">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04A8F10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78BA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156740FE">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7</w:t>
            </w:r>
          </w:p>
        </w:tc>
        <w:tc>
          <w:tcPr>
            <w:tcW w:w="3485" w:type="dxa"/>
            <w:tcBorders>
              <w:bottom w:val="single" w:color="auto" w:sz="4" w:space="0"/>
            </w:tcBorders>
            <w:vAlign w:val="bottom"/>
          </w:tcPr>
          <w:p w14:paraId="673A504D">
            <w:pPr>
              <w:tabs>
                <w:tab w:val="left" w:pos="1580"/>
              </w:tabs>
              <w:rPr>
                <w:rFonts w:ascii="仿宋_GB2312" w:eastAsia="仿宋_GB2312" w:cs="ArialUnicodeMS"/>
                <w:kern w:val="0"/>
                <w:sz w:val="28"/>
                <w:szCs w:val="28"/>
              </w:rPr>
            </w:pPr>
            <w:r>
              <w:rPr>
                <w:rFonts w:hint="eastAsia" w:ascii="仿宋" w:hAnsi="仿宋" w:eastAsia="仿宋"/>
                <w:sz w:val="28"/>
                <w:szCs w:val="28"/>
              </w:rPr>
              <w:t>昌黎县中医院</w:t>
            </w:r>
          </w:p>
        </w:tc>
        <w:tc>
          <w:tcPr>
            <w:tcW w:w="2445" w:type="dxa"/>
            <w:tcBorders>
              <w:bottom w:val="single" w:color="auto" w:sz="4" w:space="0"/>
            </w:tcBorders>
          </w:tcPr>
          <w:p w14:paraId="0D762C8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2372480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7623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51B2D48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8</w:t>
            </w:r>
          </w:p>
        </w:tc>
        <w:tc>
          <w:tcPr>
            <w:tcW w:w="3485" w:type="dxa"/>
            <w:tcBorders>
              <w:bottom w:val="single" w:color="auto" w:sz="4" w:space="0"/>
            </w:tcBorders>
            <w:vAlign w:val="bottom"/>
          </w:tcPr>
          <w:p w14:paraId="232D8299">
            <w:pPr>
              <w:tabs>
                <w:tab w:val="left" w:pos="1580"/>
              </w:tabs>
              <w:rPr>
                <w:rFonts w:ascii="仿宋_GB2312" w:eastAsia="仿宋_GB2312" w:cs="ArialUnicodeMS"/>
                <w:kern w:val="0"/>
                <w:sz w:val="28"/>
                <w:szCs w:val="28"/>
              </w:rPr>
            </w:pPr>
            <w:r>
              <w:rPr>
                <w:rFonts w:hint="eastAsia" w:ascii="仿宋" w:hAnsi="仿宋" w:eastAsia="仿宋"/>
                <w:sz w:val="28"/>
                <w:szCs w:val="28"/>
              </w:rPr>
              <w:t>昌黎县马坨店乡卫生院</w:t>
            </w:r>
          </w:p>
        </w:tc>
        <w:tc>
          <w:tcPr>
            <w:tcW w:w="2445" w:type="dxa"/>
            <w:tcBorders>
              <w:bottom w:val="single" w:color="auto" w:sz="4" w:space="0"/>
            </w:tcBorders>
          </w:tcPr>
          <w:p w14:paraId="2C46195F">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6C7CFE5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0957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1D748020">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9</w:t>
            </w:r>
          </w:p>
        </w:tc>
        <w:tc>
          <w:tcPr>
            <w:tcW w:w="3485" w:type="dxa"/>
            <w:tcBorders>
              <w:bottom w:val="single" w:color="auto" w:sz="4" w:space="0"/>
            </w:tcBorders>
            <w:vAlign w:val="bottom"/>
          </w:tcPr>
          <w:p w14:paraId="02DA6089">
            <w:pPr>
              <w:tabs>
                <w:tab w:val="left" w:pos="1580"/>
              </w:tabs>
              <w:rPr>
                <w:rFonts w:ascii="仿宋_GB2312" w:eastAsia="仿宋_GB2312" w:cs="ArialUnicodeMS"/>
                <w:kern w:val="0"/>
                <w:sz w:val="28"/>
                <w:szCs w:val="28"/>
              </w:rPr>
            </w:pPr>
            <w:r>
              <w:rPr>
                <w:rFonts w:hint="eastAsia" w:ascii="仿宋" w:hAnsi="仿宋" w:eastAsia="仿宋"/>
                <w:sz w:val="28"/>
                <w:szCs w:val="28"/>
              </w:rPr>
              <w:t>昌黎县龙家店镇卫生院</w:t>
            </w:r>
          </w:p>
        </w:tc>
        <w:tc>
          <w:tcPr>
            <w:tcW w:w="2445" w:type="dxa"/>
            <w:tcBorders>
              <w:bottom w:val="single" w:color="auto" w:sz="4" w:space="0"/>
            </w:tcBorders>
          </w:tcPr>
          <w:p w14:paraId="71685A2B">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5BE095EA">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31A9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5974C892">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10</w:t>
            </w:r>
          </w:p>
        </w:tc>
        <w:tc>
          <w:tcPr>
            <w:tcW w:w="3485" w:type="dxa"/>
            <w:tcBorders>
              <w:bottom w:val="single" w:color="auto" w:sz="4" w:space="0"/>
            </w:tcBorders>
            <w:vAlign w:val="bottom"/>
          </w:tcPr>
          <w:p w14:paraId="211664AA">
            <w:pPr>
              <w:tabs>
                <w:tab w:val="left" w:pos="1580"/>
              </w:tabs>
              <w:rPr>
                <w:rFonts w:ascii="仿宋_GB2312" w:eastAsia="仿宋_GB2312" w:cs="ArialUnicodeMS"/>
                <w:kern w:val="0"/>
                <w:sz w:val="28"/>
                <w:szCs w:val="28"/>
              </w:rPr>
            </w:pPr>
            <w:r>
              <w:rPr>
                <w:rFonts w:hint="eastAsia" w:ascii="仿宋" w:hAnsi="仿宋" w:eastAsia="仿宋"/>
                <w:sz w:val="28"/>
                <w:szCs w:val="28"/>
              </w:rPr>
              <w:t>昌黎县十里铺乡卫生院</w:t>
            </w:r>
          </w:p>
        </w:tc>
        <w:tc>
          <w:tcPr>
            <w:tcW w:w="2445" w:type="dxa"/>
            <w:tcBorders>
              <w:bottom w:val="single" w:color="auto" w:sz="4" w:space="0"/>
            </w:tcBorders>
          </w:tcPr>
          <w:p w14:paraId="045DA8B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1EBCE92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6E0C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71F584A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11</w:t>
            </w:r>
          </w:p>
        </w:tc>
        <w:tc>
          <w:tcPr>
            <w:tcW w:w="3485" w:type="dxa"/>
            <w:tcBorders>
              <w:bottom w:val="single" w:color="auto" w:sz="4" w:space="0"/>
            </w:tcBorders>
            <w:vAlign w:val="bottom"/>
          </w:tcPr>
          <w:p w14:paraId="7345E3DF">
            <w:pPr>
              <w:tabs>
                <w:tab w:val="left" w:pos="1580"/>
              </w:tabs>
              <w:rPr>
                <w:rFonts w:ascii="仿宋_GB2312" w:eastAsia="仿宋_GB2312" w:cs="ArialUnicodeMS"/>
                <w:kern w:val="0"/>
                <w:sz w:val="28"/>
                <w:szCs w:val="28"/>
              </w:rPr>
            </w:pPr>
            <w:r>
              <w:rPr>
                <w:rFonts w:hint="eastAsia" w:ascii="仿宋" w:hAnsi="仿宋" w:eastAsia="仿宋"/>
                <w:sz w:val="28"/>
                <w:szCs w:val="28"/>
              </w:rPr>
              <w:t>昌黎县茹荷镇卫生院</w:t>
            </w:r>
          </w:p>
        </w:tc>
        <w:tc>
          <w:tcPr>
            <w:tcW w:w="2445" w:type="dxa"/>
            <w:tcBorders>
              <w:bottom w:val="single" w:color="auto" w:sz="4" w:space="0"/>
            </w:tcBorders>
          </w:tcPr>
          <w:p w14:paraId="00447F6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4C32FE6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7DAA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62C1B304">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12</w:t>
            </w:r>
          </w:p>
        </w:tc>
        <w:tc>
          <w:tcPr>
            <w:tcW w:w="3485" w:type="dxa"/>
            <w:tcBorders>
              <w:bottom w:val="single" w:color="auto" w:sz="4" w:space="0"/>
            </w:tcBorders>
            <w:vAlign w:val="bottom"/>
          </w:tcPr>
          <w:p w14:paraId="0DFDFAED">
            <w:pPr>
              <w:tabs>
                <w:tab w:val="left" w:pos="1580"/>
              </w:tabs>
              <w:rPr>
                <w:rFonts w:ascii="仿宋_GB2312" w:eastAsia="仿宋_GB2312" w:cs="ArialUnicodeMS"/>
                <w:kern w:val="0"/>
                <w:sz w:val="28"/>
                <w:szCs w:val="28"/>
              </w:rPr>
            </w:pPr>
            <w:r>
              <w:rPr>
                <w:rFonts w:hint="eastAsia" w:ascii="仿宋" w:hAnsi="仿宋" w:eastAsia="仿宋"/>
                <w:sz w:val="28"/>
                <w:szCs w:val="28"/>
              </w:rPr>
              <w:t>昌黎县荒佃庄镇卫生院</w:t>
            </w:r>
          </w:p>
        </w:tc>
        <w:tc>
          <w:tcPr>
            <w:tcW w:w="2445" w:type="dxa"/>
            <w:tcBorders>
              <w:bottom w:val="single" w:color="auto" w:sz="4" w:space="0"/>
            </w:tcBorders>
          </w:tcPr>
          <w:p w14:paraId="7648727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3E1BDCC6">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69F8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5E943C05">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13</w:t>
            </w:r>
          </w:p>
        </w:tc>
        <w:tc>
          <w:tcPr>
            <w:tcW w:w="3485" w:type="dxa"/>
            <w:tcBorders>
              <w:bottom w:val="single" w:color="auto" w:sz="4" w:space="0"/>
            </w:tcBorders>
            <w:vAlign w:val="bottom"/>
          </w:tcPr>
          <w:p w14:paraId="58C3BB0F">
            <w:pPr>
              <w:tabs>
                <w:tab w:val="left" w:pos="1580"/>
              </w:tabs>
              <w:rPr>
                <w:rFonts w:ascii="仿宋_GB2312" w:eastAsia="仿宋_GB2312" w:cs="ArialUnicodeMS"/>
                <w:kern w:val="0"/>
                <w:sz w:val="28"/>
                <w:szCs w:val="28"/>
              </w:rPr>
            </w:pPr>
            <w:r>
              <w:rPr>
                <w:rFonts w:hint="eastAsia" w:ascii="仿宋" w:hAnsi="仿宋" w:eastAsia="仿宋"/>
                <w:sz w:val="28"/>
                <w:szCs w:val="28"/>
              </w:rPr>
              <w:t>昌黎县两山乡卫生院</w:t>
            </w:r>
          </w:p>
        </w:tc>
        <w:tc>
          <w:tcPr>
            <w:tcW w:w="2445" w:type="dxa"/>
            <w:tcBorders>
              <w:bottom w:val="single" w:color="auto" w:sz="4" w:space="0"/>
            </w:tcBorders>
          </w:tcPr>
          <w:p w14:paraId="39965722">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04514322">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21EE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1C0EDBCB">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14</w:t>
            </w:r>
          </w:p>
        </w:tc>
        <w:tc>
          <w:tcPr>
            <w:tcW w:w="3485" w:type="dxa"/>
            <w:tcBorders>
              <w:bottom w:val="single" w:color="auto" w:sz="4" w:space="0"/>
            </w:tcBorders>
            <w:vAlign w:val="bottom"/>
          </w:tcPr>
          <w:p w14:paraId="482B38AC">
            <w:pPr>
              <w:tabs>
                <w:tab w:val="left" w:pos="1580"/>
              </w:tabs>
              <w:rPr>
                <w:rFonts w:ascii="仿宋_GB2312" w:eastAsia="仿宋_GB2312" w:cs="ArialUnicodeMS"/>
                <w:kern w:val="0"/>
                <w:sz w:val="28"/>
                <w:szCs w:val="28"/>
              </w:rPr>
            </w:pPr>
            <w:r>
              <w:rPr>
                <w:rFonts w:hint="eastAsia" w:ascii="仿宋" w:hAnsi="仿宋" w:eastAsia="仿宋"/>
                <w:sz w:val="28"/>
                <w:szCs w:val="28"/>
              </w:rPr>
              <w:t>昌黎县黄金海岸医院</w:t>
            </w:r>
          </w:p>
        </w:tc>
        <w:tc>
          <w:tcPr>
            <w:tcW w:w="2445" w:type="dxa"/>
            <w:tcBorders>
              <w:bottom w:val="single" w:color="auto" w:sz="4" w:space="0"/>
            </w:tcBorders>
          </w:tcPr>
          <w:p w14:paraId="21F7BF2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1EF50A7A">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1129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503305DB">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15</w:t>
            </w:r>
          </w:p>
        </w:tc>
        <w:tc>
          <w:tcPr>
            <w:tcW w:w="3485" w:type="dxa"/>
            <w:tcBorders>
              <w:bottom w:val="single" w:color="auto" w:sz="4" w:space="0"/>
            </w:tcBorders>
            <w:vAlign w:val="bottom"/>
          </w:tcPr>
          <w:p w14:paraId="1F7034F5">
            <w:pPr>
              <w:tabs>
                <w:tab w:val="left" w:pos="1580"/>
              </w:tabs>
              <w:rPr>
                <w:rFonts w:ascii="仿宋_GB2312" w:eastAsia="仿宋_GB2312" w:cs="ArialUnicodeMS"/>
                <w:kern w:val="0"/>
                <w:sz w:val="28"/>
                <w:szCs w:val="28"/>
              </w:rPr>
            </w:pPr>
            <w:r>
              <w:rPr>
                <w:rFonts w:hint="eastAsia" w:ascii="仿宋" w:hAnsi="仿宋" w:eastAsia="仿宋"/>
                <w:sz w:val="28"/>
                <w:szCs w:val="28"/>
              </w:rPr>
              <w:t>昌黎县葛条港乡卫生院</w:t>
            </w:r>
          </w:p>
        </w:tc>
        <w:tc>
          <w:tcPr>
            <w:tcW w:w="2445" w:type="dxa"/>
            <w:tcBorders>
              <w:bottom w:val="single" w:color="auto" w:sz="4" w:space="0"/>
            </w:tcBorders>
          </w:tcPr>
          <w:p w14:paraId="44A0887A">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51A56D3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3359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37012C0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16</w:t>
            </w:r>
          </w:p>
        </w:tc>
        <w:tc>
          <w:tcPr>
            <w:tcW w:w="3485" w:type="dxa"/>
            <w:tcBorders>
              <w:bottom w:val="single" w:color="auto" w:sz="4" w:space="0"/>
            </w:tcBorders>
            <w:vAlign w:val="bottom"/>
          </w:tcPr>
          <w:p w14:paraId="25003519">
            <w:pPr>
              <w:tabs>
                <w:tab w:val="left" w:pos="1580"/>
              </w:tabs>
              <w:rPr>
                <w:rFonts w:ascii="仿宋_GB2312" w:eastAsia="仿宋_GB2312" w:cs="ArialUnicodeMS"/>
                <w:kern w:val="0"/>
                <w:sz w:val="28"/>
                <w:szCs w:val="28"/>
              </w:rPr>
            </w:pPr>
            <w:r>
              <w:rPr>
                <w:rFonts w:hint="eastAsia" w:ascii="仿宋" w:hAnsi="仿宋" w:eastAsia="仿宋"/>
                <w:sz w:val="28"/>
                <w:szCs w:val="28"/>
              </w:rPr>
              <w:t>昌黎县刘台庄中心卫生院</w:t>
            </w:r>
          </w:p>
        </w:tc>
        <w:tc>
          <w:tcPr>
            <w:tcW w:w="2445" w:type="dxa"/>
            <w:tcBorders>
              <w:bottom w:val="single" w:color="auto" w:sz="4" w:space="0"/>
            </w:tcBorders>
          </w:tcPr>
          <w:p w14:paraId="5037674A">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21BDD3B4">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64C5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70723E32">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17</w:t>
            </w:r>
          </w:p>
        </w:tc>
        <w:tc>
          <w:tcPr>
            <w:tcW w:w="3485" w:type="dxa"/>
            <w:tcBorders>
              <w:bottom w:val="single" w:color="auto" w:sz="4" w:space="0"/>
            </w:tcBorders>
            <w:vAlign w:val="bottom"/>
          </w:tcPr>
          <w:p w14:paraId="614905D5">
            <w:pPr>
              <w:tabs>
                <w:tab w:val="left" w:pos="1580"/>
              </w:tabs>
              <w:rPr>
                <w:rFonts w:ascii="仿宋_GB2312" w:eastAsia="仿宋_GB2312" w:cs="ArialUnicodeMS"/>
                <w:kern w:val="0"/>
                <w:sz w:val="28"/>
                <w:szCs w:val="28"/>
              </w:rPr>
            </w:pPr>
            <w:r>
              <w:rPr>
                <w:rFonts w:hint="eastAsia" w:ascii="仿宋" w:hAnsi="仿宋" w:eastAsia="仿宋"/>
                <w:sz w:val="28"/>
                <w:szCs w:val="28"/>
              </w:rPr>
              <w:t>昌黎县靖安中心卫生院</w:t>
            </w:r>
          </w:p>
        </w:tc>
        <w:tc>
          <w:tcPr>
            <w:tcW w:w="2445" w:type="dxa"/>
            <w:tcBorders>
              <w:bottom w:val="single" w:color="auto" w:sz="4" w:space="0"/>
            </w:tcBorders>
          </w:tcPr>
          <w:p w14:paraId="1BAD5D2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670A15E3">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6AD5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782C68B6">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18</w:t>
            </w:r>
          </w:p>
        </w:tc>
        <w:tc>
          <w:tcPr>
            <w:tcW w:w="3485" w:type="dxa"/>
            <w:tcBorders>
              <w:bottom w:val="single" w:color="auto" w:sz="4" w:space="0"/>
            </w:tcBorders>
            <w:vAlign w:val="bottom"/>
          </w:tcPr>
          <w:p w14:paraId="4BB951A9">
            <w:pPr>
              <w:tabs>
                <w:tab w:val="left" w:pos="1580"/>
              </w:tabs>
              <w:rPr>
                <w:rFonts w:ascii="仿宋_GB2312" w:eastAsia="仿宋_GB2312" w:cs="ArialUnicodeMS"/>
                <w:kern w:val="0"/>
                <w:sz w:val="28"/>
                <w:szCs w:val="28"/>
              </w:rPr>
            </w:pPr>
            <w:r>
              <w:rPr>
                <w:rFonts w:hint="eastAsia" w:ascii="仿宋" w:hAnsi="仿宋" w:eastAsia="仿宋"/>
                <w:sz w:val="28"/>
                <w:szCs w:val="28"/>
              </w:rPr>
              <w:t>昌黎县新集中心卫生院</w:t>
            </w:r>
          </w:p>
        </w:tc>
        <w:tc>
          <w:tcPr>
            <w:tcW w:w="2445" w:type="dxa"/>
            <w:tcBorders>
              <w:bottom w:val="single" w:color="auto" w:sz="4" w:space="0"/>
            </w:tcBorders>
          </w:tcPr>
          <w:p w14:paraId="5FD56C70">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27F7DD62">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74B8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45BA3791">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19</w:t>
            </w:r>
          </w:p>
        </w:tc>
        <w:tc>
          <w:tcPr>
            <w:tcW w:w="3485" w:type="dxa"/>
            <w:tcBorders>
              <w:bottom w:val="single" w:color="auto" w:sz="4" w:space="0"/>
            </w:tcBorders>
            <w:vAlign w:val="bottom"/>
          </w:tcPr>
          <w:p w14:paraId="42ABE222">
            <w:pPr>
              <w:tabs>
                <w:tab w:val="left" w:pos="1580"/>
              </w:tabs>
              <w:rPr>
                <w:rFonts w:ascii="仿宋_GB2312" w:eastAsia="仿宋_GB2312" w:cs="ArialUnicodeMS"/>
                <w:kern w:val="0"/>
                <w:sz w:val="28"/>
                <w:szCs w:val="28"/>
              </w:rPr>
            </w:pPr>
            <w:r>
              <w:rPr>
                <w:rFonts w:hint="eastAsia" w:ascii="仿宋" w:hAnsi="仿宋" w:eastAsia="仿宋"/>
                <w:sz w:val="28"/>
                <w:szCs w:val="28"/>
              </w:rPr>
              <w:t>昌黎县朱各庄镇卫生院</w:t>
            </w:r>
          </w:p>
        </w:tc>
        <w:tc>
          <w:tcPr>
            <w:tcW w:w="2445" w:type="dxa"/>
            <w:tcBorders>
              <w:bottom w:val="single" w:color="auto" w:sz="4" w:space="0"/>
            </w:tcBorders>
          </w:tcPr>
          <w:p w14:paraId="1B1BEEA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1A99BCAB">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07CF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22174EB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20</w:t>
            </w:r>
          </w:p>
        </w:tc>
        <w:tc>
          <w:tcPr>
            <w:tcW w:w="3485" w:type="dxa"/>
            <w:tcBorders>
              <w:bottom w:val="single" w:color="auto" w:sz="4" w:space="0"/>
            </w:tcBorders>
            <w:vAlign w:val="bottom"/>
          </w:tcPr>
          <w:p w14:paraId="7C102161">
            <w:pPr>
              <w:tabs>
                <w:tab w:val="left" w:pos="1580"/>
              </w:tabs>
              <w:rPr>
                <w:rFonts w:ascii="仿宋_GB2312" w:eastAsia="仿宋" w:cs="ArialUnicodeMS"/>
                <w:kern w:val="0"/>
                <w:sz w:val="28"/>
                <w:szCs w:val="28"/>
              </w:rPr>
            </w:pPr>
            <w:r>
              <w:rPr>
                <w:rFonts w:hint="eastAsia" w:ascii="仿宋" w:hAnsi="仿宋" w:eastAsia="仿宋"/>
                <w:sz w:val="28"/>
                <w:szCs w:val="28"/>
              </w:rPr>
              <w:t>昌黎县大蒲河镇卫生院</w:t>
            </w:r>
          </w:p>
        </w:tc>
        <w:tc>
          <w:tcPr>
            <w:tcW w:w="2445" w:type="dxa"/>
            <w:tcBorders>
              <w:bottom w:val="single" w:color="auto" w:sz="4" w:space="0"/>
            </w:tcBorders>
          </w:tcPr>
          <w:p w14:paraId="60AF14FB">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4EBA351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22B0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4E570BF5">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21</w:t>
            </w:r>
          </w:p>
        </w:tc>
        <w:tc>
          <w:tcPr>
            <w:tcW w:w="3485" w:type="dxa"/>
            <w:tcBorders>
              <w:bottom w:val="single" w:color="auto" w:sz="4" w:space="0"/>
            </w:tcBorders>
            <w:vAlign w:val="bottom"/>
          </w:tcPr>
          <w:p w14:paraId="1FF2D898">
            <w:pPr>
              <w:tabs>
                <w:tab w:val="left" w:pos="1580"/>
              </w:tabs>
              <w:rPr>
                <w:rFonts w:ascii="仿宋_GB2312" w:eastAsia="仿宋_GB2312" w:cs="ArialUnicodeMS"/>
                <w:kern w:val="0"/>
                <w:sz w:val="28"/>
                <w:szCs w:val="28"/>
              </w:rPr>
            </w:pPr>
            <w:r>
              <w:rPr>
                <w:rFonts w:hint="eastAsia" w:ascii="仿宋" w:hAnsi="仿宋" w:eastAsia="仿宋"/>
                <w:sz w:val="28"/>
                <w:szCs w:val="28"/>
              </w:rPr>
              <w:t>昌黎县疾病预防控制中心</w:t>
            </w:r>
          </w:p>
        </w:tc>
        <w:tc>
          <w:tcPr>
            <w:tcW w:w="2445" w:type="dxa"/>
            <w:tcBorders>
              <w:bottom w:val="single" w:color="auto" w:sz="4" w:space="0"/>
            </w:tcBorders>
          </w:tcPr>
          <w:p w14:paraId="77591C53">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1307542F">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14:paraId="4165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5A8FE58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22</w:t>
            </w:r>
          </w:p>
        </w:tc>
        <w:tc>
          <w:tcPr>
            <w:tcW w:w="3485" w:type="dxa"/>
            <w:tcBorders>
              <w:bottom w:val="single" w:color="auto" w:sz="4" w:space="0"/>
            </w:tcBorders>
            <w:vAlign w:val="bottom"/>
          </w:tcPr>
          <w:p w14:paraId="1BC8B87B">
            <w:pPr>
              <w:tabs>
                <w:tab w:val="left" w:pos="1580"/>
              </w:tabs>
              <w:rPr>
                <w:rFonts w:ascii="仿宋_GB2312" w:eastAsia="仿宋_GB2312" w:cs="ArialUnicodeMS"/>
                <w:kern w:val="0"/>
                <w:sz w:val="28"/>
                <w:szCs w:val="28"/>
              </w:rPr>
            </w:pPr>
            <w:r>
              <w:rPr>
                <w:rFonts w:hint="eastAsia" w:ascii="仿宋" w:hAnsi="仿宋" w:eastAsia="仿宋"/>
                <w:sz w:val="28"/>
                <w:szCs w:val="28"/>
              </w:rPr>
              <w:t>昌黎县卫生执法监督所</w:t>
            </w:r>
          </w:p>
        </w:tc>
        <w:tc>
          <w:tcPr>
            <w:tcW w:w="2445" w:type="dxa"/>
            <w:tcBorders>
              <w:bottom w:val="single" w:color="auto" w:sz="4" w:space="0"/>
            </w:tcBorders>
          </w:tcPr>
          <w:p w14:paraId="3C1C6DFD">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06C08DD2">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14:paraId="720D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12C92582">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23</w:t>
            </w:r>
          </w:p>
        </w:tc>
        <w:tc>
          <w:tcPr>
            <w:tcW w:w="3485" w:type="dxa"/>
            <w:tcBorders>
              <w:bottom w:val="single" w:color="auto" w:sz="4" w:space="0"/>
            </w:tcBorders>
          </w:tcPr>
          <w:p w14:paraId="212B49D4">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昌黎县</w:t>
            </w:r>
            <w:r>
              <w:rPr>
                <w:rFonts w:hint="eastAsia" w:ascii="仿宋" w:hAnsi="仿宋" w:eastAsia="仿宋"/>
                <w:sz w:val="28"/>
                <w:szCs w:val="28"/>
              </w:rPr>
              <w:t>计划生育技术服务站</w:t>
            </w:r>
          </w:p>
        </w:tc>
        <w:tc>
          <w:tcPr>
            <w:tcW w:w="2445" w:type="dxa"/>
            <w:tcBorders>
              <w:bottom w:val="single" w:color="auto" w:sz="4" w:space="0"/>
            </w:tcBorders>
          </w:tcPr>
          <w:p w14:paraId="196ADD3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4295B14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14:paraId="69C2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3A73D69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24</w:t>
            </w:r>
          </w:p>
        </w:tc>
        <w:tc>
          <w:tcPr>
            <w:tcW w:w="3485" w:type="dxa"/>
            <w:tcBorders>
              <w:bottom w:val="single" w:color="auto" w:sz="4" w:space="0"/>
            </w:tcBorders>
          </w:tcPr>
          <w:p w14:paraId="339905EA">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昌黎县泥井中心卫生院团林分院</w:t>
            </w:r>
          </w:p>
        </w:tc>
        <w:tc>
          <w:tcPr>
            <w:tcW w:w="2445" w:type="dxa"/>
            <w:tcBorders>
              <w:bottom w:val="single" w:color="auto" w:sz="4" w:space="0"/>
            </w:tcBorders>
          </w:tcPr>
          <w:p w14:paraId="0910D6D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Borders>
              <w:bottom w:val="single" w:color="auto" w:sz="4" w:space="0"/>
            </w:tcBorders>
          </w:tcPr>
          <w:p w14:paraId="11ABBEB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0CCE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7BAE40B9">
            <w:pPr>
              <w:spacing w:line="560" w:lineRule="exact"/>
              <w:jc w:val="left"/>
              <w:rPr>
                <w:rFonts w:ascii="仿宋_GB2312" w:eastAsia="仿宋_GB2312" w:cs="ArialUnicodeMS"/>
                <w:kern w:val="0"/>
                <w:sz w:val="28"/>
                <w:szCs w:val="28"/>
              </w:rPr>
            </w:pPr>
          </w:p>
        </w:tc>
      </w:tr>
    </w:tbl>
    <w:p w14:paraId="7F3E0D1D">
      <w:pPr>
        <w:framePr w:hSpace="180" w:wrap="around" w:vAnchor="text" w:hAnchor="page" w:xAlign="center" w:y="10"/>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14:paraId="7C20FD22">
      <w:pPr>
        <w:widowControl/>
        <w:spacing w:after="160" w:line="580" w:lineRule="exact"/>
        <w:rPr>
          <w:rFonts w:ascii="Times New Roman" w:hAnsi="Times New Roman" w:eastAsia="黑体" w:cs="Times New Roman"/>
          <w:sz w:val="32"/>
          <w:szCs w:val="32"/>
        </w:rPr>
      </w:pPr>
      <w:r>
        <w:rPr>
          <w:rFonts w:hint="eastAsia" w:ascii="仿宋_GB2312" w:eastAsia="仿宋_GB2312" w:cs="ArialUnicodeMS"/>
          <w:kern w:val="0"/>
          <w:sz w:val="28"/>
          <w:szCs w:val="28"/>
        </w:rPr>
        <w:t>2、经费形式分为财政拨款、财政性资金基本保证、财政性资金定额或定项补助、财政性资金零补助四类。</w:t>
      </w:r>
    </w:p>
    <w:p w14:paraId="2AC67A5E">
      <w:pPr>
        <w:widowControl/>
        <w:spacing w:after="160" w:line="580" w:lineRule="exact"/>
        <w:ind w:firstLine="880" w:firstLineChars="200"/>
        <w:rPr>
          <w:rFonts w:ascii="黑体" w:hAnsi="黑体" w:eastAsia="黑体" w:cs="黑体"/>
          <w:color w:val="000000"/>
          <w:sz w:val="44"/>
          <w:szCs w:val="44"/>
        </w:rPr>
      </w:pPr>
    </w:p>
    <w:p w14:paraId="0119981F">
      <w:pPr>
        <w:widowControl/>
        <w:spacing w:after="160" w:line="580" w:lineRule="exact"/>
        <w:ind w:firstLine="880" w:firstLineChars="200"/>
        <w:rPr>
          <w:rFonts w:ascii="黑体" w:hAnsi="黑体" w:eastAsia="黑体" w:cs="黑体"/>
          <w:color w:val="000000"/>
          <w:sz w:val="44"/>
          <w:szCs w:val="44"/>
        </w:rPr>
      </w:pPr>
    </w:p>
    <w:p w14:paraId="0A181743">
      <w:pPr>
        <w:widowControl/>
        <w:spacing w:after="160" w:line="580" w:lineRule="exact"/>
        <w:ind w:firstLine="880" w:firstLineChars="200"/>
        <w:rPr>
          <w:rFonts w:ascii="黑体" w:hAnsi="黑体" w:eastAsia="黑体" w:cs="黑体"/>
          <w:color w:val="000000"/>
          <w:sz w:val="44"/>
          <w:szCs w:val="44"/>
        </w:rPr>
      </w:pPr>
    </w:p>
    <w:p w14:paraId="2579E091">
      <w:pPr>
        <w:widowControl/>
        <w:spacing w:after="160" w:line="580" w:lineRule="exact"/>
        <w:ind w:firstLine="880" w:firstLineChars="200"/>
        <w:rPr>
          <w:rFonts w:ascii="黑体" w:hAnsi="黑体" w:eastAsia="黑体" w:cs="黑体"/>
          <w:color w:val="000000"/>
          <w:sz w:val="44"/>
          <w:szCs w:val="44"/>
        </w:rPr>
      </w:pPr>
    </w:p>
    <w:p w14:paraId="7093DE59">
      <w:pPr>
        <w:widowControl/>
        <w:spacing w:after="160" w:line="580" w:lineRule="exact"/>
        <w:ind w:firstLine="880" w:firstLineChars="200"/>
        <w:rPr>
          <w:rFonts w:ascii="黑体" w:hAnsi="黑体" w:eastAsia="黑体" w:cs="黑体"/>
          <w:color w:val="000000"/>
          <w:sz w:val="44"/>
          <w:szCs w:val="44"/>
        </w:rPr>
      </w:pPr>
    </w:p>
    <w:p w14:paraId="3DB4301A">
      <w:pPr>
        <w:widowControl/>
        <w:spacing w:after="160" w:line="580" w:lineRule="exact"/>
        <w:ind w:firstLine="880" w:firstLineChars="200"/>
        <w:rPr>
          <w:rFonts w:ascii="黑体" w:hAnsi="黑体" w:eastAsia="黑体" w:cs="黑体"/>
          <w:color w:val="000000"/>
          <w:sz w:val="44"/>
          <w:szCs w:val="44"/>
        </w:rPr>
      </w:pPr>
    </w:p>
    <w:p w14:paraId="608D4A79">
      <w:pPr>
        <w:widowControl/>
        <w:spacing w:after="160" w:line="580" w:lineRule="exact"/>
        <w:ind w:firstLine="880" w:firstLineChars="200"/>
        <w:rPr>
          <w:rFonts w:ascii="黑体" w:hAnsi="黑体" w:eastAsia="黑体" w:cs="黑体"/>
          <w:color w:val="000000"/>
          <w:sz w:val="44"/>
          <w:szCs w:val="44"/>
        </w:rPr>
      </w:pPr>
    </w:p>
    <w:p w14:paraId="217B590A">
      <w:pPr>
        <w:widowControl/>
        <w:spacing w:after="160" w:line="580" w:lineRule="exact"/>
        <w:ind w:firstLine="880" w:firstLineChars="200"/>
        <w:rPr>
          <w:rFonts w:ascii="黑体" w:hAnsi="黑体" w:eastAsia="黑体" w:cs="黑体"/>
          <w:color w:val="000000"/>
          <w:sz w:val="44"/>
          <w:szCs w:val="44"/>
        </w:rPr>
      </w:pPr>
    </w:p>
    <w:p w14:paraId="37486FA9">
      <w:pPr>
        <w:widowControl/>
        <w:spacing w:after="160" w:line="580" w:lineRule="exact"/>
        <w:ind w:firstLine="880" w:firstLineChars="200"/>
        <w:rPr>
          <w:rFonts w:ascii="黑体" w:hAnsi="黑体" w:eastAsia="黑体" w:cs="黑体"/>
          <w:color w:val="000000"/>
          <w:sz w:val="44"/>
          <w:szCs w:val="44"/>
        </w:rPr>
      </w:pPr>
    </w:p>
    <w:p w14:paraId="45713FA3">
      <w:pPr>
        <w:widowControl/>
        <w:spacing w:after="160" w:line="580" w:lineRule="exact"/>
        <w:ind w:firstLine="880" w:firstLineChars="200"/>
        <w:rPr>
          <w:rFonts w:ascii="黑体" w:hAnsi="黑体" w:eastAsia="黑体" w:cs="黑体"/>
          <w:color w:val="000000"/>
          <w:sz w:val="44"/>
          <w:szCs w:val="44"/>
        </w:rPr>
      </w:pPr>
    </w:p>
    <w:p w14:paraId="18566ACC">
      <w:pPr>
        <w:widowControl/>
        <w:spacing w:after="160" w:line="580" w:lineRule="exact"/>
        <w:ind w:firstLine="880" w:firstLineChars="200"/>
        <w:rPr>
          <w:rFonts w:ascii="黑体" w:hAnsi="黑体" w:eastAsia="黑体" w:cs="黑体"/>
          <w:color w:val="000000"/>
          <w:sz w:val="44"/>
          <w:szCs w:val="44"/>
        </w:rPr>
      </w:pPr>
    </w:p>
    <w:p w14:paraId="253E7D6F">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 xml:space="preserve">   </w:t>
      </w:r>
    </w:p>
    <w:p w14:paraId="198C5E46">
      <w:pPr>
        <w:widowControl/>
        <w:spacing w:after="160" w:line="580" w:lineRule="exact"/>
        <w:ind w:firstLine="880" w:firstLineChars="200"/>
        <w:rPr>
          <w:rFonts w:ascii="黑体" w:hAnsi="黑体" w:eastAsia="黑体" w:cs="黑体"/>
          <w:color w:val="000000"/>
          <w:sz w:val="44"/>
          <w:szCs w:val="44"/>
        </w:rPr>
      </w:pPr>
    </w:p>
    <w:p w14:paraId="7D4D9513">
      <w:pPr>
        <w:widowControl/>
        <w:spacing w:after="160" w:line="580" w:lineRule="exact"/>
        <w:ind w:firstLine="880" w:firstLineChars="200"/>
        <w:rPr>
          <w:rFonts w:ascii="黑体" w:hAnsi="黑体" w:eastAsia="黑体" w:cs="黑体"/>
          <w:color w:val="000000"/>
          <w:sz w:val="44"/>
          <w:szCs w:val="44"/>
        </w:rPr>
      </w:pPr>
    </w:p>
    <w:p w14:paraId="77E10F76">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60288" behindDoc="0" locked="0" layoutInCell="1" allowOverlap="1">
            <wp:simplePos x="0" y="0"/>
            <wp:positionH relativeFrom="column">
              <wp:posOffset>361315</wp:posOffset>
            </wp:positionH>
            <wp:positionV relativeFrom="margin">
              <wp:posOffset>2285365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81025" cy="571500"/>
                    </a:xfrm>
                    <a:prstGeom prst="rect">
                      <a:avLst/>
                    </a:prstGeom>
                  </pic:spPr>
                </pic:pic>
              </a:graphicData>
            </a:graphic>
          </wp:anchor>
        </w:drawing>
      </w:r>
    </w:p>
    <w:p w14:paraId="6629A8A6">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 xml:space="preserve">    第二部分  2021年度部门决算</w:t>
      </w:r>
    </w:p>
    <w:p w14:paraId="700D438D">
      <w:pPr>
        <w:widowControl/>
        <w:spacing w:after="160" w:line="580" w:lineRule="exact"/>
        <w:ind w:firstLine="880" w:firstLineChars="200"/>
        <w:rPr>
          <w:rFonts w:ascii="黑体" w:hAnsi="黑体" w:eastAsia="黑体" w:cs="黑体"/>
          <w:color w:val="000000"/>
          <w:sz w:val="44"/>
          <w:szCs w:val="44"/>
        </w:rPr>
        <w:sectPr>
          <w:headerReference r:id="rId8" w:type="default"/>
          <w:pgSz w:w="11906" w:h="16838"/>
          <w:pgMar w:top="2041" w:right="1531" w:bottom="1774" w:left="1531" w:header="851" w:footer="340" w:gutter="0"/>
          <w:pgNumType w:fmt="numberInDash"/>
          <w:cols w:space="0" w:num="1"/>
          <w:docGrid w:type="lines" w:linePitch="312" w:charSpace="0"/>
        </w:sectPr>
      </w:pPr>
    </w:p>
    <w:p w14:paraId="0EF5F5CF">
      <w:pPr>
        <w:jc w:val="center"/>
        <w:rPr>
          <w:sz w:val="20"/>
          <w:szCs w:val="20"/>
        </w:rPr>
      </w:pPr>
      <w:r>
        <w:rPr>
          <w:rFonts w:hint="eastAsia"/>
          <w:sz w:val="20"/>
          <w:szCs w:val="20"/>
        </w:rPr>
        <w:drawing>
          <wp:anchor distT="0" distB="0" distL="114300" distR="114300" simplePos="0" relativeHeight="251670528"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6EDA880D">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0CA8E310">
      <w:pPr>
        <w:widowControl/>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1042035</wp:posOffset>
            </wp:positionH>
            <wp:positionV relativeFrom="paragraph">
              <wp:posOffset>-635</wp:posOffset>
            </wp:positionV>
            <wp:extent cx="7112635" cy="5615940"/>
            <wp:effectExtent l="0" t="0" r="0" b="381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112635" cy="5615940"/>
                    </a:xfrm>
                    <a:prstGeom prst="rect">
                      <a:avLst/>
                    </a:prstGeom>
                    <a:noFill/>
                    <a:ln>
                      <a:noFill/>
                    </a:ln>
                  </pic:spPr>
                </pic:pic>
              </a:graphicData>
            </a:graphic>
          </wp:anchor>
        </w:drawing>
      </w:r>
      <w:r>
        <w:rPr>
          <w:sz w:val="20"/>
          <w:szCs w:val="20"/>
        </w:rPr>
        <w:t xml:space="preserve"> </w:t>
      </w:r>
      <w:r>
        <w:rPr>
          <w:sz w:val="20"/>
          <w:szCs w:val="20"/>
        </w:rPr>
        <w:br w:type="page"/>
      </w:r>
    </w:p>
    <w:p w14:paraId="2B988B53">
      <w:pPr>
        <w:widowControl/>
        <w:jc w:val="center"/>
        <w:rPr>
          <w:sz w:val="20"/>
          <w:szCs w:val="20"/>
        </w:rPr>
      </w:pPr>
    </w:p>
    <w:p w14:paraId="7F8D1299">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1727835</wp:posOffset>
            </wp:positionH>
            <wp:positionV relativeFrom="paragraph">
              <wp:posOffset>-155575</wp:posOffset>
            </wp:positionV>
            <wp:extent cx="5758815" cy="5615940"/>
            <wp:effectExtent l="0" t="0" r="0" b="381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758815" cy="5615940"/>
                    </a:xfrm>
                    <a:prstGeom prst="rect">
                      <a:avLst/>
                    </a:prstGeom>
                    <a:noFill/>
                    <a:ln>
                      <a:noFill/>
                    </a:ln>
                  </pic:spPr>
                </pic:pic>
              </a:graphicData>
            </a:graphic>
          </wp:anchor>
        </w:drawing>
      </w:r>
      <w:r>
        <w:rPr>
          <w:sz w:val="20"/>
          <w:szCs w:val="20"/>
        </w:rPr>
        <w:t xml:space="preserve"> </w:t>
      </w:r>
    </w:p>
    <w:p w14:paraId="54BA3A43">
      <w:pPr>
        <w:widowControl/>
        <w:jc w:val="left"/>
        <w:rPr>
          <w:sz w:val="20"/>
          <w:szCs w:val="20"/>
        </w:rPr>
      </w:pPr>
      <w:r>
        <w:rPr>
          <w:sz w:val="20"/>
          <w:szCs w:val="20"/>
        </w:rPr>
        <w:br w:type="page"/>
      </w:r>
    </w:p>
    <w:p w14:paraId="0FBE0D41">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14:paraId="36FD468C">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2118360</wp:posOffset>
            </wp:positionH>
            <wp:positionV relativeFrom="paragraph">
              <wp:posOffset>-635</wp:posOffset>
            </wp:positionV>
            <wp:extent cx="4965700" cy="5615940"/>
            <wp:effectExtent l="0" t="0" r="6350" b="381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5700" cy="5615940"/>
                    </a:xfrm>
                    <a:prstGeom prst="rect">
                      <a:avLst/>
                    </a:prstGeom>
                    <a:noFill/>
                    <a:ln>
                      <a:noFill/>
                    </a:ln>
                  </pic:spPr>
                </pic:pic>
              </a:graphicData>
            </a:graphic>
          </wp:anchor>
        </w:drawing>
      </w:r>
      <w:r>
        <w:rPr>
          <w:sz w:val="20"/>
          <w:szCs w:val="20"/>
        </w:rPr>
        <w:t xml:space="preserve"> </w:t>
      </w:r>
      <w:r>
        <w:rPr>
          <w:sz w:val="20"/>
          <w:szCs w:val="20"/>
        </w:rPr>
        <w:br w:type="page"/>
      </w:r>
    </w:p>
    <w:p w14:paraId="19CAC0B2">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14:paraId="74D70AB1">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14:paraId="307187D0">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3724275"/>
            <wp:effectExtent l="0" t="0" r="0" b="952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204960" cy="3724275"/>
                    </a:xfrm>
                    <a:prstGeom prst="rect">
                      <a:avLst/>
                    </a:prstGeom>
                    <a:noFill/>
                    <a:ln>
                      <a:noFill/>
                    </a:ln>
                  </pic:spPr>
                </pic:pic>
              </a:graphicData>
            </a:graphic>
          </wp:anchor>
        </w:drawing>
      </w:r>
      <w:r>
        <w:rPr>
          <w:sz w:val="20"/>
          <w:szCs w:val="20"/>
        </w:rPr>
        <w:t xml:space="preserve"> </w:t>
      </w:r>
      <w:r>
        <w:rPr>
          <w:sz w:val="20"/>
          <w:szCs w:val="20"/>
        </w:rPr>
        <w:br w:type="page"/>
      </w:r>
    </w:p>
    <w:p w14:paraId="58AE848B">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14:paraId="5A48D041">
      <w:pPr>
        <w:sectPr>
          <w:pgSz w:w="16838" w:h="11906" w:orient="landscape"/>
          <w:pgMar w:top="1531" w:right="1208" w:bottom="1531" w:left="1134" w:header="851" w:footer="510" w:gutter="0"/>
          <w:pgNumType w:fmt="numberInDash"/>
          <w:cols w:space="425" w:num="1"/>
          <w:docGrid w:linePitch="312" w:charSpace="0"/>
        </w:sectPr>
      </w:pPr>
    </w:p>
    <w:p w14:paraId="14AEA991">
      <w:pPr>
        <w:widowControl/>
        <w:jc w:val="center"/>
        <w:rPr>
          <w:rFonts w:eastAsia="黑体"/>
          <w:sz w:val="32"/>
          <w:szCs w:val="32"/>
        </w:rPr>
      </w:pPr>
    </w:p>
    <w:p w14:paraId="352C914A">
      <w:pPr>
        <w:widowControl/>
        <w:jc w:val="center"/>
        <w:rPr>
          <w:rFonts w:eastAsia="黑体"/>
          <w:sz w:val="32"/>
          <w:szCs w:val="32"/>
        </w:rPr>
      </w:pPr>
    </w:p>
    <w:p w14:paraId="1C38649E">
      <w:pPr>
        <w:widowControl/>
        <w:jc w:val="center"/>
        <w:rPr>
          <w:rFonts w:eastAsia="黑体"/>
          <w:sz w:val="32"/>
          <w:szCs w:val="32"/>
        </w:rPr>
      </w:pPr>
    </w:p>
    <w:p w14:paraId="3936AD35">
      <w:pPr>
        <w:widowControl/>
        <w:jc w:val="center"/>
        <w:rPr>
          <w:rFonts w:eastAsia="黑体"/>
          <w:sz w:val="32"/>
          <w:szCs w:val="32"/>
        </w:rPr>
      </w:pPr>
    </w:p>
    <w:p w14:paraId="745FC236">
      <w:pPr>
        <w:widowControl/>
        <w:jc w:val="center"/>
        <w:rPr>
          <w:rFonts w:eastAsia="黑体"/>
          <w:sz w:val="32"/>
          <w:szCs w:val="32"/>
        </w:rPr>
      </w:pPr>
    </w:p>
    <w:p w14:paraId="557939BE">
      <w:pPr>
        <w:widowControl/>
        <w:jc w:val="center"/>
        <w:rPr>
          <w:rFonts w:eastAsia="黑体"/>
          <w:sz w:val="32"/>
          <w:szCs w:val="32"/>
        </w:rPr>
      </w:pPr>
    </w:p>
    <w:p w14:paraId="7E5BB32D">
      <w:pPr>
        <w:widowControl/>
        <w:jc w:val="center"/>
        <w:rPr>
          <w:rFonts w:eastAsia="黑体"/>
          <w:sz w:val="32"/>
          <w:szCs w:val="32"/>
        </w:rPr>
      </w:pPr>
    </w:p>
    <w:p w14:paraId="2C846CE0">
      <w:pPr>
        <w:widowControl/>
        <w:jc w:val="center"/>
        <w:rPr>
          <w:rFonts w:eastAsia="黑体"/>
          <w:sz w:val="32"/>
          <w:szCs w:val="32"/>
        </w:rPr>
      </w:pPr>
    </w:p>
    <w:p w14:paraId="26CD37CA">
      <w:pPr>
        <w:widowControl/>
        <w:jc w:val="center"/>
        <w:rPr>
          <w:rFonts w:eastAsia="黑体"/>
          <w:sz w:val="32"/>
          <w:szCs w:val="32"/>
        </w:rPr>
      </w:pPr>
    </w:p>
    <w:p w14:paraId="06377843">
      <w:pPr>
        <w:widowControl/>
        <w:jc w:val="center"/>
        <w:rPr>
          <w:rFonts w:eastAsia="黑体"/>
          <w:sz w:val="32"/>
          <w:szCs w:val="32"/>
        </w:rPr>
      </w:pPr>
    </w:p>
    <w:p w14:paraId="76BB15B9">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14:paraId="350E7E83">
      <w:pPr>
        <w:widowControl/>
        <w:jc w:val="center"/>
        <w:rPr>
          <w:rFonts w:eastAsia="黑体"/>
          <w:sz w:val="32"/>
          <w:szCs w:val="32"/>
        </w:rPr>
      </w:pPr>
    </w:p>
    <w:p w14:paraId="532AFB1E">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14:paraId="23C96D3A">
      <w:pPr>
        <w:rPr>
          <w:rFonts w:ascii="黑体" w:eastAsia="黑体" w:cs="Times New Roman"/>
          <w:sz w:val="32"/>
          <w:szCs w:val="32"/>
        </w:rPr>
      </w:pPr>
      <w:r>
        <w:rPr>
          <w:rFonts w:hint="eastAsia" w:ascii="黑体" w:hAnsi="黑体" w:eastAsia="黑体" w:cs="黑体"/>
          <w:color w:val="000000"/>
          <w:sz w:val="44"/>
          <w:szCs w:val="44"/>
        </w:rPr>
        <w:br w:type="page"/>
      </w:r>
    </w:p>
    <w:p w14:paraId="02C872E2">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6DDEDE8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67132.46</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增加1008.95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增长1.5</w:t>
      </w:r>
      <w:r>
        <w:rPr>
          <w:rFonts w:hint="eastAsia" w:ascii="仿宋_GB2312" w:hAnsi="Times New Roman" w:eastAsia="仿宋" w:cs="DengXian-Regular"/>
          <w:sz w:val="32"/>
          <w:szCs w:val="32"/>
        </w:rPr>
        <w:t>0%，主要原因是基本公卫专款资金、计划生育服务资金的增加，以及事业收入、其他收入的增加。</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435D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7656904F">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79744"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14:paraId="2DA990B5">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29AC841E">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61817.91</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25766.06</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41.7</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35257.91</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57.</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793.93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1.3</w:t>
      </w:r>
      <w:r>
        <w:rPr>
          <w:rFonts w:hint="eastAsia" w:ascii="仿宋_GB2312" w:hAnsi="Times New Roman" w:eastAsia="仿宋" w:cs="DengXian-Regular"/>
          <w:sz w:val="32"/>
          <w:szCs w:val="32"/>
        </w:rPr>
        <w:t>0%。</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4442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45AA371B">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48CC84C3">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4106F37E">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62227.43</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40468.86</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65.</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21758.56</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35.</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49F0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79A9294A">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14:paraId="5B02191A">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372BDA48">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43C2DB8F">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25766.06</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增加458.88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增长1.8</w:t>
      </w:r>
      <w:r>
        <w:rPr>
          <w:rFonts w:hint="eastAsia" w:ascii="仿宋_GB2312" w:hAnsi="Times New Roman" w:eastAsia="仿宋" w:cs="DengXian-Regular"/>
          <w:sz w:val="32"/>
          <w:szCs w:val="32"/>
        </w:rPr>
        <w:t>0%，主要原因是其他健康管理事务创卫资金的增加和基层医疗机构运行经费的增加，基本公卫专款资金、计划生育服务资金的增加；本年支出</w:t>
      </w:r>
      <w:r>
        <w:rPr>
          <w:rFonts w:ascii="仿宋_GB2312" w:hAnsi="Times New Roman" w:eastAsia="仿宋" w:cs="DengXian-Regular"/>
          <w:sz w:val="32"/>
          <w:szCs w:val="32"/>
        </w:rPr>
        <w:t>29125.67</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增加4051.66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增长16.2</w:t>
      </w:r>
      <w:r>
        <w:rPr>
          <w:rFonts w:hint="eastAsia" w:ascii="仿宋_GB2312" w:hAnsi="Times New Roman" w:eastAsia="仿宋" w:cs="DengXian-Regular"/>
          <w:sz w:val="32"/>
          <w:szCs w:val="32"/>
        </w:rPr>
        <w:t>0%，主要原因是其他健康管理事务创卫资金的增加和基层医疗机构运行经费的增加，基本公卫专款资金、计划生育服务资金的增加。具体情况如下：</w:t>
      </w:r>
    </w:p>
    <w:p w14:paraId="03E87D20">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25098.06</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增加1536.88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增长6.5</w:t>
      </w:r>
      <w:r>
        <w:rPr>
          <w:rFonts w:hint="eastAsia" w:ascii="仿宋_GB2312" w:hAnsi="Times New Roman" w:eastAsia="仿宋" w:cs="DengXian-Regular"/>
          <w:sz w:val="32"/>
          <w:szCs w:val="32"/>
        </w:rPr>
        <w:t>0%；主要原因是其他健康管理事务创卫资金的增加和基层医疗机构运行经费的增加，基本公卫专款资金、计划生育服务资金的增加；本年支出</w:t>
      </w:r>
      <w:r>
        <w:rPr>
          <w:rFonts w:ascii="仿宋_GB2312" w:hAnsi="Times New Roman" w:eastAsia="仿宋" w:cs="DengXian-Regular"/>
          <w:sz w:val="32"/>
          <w:szCs w:val="32"/>
        </w:rPr>
        <w:t>28137.49</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增加5088.67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增长22.1</w:t>
      </w:r>
      <w:r>
        <w:rPr>
          <w:rFonts w:hint="eastAsia" w:ascii="仿宋_GB2312" w:hAnsi="Times New Roman" w:eastAsia="仿宋" w:cs="DengXian-Regular"/>
          <w:sz w:val="32"/>
          <w:szCs w:val="32"/>
        </w:rPr>
        <w:t>0%，主要原因是其他健康管理事务创卫资金的增加和基层医疗机构运行经费的增加，基本公卫专款资金、计划生育服务资金的增加。</w:t>
      </w:r>
    </w:p>
    <w:p w14:paraId="6ADDC3B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668.00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减少1078.00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降低61.74</w:t>
      </w:r>
      <w:r>
        <w:rPr>
          <w:rFonts w:hint="eastAsia" w:ascii="仿宋_GB2312" w:hAnsi="Times New Roman" w:eastAsia="仿宋" w:cs="DengXian-Regular"/>
          <w:sz w:val="32"/>
          <w:szCs w:val="32"/>
        </w:rPr>
        <w:t>%，主要原因是本年新增政府性基金项目申报减少；本年支出</w:t>
      </w:r>
      <w:r>
        <w:rPr>
          <w:rFonts w:ascii="仿宋_GB2312" w:hAnsi="Times New Roman" w:eastAsia="仿宋" w:cs="DengXian-Regular"/>
          <w:sz w:val="32"/>
          <w:szCs w:val="32"/>
        </w:rPr>
        <w:t>988.18</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减少1037.01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降低51.21</w:t>
      </w:r>
      <w:r>
        <w:rPr>
          <w:rFonts w:hint="eastAsia" w:ascii="仿宋_GB2312" w:hAnsi="Times New Roman" w:eastAsia="仿宋" w:cs="DengXian-Regular"/>
          <w:sz w:val="32"/>
          <w:szCs w:val="32"/>
        </w:rPr>
        <w:t>%，主要原因是本年新增政府性基金项目申报减少。</w:t>
      </w:r>
    </w:p>
    <w:p w14:paraId="668C90BC">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6BFB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76E256F0">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14:paraId="48850628">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181EC46C">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25766.06</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124.3</w:t>
      </w:r>
      <w:r>
        <w:rPr>
          <w:rFonts w:hint="eastAsia" w:ascii="仿宋_GB2312" w:hAnsi="Times New Roman" w:eastAsia="仿宋" w:cs="DengXian-Regular"/>
          <w:sz w:val="32"/>
          <w:szCs w:val="32"/>
        </w:rPr>
        <w:t>0%,比年初预算</w:t>
      </w:r>
      <w:r>
        <w:rPr>
          <w:rFonts w:ascii="仿宋_GB2312" w:hAnsi="Times New Roman" w:eastAsia="仿宋" w:cs="DengXian-Regular"/>
          <w:sz w:val="32"/>
          <w:szCs w:val="32"/>
        </w:rPr>
        <w:t>增加5033.84</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是年中追加了医疗机构能力建设、创建省级卫生健康城市资金、新冠疫情防控资金、计划生育服务资金、基本公共卫生资金、公共卫生体系建设资金，核酸车救护车资金、退休职工一次性奖励、基层医疗机构运行经费、环保设施自主验收项目、医共体清产核资审计费、公益金救助等项目预算；本年支出</w:t>
      </w:r>
      <w:r>
        <w:rPr>
          <w:rFonts w:ascii="仿宋_GB2312" w:hAnsi="Times New Roman" w:eastAsia="仿宋" w:cs="DengXian-Regular"/>
          <w:sz w:val="32"/>
          <w:szCs w:val="32"/>
        </w:rPr>
        <w:t>29125.67</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140.5</w:t>
      </w:r>
      <w:r>
        <w:rPr>
          <w:rFonts w:hint="eastAsia" w:ascii="仿宋_GB2312" w:hAnsi="Times New Roman" w:eastAsia="仿宋" w:cs="DengXian-Regular"/>
          <w:sz w:val="32"/>
          <w:szCs w:val="32"/>
        </w:rPr>
        <w:t>0%,比年初预算</w:t>
      </w:r>
      <w:r>
        <w:rPr>
          <w:rFonts w:ascii="仿宋_GB2312" w:hAnsi="Times New Roman" w:eastAsia="仿宋" w:cs="DengXian-Regular"/>
          <w:sz w:val="32"/>
          <w:szCs w:val="32"/>
        </w:rPr>
        <w:t>增加8393.45</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是年中追加了医疗机构能力建设、创建省级卫生健康城市资金、新冠疫情防控资金、计划生育服务资金、基本公共卫生资金、公共卫生体系建设资金，核酸车救护车资金、退休职工一次性奖励、基层医疗机构运行经费、环保设施自主验收项目、医共体清产核资审计费、公益金救助等项目预算。具体情况如下：</w:t>
      </w:r>
    </w:p>
    <w:p w14:paraId="4489CFE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121.1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增加4365.84</w:t>
      </w:r>
      <w:r>
        <w:rPr>
          <w:rFonts w:hint="eastAsia" w:ascii="仿宋_GB2312" w:hAnsi="Times New Roman" w:eastAsia="仿宋" w:cs="DengXian-Regular"/>
          <w:sz w:val="32"/>
          <w:szCs w:val="32"/>
        </w:rPr>
        <w:t>万元，主要是年中追加了创建省级卫生健康城市资金49.00万元、新冠疫情防控资金2033.52万元、计划生育服务资金786.00万元、基本公共卫生资金396.42万元、公共卫生体系建设资金1000.00万元，核酸车救护车资金367.50万元、退休职工一次性奖励245.00万元、基层医疗机构运行经费322.25万元等项目预算；本年支出完成年初预算</w:t>
      </w:r>
      <w:r>
        <w:rPr>
          <w:rFonts w:ascii="仿宋_GB2312" w:hAnsi="Times New Roman" w:eastAsia="仿宋" w:cs="DengXian-Regular"/>
          <w:sz w:val="32"/>
          <w:szCs w:val="32"/>
        </w:rPr>
        <w:t>135.7</w:t>
      </w:r>
      <w:r>
        <w:rPr>
          <w:rFonts w:hint="eastAsia" w:ascii="仿宋_GB2312" w:hAnsi="Times New Roman" w:eastAsia="仿宋" w:cs="DengXian-Regular"/>
          <w:sz w:val="32"/>
          <w:szCs w:val="32"/>
        </w:rPr>
        <w:t>0%，比年初预算</w:t>
      </w:r>
      <w:r>
        <w:rPr>
          <w:rFonts w:ascii="仿宋_GB2312" w:hAnsi="Times New Roman" w:eastAsia="仿宋" w:cs="DengXian-Regular"/>
          <w:sz w:val="32"/>
          <w:szCs w:val="32"/>
        </w:rPr>
        <w:t>增加7405.27</w:t>
      </w:r>
      <w:r>
        <w:rPr>
          <w:rFonts w:hint="eastAsia" w:ascii="仿宋_GB2312" w:hAnsi="Times New Roman" w:eastAsia="仿宋" w:cs="DengXian-Regular"/>
          <w:sz w:val="32"/>
          <w:szCs w:val="32"/>
        </w:rPr>
        <w:t>万元，主要是年中追加了创建省级卫生健康城市资金49.00万元、新冠疫情防控资金2033.52万元、计划生育服务资金786.00万元、基本公共卫生资金396.42万元、公共卫生体系建设资金1000.00万元，核酸车救护车资金367.50万元、退休职工一次性奖励245.00万元、基层医疗机构运行经费322.25万元等项目预算。</w:t>
      </w:r>
    </w:p>
    <w:p w14:paraId="77A0FA6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2.政府性基金预算财政拨款本年收入668.00万元，比年初预算</w:t>
      </w:r>
      <w:r>
        <w:rPr>
          <w:rFonts w:ascii="仿宋_GB2312" w:hAnsi="Times New Roman" w:eastAsia="仿宋" w:cs="DengXian-Regular"/>
          <w:sz w:val="32"/>
          <w:szCs w:val="32"/>
        </w:rPr>
        <w:t>增加668.00</w:t>
      </w:r>
      <w:r>
        <w:rPr>
          <w:rFonts w:hint="eastAsia" w:ascii="仿宋_GB2312" w:hAnsi="Times New Roman" w:eastAsia="仿宋" w:cs="DengXian-Regular"/>
          <w:sz w:val="32"/>
          <w:szCs w:val="32"/>
        </w:rPr>
        <w:t>万元，主要是县医院工程尾款639.00万元，医共体清产核资审计经费29.00万元；本年支出988.18万元，比年初预算</w:t>
      </w:r>
      <w:r>
        <w:rPr>
          <w:rFonts w:ascii="仿宋_GB2312" w:hAnsi="Times New Roman" w:eastAsia="仿宋" w:cs="DengXian-Regular"/>
          <w:sz w:val="32"/>
          <w:szCs w:val="32"/>
        </w:rPr>
        <w:t>增加988.18</w:t>
      </w:r>
      <w:r>
        <w:rPr>
          <w:rFonts w:hint="eastAsia" w:ascii="仿宋_GB2312" w:hAnsi="Times New Roman" w:eastAsia="仿宋" w:cs="DengXian-Regular"/>
          <w:sz w:val="32"/>
          <w:szCs w:val="32"/>
        </w:rPr>
        <w:t>万元，主要是县医院工程尾款639.00万元，医共体清产核资审计经费29.00万元，以及上一年度结转的专项债券资金320.18万元。</w:t>
      </w:r>
    </w:p>
    <w:p w14:paraId="70D2A52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68E2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0B795E55">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3840" behindDoc="0" locked="0" layoutInCell="1" allowOverlap="0">
                  <wp:simplePos x="0" y="0"/>
                  <wp:positionH relativeFrom="column">
                    <wp:posOffset>136525</wp:posOffset>
                  </wp:positionH>
                  <wp:positionV relativeFrom="paragraph">
                    <wp:posOffset>489585</wp:posOffset>
                  </wp:positionV>
                  <wp:extent cx="4562475" cy="2733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562475" cy="2733675"/>
                          </a:xfrm>
                          <a:prstGeom prst="rect">
                            <a:avLst/>
                          </a:prstGeom>
                          <a:noFill/>
                          <a:ln>
                            <a:noFill/>
                          </a:ln>
                        </pic:spPr>
                      </pic:pic>
                    </a:graphicData>
                  </a:graphic>
                </wp:anchor>
              </w:drawing>
            </w:r>
          </w:p>
        </w:tc>
      </w:tr>
    </w:tbl>
    <w:p w14:paraId="68C7D4C8">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31B92BB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29125.67</w:t>
      </w:r>
      <w:r>
        <w:rPr>
          <w:rFonts w:hint="eastAsia" w:ascii="仿宋_GB2312" w:hAnsi="Times New Roman" w:eastAsia="仿宋" w:cs="DengXian-Regular"/>
          <w:sz w:val="32"/>
          <w:szCs w:val="32"/>
        </w:rPr>
        <w:t>万元，主要用于以下方面。</w:t>
      </w:r>
    </w:p>
    <w:p w14:paraId="3FBAA415">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28079.51</w:t>
      </w:r>
      <w:r>
        <w:rPr>
          <w:rFonts w:hint="eastAsia" w:ascii="仿宋_GB2312" w:hAnsi="Times New Roman" w:eastAsia="仿宋" w:cs="Wingdings"/>
          <w:sz w:val="32"/>
          <w:szCs w:val="32"/>
        </w:rPr>
        <w:t>万元，占</w:t>
      </w:r>
      <w:r>
        <w:rPr>
          <w:rFonts w:ascii="仿宋_GB2312" w:hAnsi="Times New Roman" w:eastAsia="仿宋" w:cs="DengXian-Regular"/>
          <w:sz w:val="32"/>
          <w:szCs w:val="32"/>
        </w:rPr>
        <w:t>96.4</w:t>
      </w:r>
      <w:r>
        <w:rPr>
          <w:rFonts w:hint="eastAsia" w:ascii="仿宋_GB2312" w:hAnsi="Times New Roman" w:eastAsia="仿宋" w:cs="DengXian-Regular"/>
          <w:sz w:val="32"/>
          <w:szCs w:val="32"/>
        </w:rPr>
        <w:t>0</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，主要用于行政运行、其他卫生健康管理事务、公立医院改革、中医院工资、公共卫生服务、新冠疫情、计划生育服务、中医药事业发展、老龄人卫生健康、医疗保险及其他卫生健康等支出</w:t>
      </w:r>
      <w:r>
        <w:rPr>
          <w:rFonts w:hint="eastAsia" w:ascii="仿宋_GB2312" w:hAnsi="Times New Roman" w:eastAsia="仿宋" w:cs="Wingdings"/>
          <w:sz w:val="32"/>
          <w:szCs w:val="32"/>
        </w:rPr>
        <w:t>；城乡社区（类）支出</w:t>
      </w:r>
      <w:r>
        <w:rPr>
          <w:rFonts w:ascii="仿宋_GB2312" w:hAnsi="Times New Roman" w:eastAsia="仿宋" w:cs="DengXian-Regular"/>
          <w:sz w:val="32"/>
          <w:szCs w:val="32"/>
        </w:rPr>
        <w:t>668.00</w:t>
      </w:r>
      <w:r>
        <w:rPr>
          <w:rFonts w:hint="eastAsia" w:ascii="仿宋_GB2312" w:hAnsi="Times New Roman" w:eastAsia="仿宋" w:cs="Wingdings"/>
          <w:sz w:val="32"/>
          <w:szCs w:val="32"/>
        </w:rPr>
        <w:t>万元，占</w:t>
      </w:r>
      <w:r>
        <w:rPr>
          <w:rFonts w:ascii="仿宋_GB2312" w:hAnsi="Times New Roman" w:eastAsia="仿宋" w:cs="DengXian-Regular"/>
          <w:sz w:val="32"/>
          <w:szCs w:val="32"/>
        </w:rPr>
        <w:t>2.3</w:t>
      </w:r>
      <w:r>
        <w:rPr>
          <w:rFonts w:hint="eastAsia" w:ascii="仿宋_GB2312" w:hAnsi="Times New Roman" w:eastAsia="仿宋" w:cs="DengXian-Regular"/>
          <w:sz w:val="32"/>
          <w:szCs w:val="32"/>
        </w:rPr>
        <w:t>0</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，主要用于县医院工程尾款、医共体清产核资审计费等支出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57.98</w:t>
      </w:r>
      <w:r>
        <w:rPr>
          <w:rFonts w:hint="eastAsia" w:ascii="仿宋_GB2312" w:hAnsi="Times New Roman" w:eastAsia="仿宋" w:cs="Wingdings"/>
          <w:sz w:val="32"/>
          <w:szCs w:val="32"/>
        </w:rPr>
        <w:t>万元，占</w:t>
      </w:r>
      <w:r>
        <w:rPr>
          <w:rFonts w:ascii="仿宋_GB2312" w:hAnsi="Times New Roman" w:eastAsia="仿宋" w:cs="DengXian-Regular"/>
          <w:sz w:val="32"/>
          <w:szCs w:val="32"/>
        </w:rPr>
        <w:t>0.2</w:t>
      </w:r>
      <w:r>
        <w:rPr>
          <w:rFonts w:hint="eastAsia" w:ascii="仿宋_GB2312" w:hAnsi="Times New Roman" w:eastAsia="仿宋" w:cs="DengXian-Regular"/>
          <w:sz w:val="32"/>
          <w:szCs w:val="32"/>
        </w:rPr>
        <w:t>0</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，主要用于住房公积金缴纳等支出</w:t>
      </w:r>
      <w:r>
        <w:rPr>
          <w:rFonts w:hint="eastAsia" w:ascii="仿宋_GB2312" w:hAnsi="Times New Roman" w:eastAsia="仿宋" w:cs="Wingdings"/>
          <w:sz w:val="32"/>
          <w:szCs w:val="32"/>
        </w:rPr>
        <w:t>；其它（类）支出</w:t>
      </w:r>
      <w:r>
        <w:rPr>
          <w:rFonts w:ascii="仿宋_GB2312" w:hAnsi="Times New Roman" w:eastAsia="仿宋" w:cs="DengXian-Regular"/>
          <w:sz w:val="32"/>
          <w:szCs w:val="32"/>
        </w:rPr>
        <w:t>320.18</w:t>
      </w:r>
      <w:r>
        <w:rPr>
          <w:rFonts w:hint="eastAsia" w:ascii="仿宋_GB2312" w:hAnsi="Times New Roman" w:eastAsia="仿宋" w:cs="Wingdings"/>
          <w:sz w:val="32"/>
          <w:szCs w:val="32"/>
        </w:rPr>
        <w:t>万元，占</w:t>
      </w:r>
      <w:r>
        <w:rPr>
          <w:rFonts w:ascii="仿宋_GB2312" w:hAnsi="Times New Roman" w:eastAsia="仿宋" w:cs="DengXian-Regular"/>
          <w:sz w:val="32"/>
          <w:szCs w:val="32"/>
        </w:rPr>
        <w:t>1.1</w:t>
      </w:r>
      <w:r>
        <w:rPr>
          <w:rFonts w:hint="eastAsia" w:ascii="仿宋_GB2312" w:hAnsi="Times New Roman" w:eastAsia="仿宋" w:cs="DengXian-Regular"/>
          <w:sz w:val="32"/>
          <w:szCs w:val="32"/>
        </w:rPr>
        <w:t>0</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，主要用于疾控中心实验室专项债券的支出</w:t>
      </w:r>
      <w:r>
        <w:rPr>
          <w:rFonts w:hint="eastAsia" w:ascii="仿宋_GB2312" w:hAnsi="Times New Roman" w:eastAsia="仿宋" w:cs="Wingdings"/>
          <w:sz w:val="32"/>
          <w:szCs w:val="32"/>
        </w:rPr>
        <w:t>。</w:t>
      </w:r>
    </w:p>
    <w:p w14:paraId="09BB1923">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1A7D172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7388.32</w:t>
      </w:r>
      <w:r>
        <w:rPr>
          <w:rFonts w:hint="eastAsia" w:ascii="仿宋_GB2312" w:hAnsi="Times New Roman" w:eastAsia="仿宋" w:cs="DengXian-Regular"/>
          <w:sz w:val="32"/>
          <w:szCs w:val="32"/>
        </w:rPr>
        <w:t>万元，其中：</w:t>
      </w:r>
    </w:p>
    <w:p w14:paraId="0E012DE5">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5776.98</w:t>
      </w:r>
      <w:r>
        <w:rPr>
          <w:rFonts w:hint="eastAsia" w:ascii="仿宋_GB2312" w:hAnsi="Times New Roman" w:eastAsia="仿宋" w:cs="DengXian-Regular"/>
          <w:sz w:val="32"/>
          <w:szCs w:val="32"/>
        </w:rPr>
        <w:t>万元，主要包括基本工资1520.21万元、津贴补贴608.65万元、奖金23.67万元、绩效工资924.89万元、机关事业单位基本养老保险缴费638.91万元、职业年金缴费240.23万元、职工基本医疗保险缴费570.20万元、住房公积金261.70万元、其他社会保障缴费52.51万元、其他工资福利支出180.46万元、离休费61.29万元、退休费370.01万元、抚恤金54.21万元、生活补助155.89万元、医疗费补助3.00万元、奖励金109.21万元、其他对个人和家庭的补助支出1.93万元；</w:t>
      </w:r>
    </w:p>
    <w:p w14:paraId="275574FC">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1611.35</w:t>
      </w:r>
      <w:r>
        <w:rPr>
          <w:rFonts w:hint="eastAsia" w:ascii="仿宋_GB2312" w:hAnsi="Times New Roman" w:eastAsia="仿宋" w:cs="DengXian-Regular"/>
          <w:sz w:val="32"/>
          <w:szCs w:val="32"/>
        </w:rPr>
        <w:t>万元，主要包括办公费15.80万元、印刷费1.40万元、咨询费77.75万元、手续费0.56万元、水费2.53万元、电费13.75万元、邮电费6.21万元、取暖费27.33万元、差旅费0.93万元、维修（护）费90.91万元、租赁费43.58万元、专用材料费723.39万元、专用燃料费0.95万元、劳务费407.26万元、委托业务费0.50万元、工会经费60.78万元、公务用车运行维护费5.61万元、其他交通费用24.54万元、税金及附加费用0.10万元、其他商品和服务支出60.57万元、办公设备购置33.45万元、专用设备购置11.12万元、其他资本性支出2.32万元。</w:t>
      </w:r>
    </w:p>
    <w:p w14:paraId="07A2A29F">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6B61E0F7">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449E2C2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11.35</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11.35</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w:t>
      </w:r>
      <w:r>
        <w:rPr>
          <w:rFonts w:hint="eastAsia" w:ascii="仿宋_GB2312" w:hAnsi="Times New Roman" w:eastAsia="仿宋" w:cs="DengXian-Regular"/>
          <w:sz w:val="32"/>
          <w:szCs w:val="32"/>
        </w:rPr>
        <w:t>0</w:t>
      </w:r>
      <w:r>
        <w:rPr>
          <w:rFonts w:ascii="仿宋_GB2312" w:hAnsi="Times New Roman" w:eastAsia="仿宋" w:cs="DengXian-Regular"/>
          <w:sz w:val="32"/>
          <w:szCs w:val="32"/>
        </w:rPr>
        <w:t>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减少5.24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降低31.6</w:t>
      </w:r>
      <w:r>
        <w:rPr>
          <w:rFonts w:hint="eastAsia" w:ascii="仿宋_GB2312" w:hAnsi="Times New Roman" w:eastAsia="仿宋" w:cs="DengXian-Regular"/>
          <w:sz w:val="32"/>
          <w:szCs w:val="32"/>
        </w:rPr>
        <w:t>0%，主要是严格执行中央八项规定和省市关于厉行勤俭节约的有关规定，规范审批程序，严格把关，控制三公经费开支。</w:t>
      </w:r>
    </w:p>
    <w:p w14:paraId="0EE76D98">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073A2C60">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6867669E">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10.67</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10.67</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减少2.81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降低20.9</w:t>
      </w:r>
      <w:r>
        <w:rPr>
          <w:rFonts w:hint="eastAsia" w:ascii="仿宋_GB2312" w:hAnsi="Times New Roman" w:eastAsia="仿宋" w:cs="DengXian-Regular"/>
          <w:sz w:val="32"/>
          <w:szCs w:val="32"/>
        </w:rPr>
        <w:t>0%,主要是严格执行中央八项规定和省市关于厉行勤俭节约的有关规定，规范审批程序，严格把关，控制三公经费开支</w:t>
      </w:r>
      <w:r>
        <w:rPr>
          <w:rFonts w:hint="eastAsia" w:ascii="仿宋_GB2312" w:hAnsi="Times New Roman" w:eastAsia="仿宋" w:cs="DengXian-Bold"/>
          <w:sz w:val="32"/>
          <w:szCs w:val="32"/>
        </w:rPr>
        <w:t>其中：</w:t>
      </w:r>
    </w:p>
    <w:p w14:paraId="42F98F92">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3DD17DCC">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10.67</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2021年度单位公务用车保有量12辆。公车运行维护费支出较预算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减少2.81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降低20.9</w:t>
      </w:r>
      <w:r>
        <w:rPr>
          <w:rFonts w:hint="eastAsia" w:ascii="仿宋_GB2312" w:hAnsi="Times New Roman" w:eastAsia="仿宋" w:cs="DengXian-Regular"/>
          <w:sz w:val="32"/>
          <w:szCs w:val="32"/>
        </w:rPr>
        <w:t>0%，主要是严格执行中央八项规定和省市关于厉行勤俭节约的有关规定，规范审批程序，严格把关，控制三公经费开支。</w:t>
      </w:r>
    </w:p>
    <w:p w14:paraId="5F52ECA1">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0.68</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0.68</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%。本年度共发生公务接待</w:t>
      </w:r>
      <w:r>
        <w:rPr>
          <w:rFonts w:ascii="仿宋_GB2312" w:hAnsi="Times New Roman" w:eastAsia="仿宋" w:cs="DengXian-Regular"/>
          <w:sz w:val="32"/>
          <w:szCs w:val="32"/>
        </w:rPr>
        <w:t>100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220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减少2.42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降低78.1</w:t>
      </w:r>
      <w:r>
        <w:rPr>
          <w:rFonts w:hint="eastAsia" w:ascii="仿宋_GB2312" w:hAnsi="Times New Roman" w:eastAsia="仿宋" w:cs="DengXian-Regular"/>
          <w:sz w:val="32"/>
          <w:szCs w:val="32"/>
        </w:rPr>
        <w:t>0%,主要是认真贯彻落实中央八项规定精神和厉行节约要求，严格控制公务接待费支出，接待批次减少，招待人数减少。</w:t>
      </w:r>
    </w:p>
    <w:p w14:paraId="5647CEEA">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24EF82EC">
      <w:pPr>
        <w:adjustRightInd w:val="0"/>
        <w:snapToGrid w:val="0"/>
        <w:spacing w:line="580" w:lineRule="exact"/>
        <w:ind w:firstLine="643" w:firstLineChars="2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4BD4834D">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部门</w:t>
      </w:r>
      <w:r>
        <w:rPr>
          <w:rFonts w:hint="eastAsia" w:ascii="仿宋_GB2312" w:hAnsi="仿宋_GB2312" w:eastAsia="仿宋" w:cs="仿宋_GB2312"/>
          <w:sz w:val="32"/>
          <w:szCs w:val="32"/>
        </w:rPr>
        <w:t>组织对2021年度一般公共预算项目支出全面开展绩效自评，其中，一般公共预算一级项目 15个，二级项目 45个共涉及资金17784.85万元，占一般公共预算项目支出总额的100%。组织对2021年度对政府性基金预算一级项目2个，二级项目 2个,共涉及资金 668.00万元，占预算项目支出总额的 100%。</w:t>
      </w:r>
    </w:p>
    <w:p w14:paraId="0096AADF">
      <w:pPr>
        <w:adjustRightInd w:val="0"/>
        <w:snapToGrid w:val="0"/>
        <w:spacing w:line="580" w:lineRule="exact"/>
        <w:ind w:left="420" w:leftChars="200" w:firstLine="320" w:firstLineChars="100"/>
        <w:rPr>
          <w:rFonts w:hint="eastAsia" w:ascii="仿宋_GB2312" w:hAnsi="仿宋_GB2312" w:eastAsia="仿宋" w:cs="仿宋_GB2312"/>
          <w:sz w:val="32"/>
          <w:szCs w:val="32"/>
        </w:rPr>
      </w:pPr>
      <w:r>
        <w:rPr>
          <w:rFonts w:hint="eastAsia" w:ascii="仿宋_GB2312" w:hAnsi="仿宋_GB2312" w:eastAsia="仿宋" w:cs="仿宋_GB2312"/>
          <w:sz w:val="32"/>
          <w:szCs w:val="32"/>
        </w:rPr>
        <w:t>组织对“基本公共卫生”“ 计划生育奖励扶助”等一级项目开展了重点评价，涉及一般公共预算支出8008.97125万元，政府性基金预算支出668.00万元。</w:t>
      </w:r>
    </w:p>
    <w:p w14:paraId="4685C1E2">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从评价情况来看，项目绩效评价结果我县计划生育奖励扶助资金项目实施范围仅限农村部分计划生育家庭且不包括收养子女家庭，</w:t>
      </w:r>
      <w:r>
        <w:rPr>
          <w:rFonts w:hint="eastAsia" w:ascii="仿宋_GB2312" w:hAnsi="仿宋_GB2312" w:eastAsia="仿宋" w:cs="仿宋_GB2312"/>
          <w:sz w:val="32"/>
          <w:szCs w:val="32"/>
          <w:lang w:eastAsia="zh-CN"/>
        </w:rPr>
        <w:t>群众反映</w:t>
      </w:r>
      <w:r>
        <w:rPr>
          <w:rFonts w:hint="eastAsia" w:ascii="仿宋_GB2312" w:hAnsi="仿宋_GB2312" w:eastAsia="仿宋" w:cs="仿宋_GB2312"/>
          <w:sz w:val="32"/>
          <w:szCs w:val="32"/>
        </w:rPr>
        <w:t>度较大，在一定程度上影响该项目的实施效果，扣除 1分。自评得分 99 分，绩效评价等级：优。</w:t>
      </w:r>
    </w:p>
    <w:p w14:paraId="0BDA7C76">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基本公共卫生项目通过现场勘查和资料分析，并对照评价指</w:t>
      </w:r>
    </w:p>
    <w:p w14:paraId="7E85CD36">
      <w:pPr>
        <w:adjustRightInd w:val="0"/>
        <w:snapToGrid w:val="0"/>
        <w:spacing w:line="580" w:lineRule="exact"/>
        <w:rPr>
          <w:rFonts w:hint="eastAsia" w:ascii="仿宋_GB2312" w:hAnsi="仿宋_GB2312" w:eastAsia="仿宋" w:cs="仿宋_GB2312"/>
          <w:sz w:val="32"/>
          <w:szCs w:val="32"/>
        </w:rPr>
      </w:pPr>
      <w:r>
        <w:rPr>
          <w:rFonts w:hint="eastAsia" w:ascii="仿宋_GB2312" w:hAnsi="仿宋_GB2312" w:eastAsia="仿宋" w:cs="仿宋_GB2312"/>
          <w:sz w:val="32"/>
          <w:szCs w:val="32"/>
        </w:rPr>
        <w:t>标和标准进行评议与打分，2021年度基本公共卫生服务经费项目综合评价得分 85.5 分，其中管理绩效指标 53.5 分，结果绩效指标 32 分，绩效评价等级为良好。</w:t>
      </w:r>
    </w:p>
    <w:p w14:paraId="419F6942">
      <w:pPr>
        <w:adjustRightInd w:val="0"/>
        <w:snapToGrid w:val="0"/>
        <w:spacing w:line="580" w:lineRule="exact"/>
        <w:ind w:left="420" w:leftChars="200" w:firstLine="321" w:firstLineChars="1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14:paraId="07C3F86D">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本部门在今年部门决算公开中反映计划生育奖励扶助项目</w:t>
      </w:r>
    </w:p>
    <w:p w14:paraId="6921A958">
      <w:pPr>
        <w:adjustRightInd w:val="0"/>
        <w:snapToGrid w:val="0"/>
        <w:spacing w:line="580" w:lineRule="exact"/>
        <w:rPr>
          <w:rFonts w:hint="eastAsia" w:ascii="仿宋_GB2312" w:hAnsi="仿宋_GB2312" w:eastAsia="仿宋" w:cs="仿宋_GB2312"/>
          <w:sz w:val="32"/>
          <w:szCs w:val="32"/>
        </w:rPr>
      </w:pPr>
      <w:r>
        <w:rPr>
          <w:rFonts w:hint="eastAsia" w:ascii="仿宋_GB2312" w:hAnsi="仿宋_GB2312" w:eastAsia="仿宋" w:cs="仿宋_GB2312"/>
          <w:sz w:val="32"/>
          <w:szCs w:val="32"/>
        </w:rPr>
        <w:t>及基本公共卫生项目等 2 个项目绩效自评结果。</w:t>
      </w:r>
    </w:p>
    <w:p w14:paraId="7F7ADD85">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计划生育奖励扶助项目自评综述：根据年初设定的绩效目标，计划生育奖励扶助项目绩效自评得分为99分（绩效自评表附后）。全年预算数4250.29万元，执行数为4250.29万元，完成预算的100%。</w:t>
      </w:r>
    </w:p>
    <w:p w14:paraId="502E61E0">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项目绩效目标完成情况：一是数量指标：2021年度，我县资格确认农村部分计划生育家庭奖励扶助对象35953人,实际发放35950人（3人在资金发放前，发现有退休金，取消资格）符合条件奖扶对象资金发放完成率 100% 。资格确认计划生育家庭特别扶助1472人，实际发放1471人（1人女方未够龄），符合条件奖扶对象资金发放完成率 100% 。其中: 资格确认计划生育手术并发症99人,实际发放98人（1人死亡），独生子女死亡864人，独生子女伤残509人 。二是质量指标：我县按照国家、省、市既定资格审核、公开公示、录入等条件、要求对新增扶助对象进行资格审核、公示、录入，对已确认扶助对象和申请救助家庭的信息进行全部核查确认，质量指标达到 100%。三是时效指标：县级财政部门依据卫健部门核定的奖扶、特扶对象人数和需救助特殊家庭人数，按照财政预算法要求，及时足额拨付资金，时效指标完成率达到 100%。四是成本指标：我县对已确认符合条件的奖扶、特扶对象，按照奖励扶助对象每人每年 960 元，手术并发症2400元,独生子女伤残8160元,死亡家庭父母每人每年10920 元。成本指标完成率 100%。</w:t>
      </w:r>
    </w:p>
    <w:p w14:paraId="3E0B44FC">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发现的主要问题及原因：奖励扶助制度的覆盖面较小，仅覆</w:t>
      </w:r>
    </w:p>
    <w:p w14:paraId="7192F7EE">
      <w:pPr>
        <w:adjustRightInd w:val="0"/>
        <w:snapToGrid w:val="0"/>
        <w:spacing w:line="580" w:lineRule="exact"/>
        <w:rPr>
          <w:rFonts w:hint="eastAsia" w:ascii="仿宋_GB2312" w:hAnsi="仿宋_GB2312" w:eastAsia="仿宋" w:cs="仿宋_GB2312"/>
          <w:sz w:val="32"/>
          <w:szCs w:val="32"/>
        </w:rPr>
      </w:pPr>
      <w:r>
        <w:rPr>
          <w:rFonts w:hint="eastAsia" w:ascii="仿宋_GB2312" w:hAnsi="仿宋_GB2312" w:eastAsia="仿宋" w:cs="仿宋_GB2312"/>
          <w:sz w:val="32"/>
          <w:szCs w:val="32"/>
        </w:rPr>
        <w:t>盖农村，且随着时代的发展，扶助条件需进一步调整。</w:t>
      </w:r>
    </w:p>
    <w:p w14:paraId="31CB22D6">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下一步改进措施：扩大奖励扶助制度的覆盖面，将农村部分</w:t>
      </w:r>
    </w:p>
    <w:p w14:paraId="1D81DD38">
      <w:pPr>
        <w:adjustRightInd w:val="0"/>
        <w:snapToGrid w:val="0"/>
        <w:spacing w:line="580" w:lineRule="exact"/>
        <w:rPr>
          <w:rFonts w:hint="eastAsia" w:ascii="仿宋_GB2312" w:hAnsi="仿宋_GB2312" w:eastAsia="仿宋" w:cs="仿宋_GB2312"/>
          <w:sz w:val="32"/>
          <w:szCs w:val="32"/>
        </w:rPr>
      </w:pPr>
      <w:r>
        <w:rPr>
          <w:rFonts w:hint="eastAsia" w:ascii="仿宋_GB2312" w:hAnsi="仿宋_GB2312" w:eastAsia="仿宋" w:cs="仿宋_GB2312"/>
          <w:sz w:val="32"/>
          <w:szCs w:val="32"/>
        </w:rPr>
        <w:t>计划生育家庭奖励扶助制度扩大到城镇，将未生育收养子女家庭</w:t>
      </w:r>
    </w:p>
    <w:p w14:paraId="0C0EF874">
      <w:pPr>
        <w:adjustRightInd w:val="0"/>
        <w:snapToGrid w:val="0"/>
        <w:spacing w:line="580" w:lineRule="exact"/>
        <w:rPr>
          <w:rFonts w:hint="eastAsia" w:ascii="仿宋_GB2312" w:hAnsi="仿宋_GB2312" w:eastAsia="仿宋" w:cs="仿宋_GB2312"/>
          <w:sz w:val="32"/>
          <w:szCs w:val="32"/>
        </w:rPr>
      </w:pPr>
      <w:r>
        <w:rPr>
          <w:rFonts w:hint="eastAsia" w:ascii="仿宋_GB2312" w:hAnsi="仿宋_GB2312" w:eastAsia="仿宋" w:cs="仿宋_GB2312"/>
          <w:sz w:val="32"/>
          <w:szCs w:val="32"/>
        </w:rPr>
        <w:t>列入扶助范围。</w:t>
      </w:r>
    </w:p>
    <w:tbl>
      <w:tblPr>
        <w:tblStyle w:val="5"/>
        <w:tblW w:w="8967" w:type="dxa"/>
        <w:tblInd w:w="93" w:type="dxa"/>
        <w:tblLayout w:type="fixed"/>
        <w:tblCellMar>
          <w:top w:w="0" w:type="dxa"/>
          <w:left w:w="108" w:type="dxa"/>
          <w:bottom w:w="0" w:type="dxa"/>
          <w:right w:w="108" w:type="dxa"/>
        </w:tblCellMar>
      </w:tblPr>
      <w:tblGrid>
        <w:gridCol w:w="1716"/>
        <w:gridCol w:w="1441"/>
        <w:gridCol w:w="1026"/>
        <w:gridCol w:w="948"/>
        <w:gridCol w:w="515"/>
        <w:gridCol w:w="616"/>
        <w:gridCol w:w="1282"/>
        <w:gridCol w:w="456"/>
        <w:gridCol w:w="967"/>
      </w:tblGrid>
      <w:tr w14:paraId="6E792B39">
        <w:tblPrEx>
          <w:tblCellMar>
            <w:top w:w="0" w:type="dxa"/>
            <w:left w:w="108" w:type="dxa"/>
            <w:bottom w:w="0" w:type="dxa"/>
            <w:right w:w="108" w:type="dxa"/>
          </w:tblCellMar>
        </w:tblPrEx>
        <w:trPr>
          <w:trHeight w:val="720" w:hRule="atLeast"/>
        </w:trPr>
        <w:tc>
          <w:tcPr>
            <w:tcW w:w="8967" w:type="dxa"/>
            <w:gridSpan w:val="9"/>
            <w:tcBorders>
              <w:top w:val="nil"/>
              <w:left w:val="nil"/>
              <w:bottom w:val="nil"/>
              <w:right w:val="nil"/>
            </w:tcBorders>
            <w:shd w:val="clear" w:color="auto" w:fill="auto"/>
            <w:noWrap/>
            <w:vAlign w:val="center"/>
          </w:tcPr>
          <w:p w14:paraId="4393E179">
            <w:pPr>
              <w:widowControl/>
              <w:jc w:val="center"/>
              <w:rPr>
                <w:rFonts w:hint="eastAsia" w:ascii="黑体" w:hAnsi="黑体" w:eastAsia="黑体"/>
                <w:color w:val="000000"/>
                <w:kern w:val="0"/>
                <w:sz w:val="40"/>
                <w:szCs w:val="40"/>
              </w:rPr>
            </w:pPr>
          </w:p>
          <w:p w14:paraId="5DDCFD24">
            <w:pPr>
              <w:widowControl/>
              <w:jc w:val="center"/>
              <w:rPr>
                <w:rFonts w:hint="eastAsia" w:ascii="黑体" w:hAnsi="黑体" w:eastAsia="黑体"/>
                <w:color w:val="000000"/>
                <w:kern w:val="0"/>
                <w:sz w:val="40"/>
                <w:szCs w:val="40"/>
              </w:rPr>
            </w:pPr>
          </w:p>
          <w:p w14:paraId="7B73B0D4">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14:paraId="368AA710">
        <w:tblPrEx>
          <w:tblCellMar>
            <w:top w:w="0" w:type="dxa"/>
            <w:left w:w="108" w:type="dxa"/>
            <w:bottom w:w="0" w:type="dxa"/>
            <w:right w:w="108" w:type="dxa"/>
          </w:tblCellMar>
        </w:tblPrEx>
        <w:trPr>
          <w:trHeight w:val="582" w:hRule="atLeast"/>
        </w:trPr>
        <w:tc>
          <w:tcPr>
            <w:tcW w:w="3157" w:type="dxa"/>
            <w:gridSpan w:val="2"/>
            <w:tcBorders>
              <w:top w:val="nil"/>
              <w:left w:val="nil"/>
              <w:bottom w:val="nil"/>
              <w:right w:val="nil"/>
            </w:tcBorders>
            <w:shd w:val="clear" w:color="auto" w:fill="auto"/>
            <w:noWrap/>
            <w:vAlign w:val="center"/>
          </w:tcPr>
          <w:p w14:paraId="0EDC1DD4">
            <w:pPr>
              <w:widowControl/>
              <w:jc w:val="center"/>
              <w:rPr>
                <w:rFonts w:ascii="宋体" w:hAnsi="宋体"/>
                <w:color w:val="000000"/>
                <w:kern w:val="0"/>
                <w:sz w:val="16"/>
                <w:szCs w:val="16"/>
              </w:rPr>
            </w:pPr>
            <w:r>
              <w:rPr>
                <w:rFonts w:hint="eastAsia" w:ascii="宋体" w:hAnsi="宋体"/>
                <w:color w:val="000000"/>
                <w:kern w:val="0"/>
                <w:sz w:val="16"/>
                <w:szCs w:val="16"/>
              </w:rPr>
              <w:t>填报单位（盖章）：昌黎县卫生健康局</w:t>
            </w:r>
          </w:p>
        </w:tc>
        <w:tc>
          <w:tcPr>
            <w:tcW w:w="1026" w:type="dxa"/>
            <w:tcBorders>
              <w:top w:val="nil"/>
              <w:left w:val="nil"/>
              <w:bottom w:val="nil"/>
              <w:right w:val="nil"/>
            </w:tcBorders>
            <w:shd w:val="clear" w:color="auto" w:fill="auto"/>
            <w:noWrap/>
            <w:vAlign w:val="center"/>
          </w:tcPr>
          <w:p w14:paraId="1F0A4A8E">
            <w:pPr>
              <w:widowControl/>
              <w:jc w:val="center"/>
              <w:rPr>
                <w:rFonts w:ascii="宋体" w:hAnsi="宋体"/>
                <w:color w:val="000000"/>
                <w:kern w:val="0"/>
                <w:sz w:val="16"/>
                <w:szCs w:val="16"/>
              </w:rPr>
            </w:pPr>
          </w:p>
        </w:tc>
        <w:tc>
          <w:tcPr>
            <w:tcW w:w="948" w:type="dxa"/>
            <w:tcBorders>
              <w:top w:val="nil"/>
              <w:left w:val="nil"/>
              <w:bottom w:val="nil"/>
              <w:right w:val="nil"/>
            </w:tcBorders>
            <w:shd w:val="clear" w:color="auto" w:fill="auto"/>
            <w:noWrap/>
            <w:vAlign w:val="center"/>
          </w:tcPr>
          <w:p w14:paraId="5034E8CA">
            <w:pPr>
              <w:widowControl/>
              <w:jc w:val="center"/>
              <w:rPr>
                <w:rFonts w:ascii="宋体" w:hAnsi="宋体"/>
                <w:color w:val="000000"/>
                <w:kern w:val="0"/>
                <w:sz w:val="16"/>
                <w:szCs w:val="16"/>
              </w:rPr>
            </w:pPr>
          </w:p>
        </w:tc>
        <w:tc>
          <w:tcPr>
            <w:tcW w:w="515" w:type="dxa"/>
            <w:tcBorders>
              <w:top w:val="nil"/>
              <w:left w:val="nil"/>
              <w:bottom w:val="nil"/>
              <w:right w:val="nil"/>
            </w:tcBorders>
            <w:shd w:val="clear" w:color="auto" w:fill="auto"/>
            <w:noWrap/>
            <w:vAlign w:val="center"/>
          </w:tcPr>
          <w:p w14:paraId="6ADC3F36">
            <w:pPr>
              <w:widowControl/>
              <w:jc w:val="center"/>
              <w:rPr>
                <w:rFonts w:ascii="宋体" w:hAnsi="宋体"/>
                <w:color w:val="000000"/>
                <w:kern w:val="0"/>
                <w:sz w:val="16"/>
                <w:szCs w:val="16"/>
              </w:rPr>
            </w:pPr>
          </w:p>
        </w:tc>
        <w:tc>
          <w:tcPr>
            <w:tcW w:w="616" w:type="dxa"/>
            <w:tcBorders>
              <w:top w:val="nil"/>
              <w:left w:val="nil"/>
              <w:bottom w:val="nil"/>
              <w:right w:val="nil"/>
            </w:tcBorders>
            <w:shd w:val="clear" w:color="auto" w:fill="auto"/>
            <w:noWrap/>
            <w:vAlign w:val="center"/>
          </w:tcPr>
          <w:p w14:paraId="1BAED93D">
            <w:pPr>
              <w:widowControl/>
              <w:jc w:val="center"/>
              <w:rPr>
                <w:rFonts w:ascii="宋体" w:hAnsi="宋体"/>
                <w:color w:val="000000"/>
                <w:kern w:val="0"/>
                <w:sz w:val="16"/>
                <w:szCs w:val="16"/>
              </w:rPr>
            </w:pPr>
          </w:p>
        </w:tc>
        <w:tc>
          <w:tcPr>
            <w:tcW w:w="1282" w:type="dxa"/>
            <w:tcBorders>
              <w:top w:val="nil"/>
              <w:left w:val="nil"/>
              <w:bottom w:val="nil"/>
              <w:right w:val="nil"/>
            </w:tcBorders>
            <w:shd w:val="clear" w:color="auto" w:fill="auto"/>
            <w:noWrap/>
            <w:vAlign w:val="center"/>
          </w:tcPr>
          <w:p w14:paraId="17D9FDD4">
            <w:pPr>
              <w:widowControl/>
              <w:jc w:val="center"/>
              <w:rPr>
                <w:rFonts w:ascii="宋体" w:hAnsi="宋体"/>
                <w:color w:val="000000"/>
                <w:kern w:val="0"/>
                <w:sz w:val="16"/>
                <w:szCs w:val="16"/>
              </w:rPr>
            </w:pPr>
          </w:p>
        </w:tc>
        <w:tc>
          <w:tcPr>
            <w:tcW w:w="1423" w:type="dxa"/>
            <w:gridSpan w:val="2"/>
            <w:tcBorders>
              <w:top w:val="nil"/>
              <w:left w:val="nil"/>
              <w:bottom w:val="nil"/>
              <w:right w:val="nil"/>
            </w:tcBorders>
            <w:shd w:val="clear" w:color="auto" w:fill="auto"/>
            <w:noWrap/>
            <w:vAlign w:val="center"/>
          </w:tcPr>
          <w:p w14:paraId="6AD1C602">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1B7ABB22">
        <w:tblPrEx>
          <w:tblCellMar>
            <w:top w:w="0" w:type="dxa"/>
            <w:left w:w="108" w:type="dxa"/>
            <w:bottom w:w="0" w:type="dxa"/>
            <w:right w:w="108" w:type="dxa"/>
          </w:tblCellMar>
        </w:tblPrEx>
        <w:trPr>
          <w:trHeight w:val="375" w:hRule="atLeast"/>
        </w:trPr>
        <w:tc>
          <w:tcPr>
            <w:tcW w:w="1716" w:type="dxa"/>
            <w:tcBorders>
              <w:top w:val="single" w:color="000000" w:sz="4" w:space="0"/>
              <w:left w:val="single" w:color="000000" w:sz="4" w:space="0"/>
              <w:bottom w:val="nil"/>
              <w:right w:val="single" w:color="000000" w:sz="4" w:space="0"/>
            </w:tcBorders>
            <w:shd w:val="clear" w:color="auto" w:fill="auto"/>
            <w:vAlign w:val="center"/>
          </w:tcPr>
          <w:p w14:paraId="0413B67E">
            <w:pPr>
              <w:widowControl/>
              <w:jc w:val="left"/>
              <w:rPr>
                <w:rFonts w:ascii="宋体" w:hAnsi="宋体"/>
                <w:color w:val="000000"/>
                <w:kern w:val="0"/>
                <w:sz w:val="16"/>
                <w:szCs w:val="16"/>
              </w:rPr>
            </w:pPr>
            <w:r>
              <w:rPr>
                <w:rFonts w:hint="eastAsia" w:ascii="宋体" w:hAnsi="宋体"/>
                <w:color w:val="000000"/>
                <w:kern w:val="0"/>
                <w:sz w:val="16"/>
                <w:szCs w:val="16"/>
              </w:rPr>
              <w:t>一、</w:t>
            </w:r>
            <w:r>
              <w:rPr>
                <w:color w:val="000000"/>
                <w:kern w:val="0"/>
                <w:sz w:val="16"/>
                <w:szCs w:val="16"/>
              </w:rPr>
              <w:t> </w:t>
            </w:r>
            <w:r>
              <w:rPr>
                <w:rFonts w:hint="eastAsia" w:ascii="宋体" w:hAnsi="宋体"/>
                <w:color w:val="000000"/>
                <w:kern w:val="0"/>
                <w:sz w:val="16"/>
                <w:szCs w:val="16"/>
              </w:rPr>
              <w:t>基本情况</w:t>
            </w:r>
          </w:p>
        </w:tc>
        <w:tc>
          <w:tcPr>
            <w:tcW w:w="1441" w:type="dxa"/>
            <w:tcBorders>
              <w:top w:val="single" w:color="000000" w:sz="4" w:space="0"/>
              <w:left w:val="nil"/>
              <w:bottom w:val="single" w:color="000000" w:sz="4" w:space="0"/>
              <w:right w:val="single" w:color="000000" w:sz="4" w:space="0"/>
            </w:tcBorders>
            <w:shd w:val="clear" w:color="auto" w:fill="auto"/>
            <w:vAlign w:val="center"/>
          </w:tcPr>
          <w:p w14:paraId="1B89B7F7">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5810" w:type="dxa"/>
            <w:gridSpan w:val="7"/>
            <w:tcBorders>
              <w:top w:val="single" w:color="000000" w:sz="4" w:space="0"/>
              <w:left w:val="nil"/>
              <w:bottom w:val="single" w:color="000000" w:sz="4" w:space="0"/>
              <w:right w:val="single" w:color="000000" w:sz="4" w:space="0"/>
            </w:tcBorders>
            <w:shd w:val="clear" w:color="auto" w:fill="auto"/>
            <w:vAlign w:val="center"/>
          </w:tcPr>
          <w:p w14:paraId="1AE1966A">
            <w:pPr>
              <w:widowControl/>
              <w:jc w:val="center"/>
              <w:rPr>
                <w:rFonts w:ascii="宋体" w:hAnsi="宋体"/>
                <w:color w:val="000000"/>
                <w:kern w:val="0"/>
                <w:sz w:val="16"/>
                <w:szCs w:val="16"/>
              </w:rPr>
            </w:pPr>
            <w:r>
              <w:rPr>
                <w:rFonts w:hint="eastAsia" w:ascii="宋体" w:hAnsi="宋体"/>
                <w:color w:val="000000"/>
                <w:kern w:val="0"/>
                <w:sz w:val="16"/>
                <w:szCs w:val="16"/>
              </w:rPr>
              <w:t>奖扶特扶资金</w:t>
            </w:r>
          </w:p>
        </w:tc>
      </w:tr>
      <w:tr w14:paraId="6D7D700E">
        <w:tblPrEx>
          <w:tblCellMar>
            <w:top w:w="0" w:type="dxa"/>
            <w:left w:w="108" w:type="dxa"/>
            <w:bottom w:w="0" w:type="dxa"/>
            <w:right w:w="108" w:type="dxa"/>
          </w:tblCellMar>
        </w:tblPrEx>
        <w:trPr>
          <w:trHeight w:val="300" w:hRule="atLeast"/>
        </w:trPr>
        <w:tc>
          <w:tcPr>
            <w:tcW w:w="1716" w:type="dxa"/>
            <w:tcBorders>
              <w:top w:val="single" w:color="000000" w:sz="4" w:space="0"/>
              <w:left w:val="single" w:color="000000" w:sz="4" w:space="0"/>
              <w:bottom w:val="nil"/>
              <w:right w:val="single" w:color="000000" w:sz="4" w:space="0"/>
            </w:tcBorders>
            <w:shd w:val="clear" w:color="auto" w:fill="auto"/>
            <w:vAlign w:val="center"/>
          </w:tcPr>
          <w:p w14:paraId="1B06A12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41" w:type="dxa"/>
            <w:tcBorders>
              <w:top w:val="nil"/>
              <w:left w:val="nil"/>
              <w:bottom w:val="single" w:color="000000" w:sz="4" w:space="0"/>
              <w:right w:val="single" w:color="000000" w:sz="4" w:space="0"/>
            </w:tcBorders>
            <w:shd w:val="clear" w:color="auto" w:fill="auto"/>
            <w:vAlign w:val="center"/>
          </w:tcPr>
          <w:p w14:paraId="657D0BFF">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2489" w:type="dxa"/>
            <w:gridSpan w:val="3"/>
            <w:tcBorders>
              <w:top w:val="single" w:color="000000" w:sz="4" w:space="0"/>
              <w:left w:val="nil"/>
              <w:bottom w:val="nil"/>
              <w:right w:val="single" w:color="000000" w:sz="4" w:space="0"/>
            </w:tcBorders>
            <w:shd w:val="clear" w:color="auto" w:fill="auto"/>
            <w:vAlign w:val="center"/>
          </w:tcPr>
          <w:p w14:paraId="40AC50F2">
            <w:pPr>
              <w:widowControl/>
              <w:jc w:val="center"/>
              <w:rPr>
                <w:rFonts w:ascii="宋体" w:hAnsi="宋体"/>
                <w:color w:val="000000"/>
                <w:kern w:val="0"/>
                <w:sz w:val="16"/>
                <w:szCs w:val="16"/>
              </w:rPr>
            </w:pPr>
            <w:r>
              <w:rPr>
                <w:rFonts w:hint="eastAsia" w:ascii="宋体" w:hAnsi="宋体"/>
                <w:color w:val="000000"/>
                <w:kern w:val="0"/>
                <w:sz w:val="16"/>
                <w:szCs w:val="16"/>
              </w:rPr>
              <w:t>昌黎县卫生健康局</w:t>
            </w:r>
          </w:p>
        </w:tc>
        <w:tc>
          <w:tcPr>
            <w:tcW w:w="616" w:type="dxa"/>
            <w:tcBorders>
              <w:top w:val="nil"/>
              <w:left w:val="nil"/>
              <w:bottom w:val="nil"/>
              <w:right w:val="single" w:color="000000" w:sz="4" w:space="0"/>
            </w:tcBorders>
            <w:shd w:val="clear" w:color="auto" w:fill="auto"/>
            <w:vAlign w:val="center"/>
          </w:tcPr>
          <w:p w14:paraId="3FC36F33">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2705" w:type="dxa"/>
            <w:gridSpan w:val="3"/>
            <w:tcBorders>
              <w:top w:val="single" w:color="000000" w:sz="4" w:space="0"/>
              <w:left w:val="nil"/>
              <w:bottom w:val="nil"/>
              <w:right w:val="single" w:color="000000" w:sz="4" w:space="0"/>
            </w:tcBorders>
            <w:shd w:val="clear" w:color="auto" w:fill="auto"/>
            <w:vAlign w:val="center"/>
          </w:tcPr>
          <w:p w14:paraId="6183494E">
            <w:pPr>
              <w:widowControl/>
              <w:jc w:val="center"/>
              <w:rPr>
                <w:rFonts w:ascii="宋体" w:hAnsi="宋体"/>
                <w:color w:val="000000"/>
                <w:kern w:val="0"/>
                <w:sz w:val="16"/>
                <w:szCs w:val="16"/>
              </w:rPr>
            </w:pPr>
            <w:r>
              <w:rPr>
                <w:rFonts w:hint="eastAsia" w:ascii="宋体" w:hAnsi="宋体"/>
                <w:color w:val="000000"/>
                <w:kern w:val="0"/>
                <w:sz w:val="16"/>
                <w:szCs w:val="16"/>
              </w:rPr>
              <w:t>昌黎县卫生健康局</w:t>
            </w:r>
          </w:p>
        </w:tc>
      </w:tr>
      <w:tr w14:paraId="746C94DD">
        <w:tblPrEx>
          <w:tblCellMar>
            <w:top w:w="0" w:type="dxa"/>
            <w:left w:w="108" w:type="dxa"/>
            <w:bottom w:w="0" w:type="dxa"/>
            <w:right w:w="108" w:type="dxa"/>
          </w:tblCellMar>
        </w:tblPrEx>
        <w:trPr>
          <w:trHeight w:val="255" w:hRule="atLeast"/>
        </w:trPr>
        <w:tc>
          <w:tcPr>
            <w:tcW w:w="1716" w:type="dxa"/>
            <w:vMerge w:val="restart"/>
            <w:tcBorders>
              <w:top w:val="single" w:color="000000" w:sz="4" w:space="0"/>
              <w:left w:val="single" w:color="000000" w:sz="4" w:space="0"/>
              <w:bottom w:val="nil"/>
              <w:right w:val="single" w:color="000000" w:sz="4" w:space="0"/>
            </w:tcBorders>
            <w:shd w:val="clear" w:color="auto" w:fill="auto"/>
            <w:vAlign w:val="center"/>
          </w:tcPr>
          <w:p w14:paraId="1DDC2402">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441" w:type="dxa"/>
            <w:tcBorders>
              <w:top w:val="nil"/>
              <w:left w:val="nil"/>
              <w:bottom w:val="single" w:color="000000" w:sz="4" w:space="0"/>
              <w:right w:val="single" w:color="000000" w:sz="4" w:space="0"/>
            </w:tcBorders>
            <w:shd w:val="clear" w:color="auto" w:fill="auto"/>
            <w:vAlign w:val="center"/>
          </w:tcPr>
          <w:p w14:paraId="262EB10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974" w:type="dxa"/>
            <w:gridSpan w:val="2"/>
            <w:tcBorders>
              <w:top w:val="single" w:color="000000" w:sz="4" w:space="0"/>
              <w:left w:val="nil"/>
              <w:bottom w:val="single" w:color="000000" w:sz="4" w:space="0"/>
              <w:right w:val="single" w:color="000000" w:sz="4" w:space="0"/>
            </w:tcBorders>
            <w:shd w:val="clear" w:color="auto" w:fill="auto"/>
            <w:vAlign w:val="center"/>
          </w:tcPr>
          <w:p w14:paraId="1D208EF7">
            <w:pPr>
              <w:widowControl/>
              <w:jc w:val="center"/>
              <w:rPr>
                <w:rFonts w:ascii="宋体" w:hAnsi="宋体"/>
                <w:kern w:val="0"/>
                <w:sz w:val="16"/>
                <w:szCs w:val="16"/>
              </w:rPr>
            </w:pPr>
            <w:r>
              <w:rPr>
                <w:rFonts w:hint="eastAsia" w:ascii="宋体" w:hAnsi="宋体"/>
                <w:kern w:val="0"/>
                <w:sz w:val="16"/>
                <w:szCs w:val="16"/>
              </w:rPr>
              <w:t>年初预算数</w:t>
            </w:r>
          </w:p>
        </w:tc>
        <w:tc>
          <w:tcPr>
            <w:tcW w:w="1131" w:type="dxa"/>
            <w:gridSpan w:val="2"/>
            <w:tcBorders>
              <w:top w:val="single" w:color="000000" w:sz="4" w:space="0"/>
              <w:left w:val="nil"/>
              <w:bottom w:val="single" w:color="000000" w:sz="4" w:space="0"/>
              <w:right w:val="single" w:color="000000" w:sz="4" w:space="0"/>
            </w:tcBorders>
            <w:shd w:val="clear" w:color="auto" w:fill="auto"/>
            <w:vAlign w:val="center"/>
          </w:tcPr>
          <w:p w14:paraId="467809B6">
            <w:pPr>
              <w:widowControl/>
              <w:jc w:val="center"/>
              <w:rPr>
                <w:rFonts w:ascii="宋体" w:hAnsi="宋体"/>
                <w:kern w:val="0"/>
                <w:sz w:val="16"/>
                <w:szCs w:val="16"/>
              </w:rPr>
            </w:pPr>
            <w:r>
              <w:rPr>
                <w:rFonts w:hint="eastAsia" w:ascii="宋体" w:hAnsi="宋体"/>
                <w:kern w:val="0"/>
                <w:sz w:val="16"/>
                <w:szCs w:val="16"/>
              </w:rPr>
              <w:t>全年预算数</w:t>
            </w:r>
          </w:p>
        </w:tc>
        <w:tc>
          <w:tcPr>
            <w:tcW w:w="1282" w:type="dxa"/>
            <w:tcBorders>
              <w:top w:val="single" w:color="000000" w:sz="4" w:space="0"/>
              <w:left w:val="nil"/>
              <w:bottom w:val="single" w:color="000000" w:sz="4" w:space="0"/>
              <w:right w:val="single" w:color="000000" w:sz="4" w:space="0"/>
            </w:tcBorders>
            <w:shd w:val="clear" w:color="auto" w:fill="auto"/>
            <w:vAlign w:val="center"/>
          </w:tcPr>
          <w:p w14:paraId="59F37635">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1423" w:type="dxa"/>
            <w:gridSpan w:val="2"/>
            <w:tcBorders>
              <w:top w:val="single" w:color="000000" w:sz="4" w:space="0"/>
              <w:left w:val="nil"/>
              <w:bottom w:val="single" w:color="000000" w:sz="4" w:space="0"/>
              <w:right w:val="single" w:color="000000" w:sz="4" w:space="0"/>
            </w:tcBorders>
            <w:shd w:val="clear" w:color="auto" w:fill="auto"/>
            <w:vAlign w:val="center"/>
          </w:tcPr>
          <w:p w14:paraId="1A573A94">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3970EED8">
        <w:tblPrEx>
          <w:tblCellMar>
            <w:top w:w="0" w:type="dxa"/>
            <w:left w:w="108" w:type="dxa"/>
            <w:bottom w:w="0" w:type="dxa"/>
            <w:right w:w="108" w:type="dxa"/>
          </w:tblCellMar>
        </w:tblPrEx>
        <w:trPr>
          <w:trHeight w:val="270" w:hRule="atLeast"/>
        </w:trPr>
        <w:tc>
          <w:tcPr>
            <w:tcW w:w="1716" w:type="dxa"/>
            <w:vMerge w:val="continue"/>
            <w:tcBorders>
              <w:top w:val="single" w:color="000000" w:sz="4" w:space="0"/>
              <w:left w:val="single" w:color="000000" w:sz="4" w:space="0"/>
              <w:bottom w:val="nil"/>
              <w:right w:val="single" w:color="000000" w:sz="4" w:space="0"/>
            </w:tcBorders>
            <w:vAlign w:val="center"/>
          </w:tcPr>
          <w:p w14:paraId="365C3C86">
            <w:pPr>
              <w:widowControl/>
              <w:jc w:val="left"/>
              <w:rPr>
                <w:rFonts w:ascii="宋体" w:hAnsi="宋体"/>
                <w:color w:val="000000"/>
                <w:kern w:val="0"/>
                <w:sz w:val="16"/>
                <w:szCs w:val="16"/>
              </w:rPr>
            </w:pPr>
          </w:p>
        </w:tc>
        <w:tc>
          <w:tcPr>
            <w:tcW w:w="1441" w:type="dxa"/>
            <w:tcBorders>
              <w:top w:val="nil"/>
              <w:left w:val="nil"/>
              <w:bottom w:val="single" w:color="000000" w:sz="4" w:space="0"/>
              <w:right w:val="single" w:color="000000" w:sz="4" w:space="0"/>
            </w:tcBorders>
            <w:shd w:val="clear" w:color="auto" w:fill="auto"/>
            <w:vAlign w:val="center"/>
          </w:tcPr>
          <w:p w14:paraId="6D235F08">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974" w:type="dxa"/>
            <w:gridSpan w:val="2"/>
            <w:tcBorders>
              <w:top w:val="single" w:color="000000" w:sz="4" w:space="0"/>
              <w:left w:val="nil"/>
              <w:bottom w:val="single" w:color="000000" w:sz="4" w:space="0"/>
              <w:right w:val="single" w:color="000000" w:sz="4" w:space="0"/>
            </w:tcBorders>
            <w:shd w:val="clear" w:color="auto" w:fill="auto"/>
            <w:vAlign w:val="center"/>
          </w:tcPr>
          <w:p w14:paraId="231E9D8D">
            <w:pPr>
              <w:widowControl/>
              <w:jc w:val="center"/>
              <w:rPr>
                <w:rFonts w:ascii="宋体" w:hAnsi="宋体"/>
                <w:color w:val="000000"/>
                <w:kern w:val="0"/>
                <w:sz w:val="16"/>
                <w:szCs w:val="16"/>
              </w:rPr>
            </w:pPr>
            <w:r>
              <w:rPr>
                <w:rFonts w:hint="eastAsia" w:ascii="宋体" w:hAnsi="宋体"/>
                <w:color w:val="000000"/>
                <w:kern w:val="0"/>
                <w:sz w:val="16"/>
                <w:szCs w:val="16"/>
              </w:rPr>
              <w:t>4007.87</w:t>
            </w:r>
          </w:p>
        </w:tc>
        <w:tc>
          <w:tcPr>
            <w:tcW w:w="1131" w:type="dxa"/>
            <w:gridSpan w:val="2"/>
            <w:tcBorders>
              <w:top w:val="single" w:color="000000" w:sz="4" w:space="0"/>
              <w:left w:val="nil"/>
              <w:bottom w:val="single" w:color="000000" w:sz="4" w:space="0"/>
              <w:right w:val="single" w:color="000000" w:sz="4" w:space="0"/>
            </w:tcBorders>
            <w:shd w:val="clear" w:color="auto" w:fill="auto"/>
            <w:vAlign w:val="center"/>
          </w:tcPr>
          <w:p w14:paraId="7A7383A8">
            <w:pPr>
              <w:widowControl/>
              <w:jc w:val="center"/>
              <w:rPr>
                <w:rFonts w:ascii="宋体" w:hAnsi="宋体"/>
                <w:color w:val="000000"/>
                <w:kern w:val="0"/>
                <w:sz w:val="16"/>
                <w:szCs w:val="16"/>
              </w:rPr>
            </w:pPr>
            <w:r>
              <w:rPr>
                <w:rFonts w:hint="eastAsia" w:ascii="宋体" w:hAnsi="宋体"/>
                <w:color w:val="000000"/>
                <w:kern w:val="0"/>
                <w:sz w:val="16"/>
                <w:szCs w:val="16"/>
              </w:rPr>
              <w:t>4250.29</w:t>
            </w:r>
          </w:p>
        </w:tc>
        <w:tc>
          <w:tcPr>
            <w:tcW w:w="1282" w:type="dxa"/>
            <w:tcBorders>
              <w:top w:val="nil"/>
              <w:left w:val="nil"/>
              <w:bottom w:val="single" w:color="000000" w:sz="4" w:space="0"/>
              <w:right w:val="single" w:color="000000" w:sz="4" w:space="0"/>
            </w:tcBorders>
            <w:shd w:val="clear" w:color="auto" w:fill="auto"/>
            <w:vAlign w:val="center"/>
          </w:tcPr>
          <w:p w14:paraId="283FBD12">
            <w:pPr>
              <w:widowControl/>
              <w:jc w:val="right"/>
              <w:rPr>
                <w:rFonts w:ascii="宋体" w:hAnsi="宋体"/>
                <w:color w:val="000000"/>
                <w:kern w:val="0"/>
                <w:sz w:val="16"/>
                <w:szCs w:val="16"/>
              </w:rPr>
            </w:pPr>
            <w:r>
              <w:rPr>
                <w:rFonts w:hint="eastAsia" w:ascii="宋体" w:hAnsi="宋体"/>
                <w:color w:val="000000"/>
                <w:kern w:val="0"/>
                <w:sz w:val="16"/>
                <w:szCs w:val="16"/>
              </w:rPr>
              <w:t>4250.29</w:t>
            </w:r>
          </w:p>
        </w:tc>
        <w:tc>
          <w:tcPr>
            <w:tcW w:w="1423" w:type="dxa"/>
            <w:gridSpan w:val="2"/>
            <w:tcBorders>
              <w:top w:val="single" w:color="000000" w:sz="4" w:space="0"/>
              <w:left w:val="nil"/>
              <w:bottom w:val="single" w:color="000000" w:sz="4" w:space="0"/>
              <w:right w:val="single" w:color="000000" w:sz="4" w:space="0"/>
            </w:tcBorders>
            <w:shd w:val="clear" w:color="auto" w:fill="auto"/>
            <w:vAlign w:val="center"/>
          </w:tcPr>
          <w:p w14:paraId="5E6EA45A">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48784F4F">
        <w:tblPrEx>
          <w:tblCellMar>
            <w:top w:w="0" w:type="dxa"/>
            <w:left w:w="108" w:type="dxa"/>
            <w:bottom w:w="0" w:type="dxa"/>
            <w:right w:w="108" w:type="dxa"/>
          </w:tblCellMar>
        </w:tblPrEx>
        <w:trPr>
          <w:trHeight w:val="270" w:hRule="atLeast"/>
        </w:trPr>
        <w:tc>
          <w:tcPr>
            <w:tcW w:w="1716" w:type="dxa"/>
            <w:vMerge w:val="continue"/>
            <w:tcBorders>
              <w:top w:val="single" w:color="000000" w:sz="4" w:space="0"/>
              <w:left w:val="single" w:color="000000" w:sz="4" w:space="0"/>
              <w:bottom w:val="nil"/>
              <w:right w:val="single" w:color="000000" w:sz="4" w:space="0"/>
            </w:tcBorders>
            <w:vAlign w:val="center"/>
          </w:tcPr>
          <w:p w14:paraId="474EDFA1">
            <w:pPr>
              <w:widowControl/>
              <w:jc w:val="left"/>
              <w:rPr>
                <w:rFonts w:ascii="宋体" w:hAnsi="宋体"/>
                <w:color w:val="000000"/>
                <w:kern w:val="0"/>
                <w:sz w:val="16"/>
                <w:szCs w:val="16"/>
              </w:rPr>
            </w:pPr>
          </w:p>
        </w:tc>
        <w:tc>
          <w:tcPr>
            <w:tcW w:w="1441" w:type="dxa"/>
            <w:tcBorders>
              <w:top w:val="nil"/>
              <w:left w:val="nil"/>
              <w:bottom w:val="single" w:color="000000" w:sz="4" w:space="0"/>
              <w:right w:val="single" w:color="000000" w:sz="4" w:space="0"/>
            </w:tcBorders>
            <w:shd w:val="clear" w:color="auto" w:fill="auto"/>
            <w:vAlign w:val="center"/>
          </w:tcPr>
          <w:p w14:paraId="556AD6B9">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974" w:type="dxa"/>
            <w:gridSpan w:val="2"/>
            <w:tcBorders>
              <w:top w:val="single" w:color="000000" w:sz="4" w:space="0"/>
              <w:left w:val="nil"/>
              <w:bottom w:val="single" w:color="000000" w:sz="4" w:space="0"/>
              <w:right w:val="single" w:color="000000" w:sz="4" w:space="0"/>
            </w:tcBorders>
            <w:shd w:val="clear" w:color="auto" w:fill="auto"/>
            <w:vAlign w:val="center"/>
          </w:tcPr>
          <w:p w14:paraId="1BE9C705">
            <w:pPr>
              <w:widowControl/>
              <w:jc w:val="center"/>
              <w:rPr>
                <w:rFonts w:ascii="宋体" w:hAnsi="宋体"/>
                <w:color w:val="000000"/>
                <w:kern w:val="0"/>
                <w:sz w:val="16"/>
                <w:szCs w:val="16"/>
              </w:rPr>
            </w:pPr>
            <w:r>
              <w:rPr>
                <w:rFonts w:hint="eastAsia" w:ascii="宋体" w:hAnsi="宋体"/>
                <w:color w:val="000000"/>
                <w:kern w:val="0"/>
                <w:sz w:val="16"/>
                <w:szCs w:val="16"/>
              </w:rPr>
              <w:t>4007.87</w:t>
            </w:r>
          </w:p>
        </w:tc>
        <w:tc>
          <w:tcPr>
            <w:tcW w:w="1131" w:type="dxa"/>
            <w:gridSpan w:val="2"/>
            <w:tcBorders>
              <w:top w:val="single" w:color="000000" w:sz="4" w:space="0"/>
              <w:left w:val="nil"/>
              <w:bottom w:val="single" w:color="000000" w:sz="4" w:space="0"/>
              <w:right w:val="single" w:color="000000" w:sz="4" w:space="0"/>
            </w:tcBorders>
            <w:shd w:val="clear" w:color="auto" w:fill="auto"/>
            <w:vAlign w:val="center"/>
          </w:tcPr>
          <w:p w14:paraId="775CE34C">
            <w:pPr>
              <w:widowControl/>
              <w:jc w:val="center"/>
              <w:rPr>
                <w:rFonts w:ascii="宋体" w:hAnsi="宋体"/>
                <w:color w:val="000000"/>
                <w:kern w:val="0"/>
                <w:sz w:val="16"/>
                <w:szCs w:val="16"/>
              </w:rPr>
            </w:pPr>
            <w:r>
              <w:rPr>
                <w:rFonts w:hint="eastAsia" w:ascii="宋体" w:hAnsi="宋体"/>
                <w:color w:val="000000"/>
                <w:kern w:val="0"/>
                <w:sz w:val="16"/>
                <w:szCs w:val="16"/>
              </w:rPr>
              <w:t>4250.29</w:t>
            </w:r>
          </w:p>
        </w:tc>
        <w:tc>
          <w:tcPr>
            <w:tcW w:w="1282" w:type="dxa"/>
            <w:tcBorders>
              <w:top w:val="nil"/>
              <w:left w:val="nil"/>
              <w:bottom w:val="single" w:color="000000" w:sz="4" w:space="0"/>
              <w:right w:val="single" w:color="000000" w:sz="4" w:space="0"/>
            </w:tcBorders>
            <w:shd w:val="clear" w:color="auto" w:fill="auto"/>
            <w:vAlign w:val="center"/>
          </w:tcPr>
          <w:p w14:paraId="755C11EF">
            <w:pPr>
              <w:widowControl/>
              <w:jc w:val="right"/>
              <w:rPr>
                <w:rFonts w:ascii="宋体" w:hAnsi="宋体"/>
                <w:color w:val="000000"/>
                <w:kern w:val="0"/>
                <w:sz w:val="16"/>
                <w:szCs w:val="16"/>
              </w:rPr>
            </w:pPr>
            <w:r>
              <w:rPr>
                <w:rFonts w:hint="eastAsia" w:ascii="宋体" w:hAnsi="宋体"/>
                <w:color w:val="000000"/>
                <w:kern w:val="0"/>
                <w:sz w:val="16"/>
                <w:szCs w:val="16"/>
              </w:rPr>
              <w:t>4250.29</w:t>
            </w:r>
          </w:p>
        </w:tc>
        <w:tc>
          <w:tcPr>
            <w:tcW w:w="1423" w:type="dxa"/>
            <w:gridSpan w:val="2"/>
            <w:tcBorders>
              <w:top w:val="single" w:color="000000" w:sz="4" w:space="0"/>
              <w:left w:val="nil"/>
              <w:bottom w:val="single" w:color="000000" w:sz="4" w:space="0"/>
              <w:right w:val="single" w:color="000000" w:sz="4" w:space="0"/>
            </w:tcBorders>
            <w:shd w:val="clear" w:color="auto" w:fill="auto"/>
            <w:vAlign w:val="center"/>
          </w:tcPr>
          <w:p w14:paraId="483C0E7D">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654DDDEE">
        <w:tblPrEx>
          <w:tblCellMar>
            <w:top w:w="0" w:type="dxa"/>
            <w:left w:w="108" w:type="dxa"/>
            <w:bottom w:w="0" w:type="dxa"/>
            <w:right w:w="108" w:type="dxa"/>
          </w:tblCellMar>
        </w:tblPrEx>
        <w:trPr>
          <w:trHeight w:val="162" w:hRule="atLeast"/>
        </w:trPr>
        <w:tc>
          <w:tcPr>
            <w:tcW w:w="1716" w:type="dxa"/>
            <w:vMerge w:val="continue"/>
            <w:tcBorders>
              <w:top w:val="single" w:color="000000" w:sz="4" w:space="0"/>
              <w:left w:val="single" w:color="000000" w:sz="4" w:space="0"/>
              <w:bottom w:val="nil"/>
              <w:right w:val="single" w:color="000000" w:sz="4" w:space="0"/>
            </w:tcBorders>
            <w:vAlign w:val="center"/>
          </w:tcPr>
          <w:p w14:paraId="63F9B386">
            <w:pPr>
              <w:widowControl/>
              <w:jc w:val="left"/>
              <w:rPr>
                <w:rFonts w:ascii="宋体" w:hAnsi="宋体"/>
                <w:color w:val="000000"/>
                <w:kern w:val="0"/>
                <w:sz w:val="16"/>
                <w:szCs w:val="16"/>
              </w:rPr>
            </w:pPr>
          </w:p>
        </w:tc>
        <w:tc>
          <w:tcPr>
            <w:tcW w:w="1441" w:type="dxa"/>
            <w:tcBorders>
              <w:top w:val="nil"/>
              <w:left w:val="nil"/>
              <w:bottom w:val="single" w:color="000000" w:sz="4" w:space="0"/>
              <w:right w:val="single" w:color="000000" w:sz="4" w:space="0"/>
            </w:tcBorders>
            <w:shd w:val="clear" w:color="auto" w:fill="auto"/>
            <w:vAlign w:val="center"/>
          </w:tcPr>
          <w:p w14:paraId="754D246B">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974" w:type="dxa"/>
            <w:gridSpan w:val="2"/>
            <w:tcBorders>
              <w:top w:val="single" w:color="000000" w:sz="4" w:space="0"/>
              <w:left w:val="nil"/>
              <w:bottom w:val="single" w:color="000000" w:sz="4" w:space="0"/>
              <w:right w:val="single" w:color="000000" w:sz="4" w:space="0"/>
            </w:tcBorders>
            <w:shd w:val="clear" w:color="auto" w:fill="auto"/>
            <w:vAlign w:val="center"/>
          </w:tcPr>
          <w:p w14:paraId="383474A4">
            <w:pPr>
              <w:widowControl/>
              <w:jc w:val="center"/>
              <w:rPr>
                <w:color w:val="000000"/>
                <w:kern w:val="0"/>
                <w:szCs w:val="21"/>
              </w:rPr>
            </w:pPr>
            <w:r>
              <w:rPr>
                <w:color w:val="000000"/>
                <w:kern w:val="0"/>
                <w:szCs w:val="21"/>
              </w:rPr>
              <w:t>　</w:t>
            </w:r>
          </w:p>
        </w:tc>
        <w:tc>
          <w:tcPr>
            <w:tcW w:w="1131" w:type="dxa"/>
            <w:gridSpan w:val="2"/>
            <w:tcBorders>
              <w:top w:val="single" w:color="000000" w:sz="4" w:space="0"/>
              <w:left w:val="nil"/>
              <w:bottom w:val="single" w:color="000000" w:sz="4" w:space="0"/>
              <w:right w:val="single" w:color="000000" w:sz="4" w:space="0"/>
            </w:tcBorders>
            <w:shd w:val="clear" w:color="auto" w:fill="auto"/>
            <w:vAlign w:val="center"/>
          </w:tcPr>
          <w:p w14:paraId="77A7C450">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282" w:type="dxa"/>
            <w:tcBorders>
              <w:top w:val="nil"/>
              <w:left w:val="nil"/>
              <w:bottom w:val="single" w:color="000000" w:sz="4" w:space="0"/>
              <w:right w:val="single" w:color="000000" w:sz="4" w:space="0"/>
            </w:tcBorders>
            <w:shd w:val="clear" w:color="auto" w:fill="auto"/>
            <w:vAlign w:val="center"/>
          </w:tcPr>
          <w:p w14:paraId="53AECEC9">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23" w:type="dxa"/>
            <w:gridSpan w:val="2"/>
            <w:tcBorders>
              <w:top w:val="single" w:color="000000" w:sz="4" w:space="0"/>
              <w:left w:val="nil"/>
              <w:bottom w:val="single" w:color="000000" w:sz="4" w:space="0"/>
              <w:right w:val="single" w:color="000000" w:sz="4" w:space="0"/>
            </w:tcBorders>
            <w:shd w:val="clear" w:color="auto" w:fill="auto"/>
            <w:vAlign w:val="center"/>
          </w:tcPr>
          <w:p w14:paraId="57FEDCC7">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5644371F">
        <w:tblPrEx>
          <w:tblCellMar>
            <w:top w:w="0" w:type="dxa"/>
            <w:left w:w="108" w:type="dxa"/>
            <w:bottom w:w="0" w:type="dxa"/>
            <w:right w:w="108" w:type="dxa"/>
          </w:tblCellMar>
        </w:tblPrEx>
        <w:trPr>
          <w:trHeight w:val="180" w:hRule="atLeast"/>
        </w:trPr>
        <w:tc>
          <w:tcPr>
            <w:tcW w:w="1716" w:type="dxa"/>
            <w:vMerge w:val="continue"/>
            <w:tcBorders>
              <w:top w:val="single" w:color="000000" w:sz="4" w:space="0"/>
              <w:left w:val="single" w:color="000000" w:sz="4" w:space="0"/>
              <w:bottom w:val="nil"/>
              <w:right w:val="single" w:color="000000" w:sz="4" w:space="0"/>
            </w:tcBorders>
            <w:vAlign w:val="center"/>
          </w:tcPr>
          <w:p w14:paraId="19C3877F">
            <w:pPr>
              <w:widowControl/>
              <w:jc w:val="left"/>
              <w:rPr>
                <w:rFonts w:ascii="宋体" w:hAnsi="宋体"/>
                <w:color w:val="000000"/>
                <w:kern w:val="0"/>
                <w:sz w:val="16"/>
                <w:szCs w:val="16"/>
              </w:rPr>
            </w:pPr>
          </w:p>
        </w:tc>
        <w:tc>
          <w:tcPr>
            <w:tcW w:w="1441" w:type="dxa"/>
            <w:tcBorders>
              <w:top w:val="nil"/>
              <w:left w:val="nil"/>
              <w:bottom w:val="single" w:color="000000" w:sz="4" w:space="0"/>
              <w:right w:val="single" w:color="000000" w:sz="4" w:space="0"/>
            </w:tcBorders>
            <w:shd w:val="clear" w:color="auto" w:fill="auto"/>
            <w:vAlign w:val="center"/>
          </w:tcPr>
          <w:p w14:paraId="1BBFF4A0">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974" w:type="dxa"/>
            <w:gridSpan w:val="2"/>
            <w:tcBorders>
              <w:top w:val="single" w:color="000000" w:sz="4" w:space="0"/>
              <w:left w:val="nil"/>
              <w:bottom w:val="single" w:color="000000" w:sz="4" w:space="0"/>
              <w:right w:val="single" w:color="000000" w:sz="4" w:space="0"/>
            </w:tcBorders>
            <w:shd w:val="clear" w:color="auto" w:fill="auto"/>
            <w:vAlign w:val="center"/>
          </w:tcPr>
          <w:p w14:paraId="6C0EB695">
            <w:pPr>
              <w:widowControl/>
              <w:jc w:val="center"/>
              <w:rPr>
                <w:color w:val="000000"/>
                <w:kern w:val="0"/>
                <w:szCs w:val="21"/>
              </w:rPr>
            </w:pPr>
            <w:r>
              <w:rPr>
                <w:color w:val="000000"/>
                <w:kern w:val="0"/>
                <w:szCs w:val="21"/>
              </w:rPr>
              <w:t>　</w:t>
            </w:r>
          </w:p>
        </w:tc>
        <w:tc>
          <w:tcPr>
            <w:tcW w:w="1131" w:type="dxa"/>
            <w:gridSpan w:val="2"/>
            <w:tcBorders>
              <w:top w:val="single" w:color="000000" w:sz="4" w:space="0"/>
              <w:left w:val="nil"/>
              <w:bottom w:val="single" w:color="000000" w:sz="4" w:space="0"/>
              <w:right w:val="single" w:color="000000" w:sz="4" w:space="0"/>
            </w:tcBorders>
            <w:shd w:val="clear" w:color="auto" w:fill="auto"/>
            <w:vAlign w:val="center"/>
          </w:tcPr>
          <w:p w14:paraId="6A83B887">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282" w:type="dxa"/>
            <w:tcBorders>
              <w:top w:val="nil"/>
              <w:left w:val="nil"/>
              <w:bottom w:val="single" w:color="000000" w:sz="4" w:space="0"/>
              <w:right w:val="single" w:color="000000" w:sz="4" w:space="0"/>
            </w:tcBorders>
            <w:shd w:val="clear" w:color="auto" w:fill="auto"/>
            <w:vAlign w:val="center"/>
          </w:tcPr>
          <w:p w14:paraId="38E1A02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23" w:type="dxa"/>
            <w:gridSpan w:val="2"/>
            <w:tcBorders>
              <w:top w:val="single" w:color="000000" w:sz="4" w:space="0"/>
              <w:left w:val="nil"/>
              <w:bottom w:val="single" w:color="000000" w:sz="4" w:space="0"/>
              <w:right w:val="single" w:color="000000" w:sz="4" w:space="0"/>
            </w:tcBorders>
            <w:shd w:val="clear" w:color="auto" w:fill="auto"/>
            <w:vAlign w:val="center"/>
          </w:tcPr>
          <w:p w14:paraId="231BFD2A">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491B7499">
        <w:tblPrEx>
          <w:tblCellMar>
            <w:top w:w="0" w:type="dxa"/>
            <w:left w:w="108" w:type="dxa"/>
            <w:bottom w:w="0" w:type="dxa"/>
            <w:right w:w="108" w:type="dxa"/>
          </w:tblCellMar>
        </w:tblPrEx>
        <w:trPr>
          <w:trHeight w:val="198" w:hRule="atLeast"/>
        </w:trPr>
        <w:tc>
          <w:tcPr>
            <w:tcW w:w="1716" w:type="dxa"/>
            <w:vMerge w:val="restart"/>
            <w:tcBorders>
              <w:top w:val="single" w:color="000000" w:sz="4" w:space="0"/>
              <w:left w:val="single" w:color="000000" w:sz="4" w:space="0"/>
              <w:bottom w:val="nil"/>
              <w:right w:val="single" w:color="000000" w:sz="4" w:space="0"/>
            </w:tcBorders>
            <w:shd w:val="clear" w:color="auto" w:fill="auto"/>
            <w:vAlign w:val="center"/>
          </w:tcPr>
          <w:p w14:paraId="7A7A1976">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3415" w:type="dxa"/>
            <w:gridSpan w:val="3"/>
            <w:tcBorders>
              <w:top w:val="single" w:color="000000" w:sz="4" w:space="0"/>
              <w:left w:val="nil"/>
              <w:bottom w:val="single" w:color="000000" w:sz="4" w:space="0"/>
              <w:right w:val="single" w:color="000000" w:sz="4" w:space="0"/>
            </w:tcBorders>
            <w:shd w:val="clear" w:color="auto" w:fill="auto"/>
            <w:vAlign w:val="center"/>
          </w:tcPr>
          <w:p w14:paraId="5E6D5CBC">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2413" w:type="dxa"/>
            <w:gridSpan w:val="3"/>
            <w:tcBorders>
              <w:top w:val="nil"/>
              <w:left w:val="nil"/>
              <w:bottom w:val="single" w:color="000000" w:sz="4" w:space="0"/>
              <w:right w:val="single" w:color="000000" w:sz="4" w:space="0"/>
            </w:tcBorders>
            <w:shd w:val="clear" w:color="auto" w:fill="auto"/>
            <w:vAlign w:val="center"/>
          </w:tcPr>
          <w:p w14:paraId="4DAA4299">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1423" w:type="dxa"/>
            <w:gridSpan w:val="2"/>
            <w:tcBorders>
              <w:top w:val="nil"/>
              <w:left w:val="nil"/>
              <w:bottom w:val="single" w:color="000000" w:sz="4" w:space="0"/>
              <w:right w:val="single" w:color="000000" w:sz="4" w:space="0"/>
            </w:tcBorders>
            <w:shd w:val="clear" w:color="auto" w:fill="auto"/>
            <w:vAlign w:val="center"/>
          </w:tcPr>
          <w:p w14:paraId="0C840449">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4B2EFBA0">
        <w:tblPrEx>
          <w:tblCellMar>
            <w:top w:w="0" w:type="dxa"/>
            <w:left w:w="108" w:type="dxa"/>
            <w:bottom w:w="0" w:type="dxa"/>
            <w:right w:w="108" w:type="dxa"/>
          </w:tblCellMar>
        </w:tblPrEx>
        <w:trPr>
          <w:trHeight w:val="839" w:hRule="atLeast"/>
        </w:trPr>
        <w:tc>
          <w:tcPr>
            <w:tcW w:w="1716" w:type="dxa"/>
            <w:vMerge w:val="continue"/>
            <w:tcBorders>
              <w:top w:val="single" w:color="000000" w:sz="4" w:space="0"/>
              <w:left w:val="single" w:color="000000" w:sz="4" w:space="0"/>
              <w:bottom w:val="nil"/>
              <w:right w:val="single" w:color="000000" w:sz="4" w:space="0"/>
            </w:tcBorders>
            <w:vAlign w:val="center"/>
          </w:tcPr>
          <w:p w14:paraId="0989C99E">
            <w:pPr>
              <w:widowControl/>
              <w:jc w:val="left"/>
              <w:rPr>
                <w:rFonts w:ascii="宋体" w:hAnsi="宋体"/>
                <w:color w:val="000000"/>
                <w:kern w:val="0"/>
                <w:sz w:val="16"/>
                <w:szCs w:val="16"/>
              </w:rPr>
            </w:pPr>
          </w:p>
        </w:tc>
        <w:tc>
          <w:tcPr>
            <w:tcW w:w="3415" w:type="dxa"/>
            <w:gridSpan w:val="3"/>
            <w:tcBorders>
              <w:top w:val="nil"/>
              <w:left w:val="nil"/>
              <w:bottom w:val="nil"/>
              <w:right w:val="single" w:color="000000" w:sz="4" w:space="0"/>
            </w:tcBorders>
            <w:shd w:val="clear" w:color="auto" w:fill="auto"/>
            <w:vAlign w:val="center"/>
          </w:tcPr>
          <w:p w14:paraId="0EA2147C">
            <w:pPr>
              <w:widowControl/>
              <w:jc w:val="center"/>
              <w:rPr>
                <w:rFonts w:ascii="宋体" w:hAnsi="宋体"/>
                <w:color w:val="000000"/>
                <w:kern w:val="0"/>
                <w:sz w:val="16"/>
                <w:szCs w:val="16"/>
              </w:rPr>
            </w:pPr>
            <w:r>
              <w:rPr>
                <w:rFonts w:hint="eastAsia" w:ascii="宋体" w:hAnsi="宋体"/>
                <w:color w:val="000000"/>
                <w:kern w:val="0"/>
                <w:sz w:val="16"/>
                <w:szCs w:val="16"/>
              </w:rPr>
              <w:t>增强群众自觉实行计划生育的积极性，稳定适度的低生育水平，提高计划生育家庭发展能力，增强计划生育家庭的凝聚力及成员幸福感。</w:t>
            </w:r>
          </w:p>
        </w:tc>
        <w:tc>
          <w:tcPr>
            <w:tcW w:w="2413" w:type="dxa"/>
            <w:gridSpan w:val="3"/>
            <w:tcBorders>
              <w:top w:val="nil"/>
              <w:left w:val="nil"/>
              <w:bottom w:val="nil"/>
              <w:right w:val="single" w:color="000000" w:sz="4" w:space="0"/>
            </w:tcBorders>
            <w:shd w:val="clear" w:color="auto" w:fill="auto"/>
            <w:vAlign w:val="center"/>
          </w:tcPr>
          <w:p w14:paraId="065D5E4E">
            <w:pPr>
              <w:widowControl/>
              <w:jc w:val="center"/>
              <w:rPr>
                <w:rFonts w:ascii="宋体" w:hAnsi="宋体"/>
                <w:color w:val="000000"/>
                <w:kern w:val="0"/>
                <w:sz w:val="16"/>
                <w:szCs w:val="16"/>
              </w:rPr>
            </w:pPr>
            <w:r>
              <w:rPr>
                <w:rFonts w:hint="eastAsia" w:ascii="宋体" w:hAnsi="宋体"/>
                <w:color w:val="000000"/>
                <w:kern w:val="0"/>
                <w:sz w:val="16"/>
                <w:szCs w:val="16"/>
              </w:rPr>
              <w:t>奖扶特扶资金发放到位，增强计划生育家庭的凝聚力及成员幸福感。</w:t>
            </w:r>
          </w:p>
        </w:tc>
        <w:tc>
          <w:tcPr>
            <w:tcW w:w="1423" w:type="dxa"/>
            <w:gridSpan w:val="2"/>
            <w:tcBorders>
              <w:top w:val="nil"/>
              <w:left w:val="nil"/>
              <w:bottom w:val="nil"/>
              <w:right w:val="single" w:color="000000" w:sz="4" w:space="0"/>
            </w:tcBorders>
            <w:shd w:val="clear" w:color="auto" w:fill="auto"/>
            <w:vAlign w:val="center"/>
          </w:tcPr>
          <w:p w14:paraId="3FBA2BFB">
            <w:pPr>
              <w:widowControl/>
              <w:jc w:val="center"/>
              <w:rPr>
                <w:rFonts w:ascii="宋体" w:hAnsi="宋体"/>
                <w:color w:val="000000"/>
                <w:kern w:val="0"/>
                <w:sz w:val="16"/>
                <w:szCs w:val="16"/>
              </w:rPr>
            </w:pPr>
            <w:r>
              <w:rPr>
                <w:rFonts w:hint="eastAsia" w:ascii="宋体" w:hAnsi="宋体"/>
                <w:color w:val="000000"/>
                <w:kern w:val="0"/>
                <w:sz w:val="16"/>
                <w:szCs w:val="16"/>
              </w:rPr>
              <w:t>99%</w:t>
            </w:r>
          </w:p>
        </w:tc>
      </w:tr>
      <w:tr w14:paraId="00BF1149">
        <w:tblPrEx>
          <w:tblCellMar>
            <w:top w:w="0" w:type="dxa"/>
            <w:left w:w="108" w:type="dxa"/>
            <w:bottom w:w="0" w:type="dxa"/>
            <w:right w:w="108" w:type="dxa"/>
          </w:tblCellMar>
        </w:tblPrEx>
        <w:trPr>
          <w:trHeight w:val="553" w:hRule="atLeast"/>
        </w:trPr>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11F3B">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1441" w:type="dxa"/>
            <w:tcBorders>
              <w:top w:val="single" w:color="000000" w:sz="4" w:space="0"/>
              <w:left w:val="nil"/>
              <w:bottom w:val="single" w:color="000000" w:sz="4" w:space="0"/>
              <w:right w:val="single" w:color="000000" w:sz="4" w:space="0"/>
            </w:tcBorders>
            <w:shd w:val="clear" w:color="auto" w:fill="auto"/>
            <w:vAlign w:val="center"/>
          </w:tcPr>
          <w:p w14:paraId="05DBE68E">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026" w:type="dxa"/>
            <w:tcBorders>
              <w:top w:val="single" w:color="000000" w:sz="4" w:space="0"/>
              <w:left w:val="nil"/>
              <w:bottom w:val="single" w:color="000000" w:sz="4" w:space="0"/>
              <w:right w:val="single" w:color="000000" w:sz="4" w:space="0"/>
            </w:tcBorders>
            <w:shd w:val="clear" w:color="auto" w:fill="auto"/>
            <w:vAlign w:val="center"/>
          </w:tcPr>
          <w:p w14:paraId="0697F3CF">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1463" w:type="dxa"/>
            <w:gridSpan w:val="2"/>
            <w:tcBorders>
              <w:top w:val="single" w:color="000000" w:sz="4" w:space="0"/>
              <w:left w:val="nil"/>
              <w:bottom w:val="single" w:color="000000" w:sz="4" w:space="0"/>
              <w:right w:val="single" w:color="000000" w:sz="4" w:space="0"/>
            </w:tcBorders>
            <w:shd w:val="clear" w:color="auto" w:fill="auto"/>
            <w:vAlign w:val="center"/>
          </w:tcPr>
          <w:p w14:paraId="47665985">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616" w:type="dxa"/>
            <w:tcBorders>
              <w:top w:val="single" w:color="000000" w:sz="4" w:space="0"/>
              <w:left w:val="nil"/>
              <w:bottom w:val="single" w:color="000000" w:sz="4" w:space="0"/>
              <w:right w:val="single" w:color="000000" w:sz="4" w:space="0"/>
            </w:tcBorders>
            <w:shd w:val="clear" w:color="auto" w:fill="auto"/>
            <w:vAlign w:val="center"/>
          </w:tcPr>
          <w:p w14:paraId="75BD2ABD">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1282" w:type="dxa"/>
            <w:tcBorders>
              <w:top w:val="single" w:color="000000" w:sz="4" w:space="0"/>
              <w:left w:val="nil"/>
              <w:bottom w:val="single" w:color="000000" w:sz="4" w:space="0"/>
              <w:right w:val="single" w:color="000000" w:sz="4" w:space="0"/>
            </w:tcBorders>
            <w:shd w:val="clear" w:color="auto" w:fill="auto"/>
            <w:vAlign w:val="center"/>
          </w:tcPr>
          <w:p w14:paraId="5612AB3F">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456" w:type="dxa"/>
            <w:tcBorders>
              <w:top w:val="single" w:color="000000" w:sz="4" w:space="0"/>
              <w:left w:val="nil"/>
              <w:bottom w:val="single" w:color="000000" w:sz="4" w:space="0"/>
              <w:right w:val="single" w:color="000000" w:sz="4" w:space="0"/>
            </w:tcBorders>
            <w:shd w:val="clear" w:color="auto" w:fill="auto"/>
            <w:vAlign w:val="center"/>
          </w:tcPr>
          <w:p w14:paraId="3C9D10B4">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967" w:type="dxa"/>
            <w:tcBorders>
              <w:top w:val="single" w:color="000000" w:sz="4" w:space="0"/>
              <w:left w:val="nil"/>
              <w:bottom w:val="single" w:color="000000" w:sz="4" w:space="0"/>
              <w:right w:val="single" w:color="000000" w:sz="4" w:space="0"/>
            </w:tcBorders>
            <w:shd w:val="clear" w:color="auto" w:fill="auto"/>
            <w:vAlign w:val="center"/>
          </w:tcPr>
          <w:p w14:paraId="1B6E6156">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0677B7E8">
        <w:tblPrEx>
          <w:tblCellMar>
            <w:top w:w="0" w:type="dxa"/>
            <w:left w:w="108" w:type="dxa"/>
            <w:bottom w:w="0" w:type="dxa"/>
            <w:right w:w="108" w:type="dxa"/>
          </w:tblCellMar>
        </w:tblPrEx>
        <w:trPr>
          <w:trHeight w:val="633"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5517042A">
            <w:pPr>
              <w:widowControl/>
              <w:jc w:val="left"/>
              <w:rPr>
                <w:rFonts w:ascii="宋体" w:hAnsi="宋体"/>
                <w:color w:val="000000"/>
                <w:kern w:val="0"/>
                <w:sz w:val="16"/>
                <w:szCs w:val="16"/>
              </w:rPr>
            </w:pPr>
          </w:p>
        </w:tc>
        <w:tc>
          <w:tcPr>
            <w:tcW w:w="1441" w:type="dxa"/>
            <w:vMerge w:val="restart"/>
            <w:tcBorders>
              <w:top w:val="nil"/>
              <w:left w:val="nil"/>
              <w:bottom w:val="nil"/>
              <w:right w:val="single" w:color="000000" w:sz="4" w:space="0"/>
            </w:tcBorders>
            <w:shd w:val="clear" w:color="auto" w:fill="auto"/>
            <w:vAlign w:val="center"/>
          </w:tcPr>
          <w:p w14:paraId="50D6AD2B">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1026" w:type="dxa"/>
            <w:tcBorders>
              <w:top w:val="nil"/>
              <w:left w:val="nil"/>
              <w:bottom w:val="nil"/>
              <w:right w:val="single" w:color="000000" w:sz="4" w:space="0"/>
            </w:tcBorders>
            <w:shd w:val="clear" w:color="auto" w:fill="auto"/>
            <w:vAlign w:val="center"/>
          </w:tcPr>
          <w:p w14:paraId="1FBE07B3">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1463" w:type="dxa"/>
            <w:gridSpan w:val="2"/>
            <w:tcBorders>
              <w:top w:val="single" w:color="000000" w:sz="4" w:space="0"/>
              <w:left w:val="nil"/>
              <w:bottom w:val="single" w:color="000000" w:sz="4" w:space="0"/>
              <w:right w:val="single" w:color="000000" w:sz="4" w:space="0"/>
            </w:tcBorders>
            <w:shd w:val="clear" w:color="auto" w:fill="auto"/>
            <w:vAlign w:val="center"/>
          </w:tcPr>
          <w:p w14:paraId="742F4250">
            <w:pPr>
              <w:widowControl/>
              <w:jc w:val="left"/>
              <w:rPr>
                <w:rFonts w:ascii="宋体" w:hAnsi="宋体"/>
                <w:color w:val="000000"/>
                <w:kern w:val="0"/>
                <w:sz w:val="16"/>
                <w:szCs w:val="16"/>
              </w:rPr>
            </w:pPr>
            <w:r>
              <w:rPr>
                <w:rFonts w:hint="eastAsia" w:ascii="宋体" w:hAnsi="宋体"/>
                <w:color w:val="000000"/>
                <w:kern w:val="0"/>
                <w:sz w:val="16"/>
                <w:szCs w:val="16"/>
              </w:rPr>
              <w:t>农村部分计划生育家庭奖励扶助人数</w:t>
            </w:r>
          </w:p>
        </w:tc>
        <w:tc>
          <w:tcPr>
            <w:tcW w:w="616" w:type="dxa"/>
            <w:tcBorders>
              <w:top w:val="nil"/>
              <w:left w:val="nil"/>
              <w:bottom w:val="single" w:color="000000" w:sz="4" w:space="0"/>
              <w:right w:val="single" w:color="000000" w:sz="4" w:space="0"/>
            </w:tcBorders>
            <w:shd w:val="clear" w:color="auto" w:fill="auto"/>
            <w:vAlign w:val="center"/>
          </w:tcPr>
          <w:p w14:paraId="5F371307">
            <w:pPr>
              <w:widowControl/>
              <w:jc w:val="center"/>
              <w:rPr>
                <w:rFonts w:ascii="宋体" w:hAnsi="宋体"/>
                <w:color w:val="000000"/>
                <w:kern w:val="0"/>
                <w:sz w:val="16"/>
                <w:szCs w:val="16"/>
              </w:rPr>
            </w:pPr>
            <w:r>
              <w:rPr>
                <w:rFonts w:hint="eastAsia" w:ascii="宋体" w:hAnsi="宋体"/>
                <w:color w:val="000000"/>
                <w:kern w:val="0"/>
                <w:sz w:val="16"/>
                <w:szCs w:val="16"/>
              </w:rPr>
              <w:t>≥30000人</w:t>
            </w:r>
          </w:p>
        </w:tc>
        <w:tc>
          <w:tcPr>
            <w:tcW w:w="1282" w:type="dxa"/>
            <w:tcBorders>
              <w:top w:val="nil"/>
              <w:left w:val="nil"/>
              <w:bottom w:val="single" w:color="000000" w:sz="4" w:space="0"/>
              <w:right w:val="single" w:color="000000" w:sz="4" w:space="0"/>
            </w:tcBorders>
            <w:shd w:val="clear" w:color="auto" w:fill="auto"/>
            <w:vAlign w:val="center"/>
          </w:tcPr>
          <w:p w14:paraId="34017FB3">
            <w:pPr>
              <w:widowControl/>
              <w:jc w:val="center"/>
              <w:rPr>
                <w:rFonts w:ascii="宋体" w:hAnsi="宋体"/>
                <w:color w:val="000000"/>
                <w:kern w:val="0"/>
                <w:sz w:val="16"/>
                <w:szCs w:val="16"/>
              </w:rPr>
            </w:pPr>
            <w:r>
              <w:rPr>
                <w:rFonts w:hint="eastAsia" w:ascii="宋体" w:hAnsi="宋体"/>
                <w:color w:val="000000"/>
                <w:kern w:val="0"/>
                <w:sz w:val="16"/>
                <w:szCs w:val="16"/>
              </w:rPr>
              <w:t>35950人</w:t>
            </w:r>
          </w:p>
        </w:tc>
        <w:tc>
          <w:tcPr>
            <w:tcW w:w="456" w:type="dxa"/>
            <w:tcBorders>
              <w:top w:val="nil"/>
              <w:left w:val="nil"/>
              <w:bottom w:val="single" w:color="000000" w:sz="4" w:space="0"/>
              <w:right w:val="single" w:color="000000" w:sz="4" w:space="0"/>
            </w:tcBorders>
            <w:shd w:val="clear" w:color="auto" w:fill="auto"/>
            <w:vAlign w:val="center"/>
          </w:tcPr>
          <w:p w14:paraId="10BCDC9B">
            <w:pPr>
              <w:widowControl/>
              <w:jc w:val="center"/>
              <w:rPr>
                <w:rFonts w:ascii="宋体" w:hAnsi="宋体"/>
                <w:color w:val="000000"/>
                <w:kern w:val="0"/>
                <w:sz w:val="16"/>
                <w:szCs w:val="16"/>
              </w:rPr>
            </w:pPr>
            <w:r>
              <w:rPr>
                <w:rFonts w:hint="eastAsia" w:ascii="宋体" w:hAnsi="宋体"/>
                <w:color w:val="000000"/>
                <w:kern w:val="0"/>
                <w:sz w:val="16"/>
                <w:szCs w:val="16"/>
              </w:rPr>
              <w:t>15</w:t>
            </w:r>
          </w:p>
        </w:tc>
        <w:tc>
          <w:tcPr>
            <w:tcW w:w="967" w:type="dxa"/>
            <w:tcBorders>
              <w:top w:val="nil"/>
              <w:left w:val="nil"/>
              <w:bottom w:val="single" w:color="000000" w:sz="4" w:space="0"/>
              <w:right w:val="single" w:color="000000" w:sz="4" w:space="0"/>
            </w:tcBorders>
            <w:shd w:val="clear" w:color="auto" w:fill="auto"/>
            <w:vAlign w:val="center"/>
          </w:tcPr>
          <w:p w14:paraId="575C6459">
            <w:pPr>
              <w:widowControl/>
              <w:jc w:val="center"/>
              <w:rPr>
                <w:rFonts w:ascii="宋体" w:hAnsi="宋体"/>
                <w:color w:val="000000"/>
                <w:kern w:val="0"/>
                <w:sz w:val="16"/>
                <w:szCs w:val="16"/>
              </w:rPr>
            </w:pPr>
            <w:r>
              <w:rPr>
                <w:rFonts w:hint="eastAsia" w:ascii="宋体" w:hAnsi="宋体"/>
                <w:color w:val="000000"/>
                <w:kern w:val="0"/>
                <w:sz w:val="16"/>
                <w:szCs w:val="16"/>
              </w:rPr>
              <w:t>15</w:t>
            </w:r>
          </w:p>
        </w:tc>
      </w:tr>
      <w:tr w14:paraId="4FC9DE6E">
        <w:tblPrEx>
          <w:tblCellMar>
            <w:top w:w="0" w:type="dxa"/>
            <w:left w:w="108" w:type="dxa"/>
            <w:bottom w:w="0" w:type="dxa"/>
            <w:right w:w="108" w:type="dxa"/>
          </w:tblCellMar>
        </w:tblPrEx>
        <w:trPr>
          <w:trHeight w:val="60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4CE46813">
            <w:pPr>
              <w:widowControl/>
              <w:jc w:val="left"/>
              <w:rPr>
                <w:rFonts w:ascii="宋体" w:hAnsi="宋体"/>
                <w:color w:val="000000"/>
                <w:kern w:val="0"/>
                <w:sz w:val="16"/>
                <w:szCs w:val="16"/>
              </w:rPr>
            </w:pPr>
          </w:p>
        </w:tc>
        <w:tc>
          <w:tcPr>
            <w:tcW w:w="1441" w:type="dxa"/>
            <w:vMerge w:val="continue"/>
            <w:tcBorders>
              <w:top w:val="nil"/>
              <w:left w:val="nil"/>
              <w:bottom w:val="nil"/>
              <w:right w:val="single" w:color="000000" w:sz="4" w:space="0"/>
            </w:tcBorders>
            <w:vAlign w:val="center"/>
          </w:tcPr>
          <w:p w14:paraId="451FDA20">
            <w:pPr>
              <w:widowControl/>
              <w:jc w:val="left"/>
              <w:rPr>
                <w:rFonts w:ascii="宋体" w:hAnsi="宋体"/>
                <w:color w:val="000000"/>
                <w:kern w:val="0"/>
                <w:sz w:val="16"/>
                <w:szCs w:val="16"/>
              </w:rPr>
            </w:pPr>
          </w:p>
        </w:tc>
        <w:tc>
          <w:tcPr>
            <w:tcW w:w="1026" w:type="dxa"/>
            <w:tcBorders>
              <w:top w:val="single" w:color="000000" w:sz="4" w:space="0"/>
              <w:left w:val="nil"/>
              <w:bottom w:val="single" w:color="000000" w:sz="4" w:space="0"/>
              <w:right w:val="single" w:color="000000" w:sz="4" w:space="0"/>
            </w:tcBorders>
            <w:shd w:val="clear" w:color="auto" w:fill="auto"/>
            <w:vAlign w:val="center"/>
          </w:tcPr>
          <w:p w14:paraId="75FB2FBD">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1463" w:type="dxa"/>
            <w:gridSpan w:val="2"/>
            <w:tcBorders>
              <w:top w:val="single" w:color="000000" w:sz="4" w:space="0"/>
              <w:left w:val="nil"/>
              <w:bottom w:val="single" w:color="000000" w:sz="4" w:space="0"/>
              <w:right w:val="single" w:color="000000" w:sz="4" w:space="0"/>
            </w:tcBorders>
            <w:shd w:val="clear" w:color="auto" w:fill="auto"/>
            <w:vAlign w:val="center"/>
          </w:tcPr>
          <w:p w14:paraId="3562227A">
            <w:pPr>
              <w:widowControl/>
              <w:jc w:val="left"/>
              <w:rPr>
                <w:rFonts w:ascii="宋体" w:hAnsi="宋体"/>
                <w:color w:val="000000"/>
                <w:kern w:val="0"/>
                <w:sz w:val="16"/>
                <w:szCs w:val="16"/>
              </w:rPr>
            </w:pPr>
            <w:r>
              <w:rPr>
                <w:rFonts w:hint="eastAsia" w:ascii="宋体" w:hAnsi="宋体"/>
                <w:color w:val="000000"/>
                <w:kern w:val="0"/>
                <w:sz w:val="16"/>
                <w:szCs w:val="16"/>
              </w:rPr>
              <w:t>农村部分计划生育家庭奖励扶助政策覆盖率</w:t>
            </w:r>
          </w:p>
        </w:tc>
        <w:tc>
          <w:tcPr>
            <w:tcW w:w="616" w:type="dxa"/>
            <w:tcBorders>
              <w:top w:val="nil"/>
              <w:left w:val="nil"/>
              <w:bottom w:val="single" w:color="000000" w:sz="4" w:space="0"/>
              <w:right w:val="single" w:color="000000" w:sz="4" w:space="0"/>
            </w:tcBorders>
            <w:shd w:val="clear" w:color="auto" w:fill="auto"/>
            <w:vAlign w:val="center"/>
          </w:tcPr>
          <w:p w14:paraId="08308CE6">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1282" w:type="dxa"/>
            <w:tcBorders>
              <w:top w:val="nil"/>
              <w:left w:val="nil"/>
              <w:bottom w:val="single" w:color="000000" w:sz="4" w:space="0"/>
              <w:right w:val="single" w:color="000000" w:sz="4" w:space="0"/>
            </w:tcBorders>
            <w:shd w:val="clear" w:color="auto" w:fill="auto"/>
            <w:vAlign w:val="center"/>
          </w:tcPr>
          <w:p w14:paraId="7525F1CD">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456" w:type="dxa"/>
            <w:tcBorders>
              <w:top w:val="nil"/>
              <w:left w:val="nil"/>
              <w:bottom w:val="single" w:color="000000" w:sz="4" w:space="0"/>
              <w:right w:val="single" w:color="000000" w:sz="4" w:space="0"/>
            </w:tcBorders>
            <w:shd w:val="clear" w:color="auto" w:fill="auto"/>
            <w:vAlign w:val="center"/>
          </w:tcPr>
          <w:p w14:paraId="5923C379">
            <w:pPr>
              <w:widowControl/>
              <w:jc w:val="center"/>
              <w:rPr>
                <w:color w:val="000000"/>
                <w:kern w:val="0"/>
                <w:sz w:val="16"/>
                <w:szCs w:val="16"/>
              </w:rPr>
            </w:pPr>
            <w:r>
              <w:rPr>
                <w:color w:val="000000"/>
                <w:kern w:val="0"/>
                <w:sz w:val="16"/>
                <w:szCs w:val="16"/>
              </w:rPr>
              <w:t>15</w:t>
            </w:r>
          </w:p>
        </w:tc>
        <w:tc>
          <w:tcPr>
            <w:tcW w:w="967" w:type="dxa"/>
            <w:tcBorders>
              <w:top w:val="nil"/>
              <w:left w:val="nil"/>
              <w:bottom w:val="single" w:color="000000" w:sz="4" w:space="0"/>
              <w:right w:val="single" w:color="000000" w:sz="4" w:space="0"/>
            </w:tcBorders>
            <w:shd w:val="clear" w:color="auto" w:fill="auto"/>
            <w:vAlign w:val="center"/>
          </w:tcPr>
          <w:p w14:paraId="20F84C34">
            <w:pPr>
              <w:widowControl/>
              <w:jc w:val="center"/>
              <w:rPr>
                <w:color w:val="000000"/>
                <w:kern w:val="0"/>
                <w:sz w:val="16"/>
                <w:szCs w:val="16"/>
              </w:rPr>
            </w:pPr>
            <w:r>
              <w:rPr>
                <w:color w:val="000000"/>
                <w:kern w:val="0"/>
                <w:sz w:val="16"/>
                <w:szCs w:val="16"/>
              </w:rPr>
              <w:t>15</w:t>
            </w:r>
          </w:p>
        </w:tc>
      </w:tr>
      <w:tr w14:paraId="35255FC9">
        <w:tblPrEx>
          <w:tblCellMar>
            <w:top w:w="0" w:type="dxa"/>
            <w:left w:w="108" w:type="dxa"/>
            <w:bottom w:w="0" w:type="dxa"/>
            <w:right w:w="108" w:type="dxa"/>
          </w:tblCellMar>
        </w:tblPrEx>
        <w:trPr>
          <w:trHeight w:val="481"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2F3E0976">
            <w:pPr>
              <w:widowControl/>
              <w:jc w:val="left"/>
              <w:rPr>
                <w:rFonts w:ascii="宋体" w:hAnsi="宋体"/>
                <w:color w:val="000000"/>
                <w:kern w:val="0"/>
                <w:sz w:val="16"/>
                <w:szCs w:val="16"/>
              </w:rPr>
            </w:pPr>
          </w:p>
        </w:tc>
        <w:tc>
          <w:tcPr>
            <w:tcW w:w="1441" w:type="dxa"/>
            <w:vMerge w:val="continue"/>
            <w:tcBorders>
              <w:top w:val="nil"/>
              <w:left w:val="nil"/>
              <w:bottom w:val="nil"/>
              <w:right w:val="single" w:color="000000" w:sz="4" w:space="0"/>
            </w:tcBorders>
            <w:vAlign w:val="center"/>
          </w:tcPr>
          <w:p w14:paraId="19C3BDB0">
            <w:pPr>
              <w:widowControl/>
              <w:jc w:val="left"/>
              <w:rPr>
                <w:rFonts w:ascii="宋体" w:hAnsi="宋体"/>
                <w:color w:val="000000"/>
                <w:kern w:val="0"/>
                <w:sz w:val="16"/>
                <w:szCs w:val="16"/>
              </w:rPr>
            </w:pPr>
          </w:p>
        </w:tc>
        <w:tc>
          <w:tcPr>
            <w:tcW w:w="1026" w:type="dxa"/>
            <w:tcBorders>
              <w:top w:val="nil"/>
              <w:left w:val="nil"/>
              <w:bottom w:val="single" w:color="000000" w:sz="4" w:space="0"/>
              <w:right w:val="single" w:color="000000" w:sz="4" w:space="0"/>
            </w:tcBorders>
            <w:shd w:val="clear" w:color="auto" w:fill="auto"/>
            <w:vAlign w:val="center"/>
          </w:tcPr>
          <w:p w14:paraId="3C827C52">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1463" w:type="dxa"/>
            <w:gridSpan w:val="2"/>
            <w:tcBorders>
              <w:top w:val="single" w:color="000000" w:sz="4" w:space="0"/>
              <w:left w:val="nil"/>
              <w:bottom w:val="single" w:color="000000" w:sz="4" w:space="0"/>
              <w:right w:val="single" w:color="000000" w:sz="4" w:space="0"/>
            </w:tcBorders>
            <w:shd w:val="clear" w:color="auto" w:fill="auto"/>
            <w:vAlign w:val="center"/>
          </w:tcPr>
          <w:p w14:paraId="753293CB">
            <w:pPr>
              <w:widowControl/>
              <w:jc w:val="left"/>
              <w:rPr>
                <w:rFonts w:ascii="宋体" w:hAnsi="宋体"/>
                <w:color w:val="000000"/>
                <w:kern w:val="0"/>
                <w:sz w:val="16"/>
                <w:szCs w:val="16"/>
              </w:rPr>
            </w:pPr>
            <w:r>
              <w:rPr>
                <w:rFonts w:hint="eastAsia" w:ascii="宋体" w:hAnsi="宋体"/>
                <w:color w:val="000000"/>
                <w:kern w:val="0"/>
                <w:sz w:val="16"/>
                <w:szCs w:val="16"/>
              </w:rPr>
              <w:t>资金在规定时间内下达的及时性</w:t>
            </w:r>
          </w:p>
        </w:tc>
        <w:tc>
          <w:tcPr>
            <w:tcW w:w="616" w:type="dxa"/>
            <w:tcBorders>
              <w:top w:val="nil"/>
              <w:left w:val="nil"/>
              <w:bottom w:val="single" w:color="000000" w:sz="4" w:space="0"/>
              <w:right w:val="single" w:color="000000" w:sz="4" w:space="0"/>
            </w:tcBorders>
            <w:shd w:val="clear" w:color="auto" w:fill="auto"/>
            <w:vAlign w:val="center"/>
          </w:tcPr>
          <w:p w14:paraId="08F8FF21">
            <w:pPr>
              <w:widowControl/>
              <w:jc w:val="center"/>
              <w:rPr>
                <w:rFonts w:ascii="宋体" w:hAnsi="宋体"/>
                <w:color w:val="000000"/>
                <w:kern w:val="0"/>
                <w:sz w:val="16"/>
                <w:szCs w:val="16"/>
              </w:rPr>
            </w:pPr>
            <w:r>
              <w:rPr>
                <w:rFonts w:hint="eastAsia" w:ascii="宋体" w:hAnsi="宋体"/>
                <w:color w:val="000000"/>
                <w:kern w:val="0"/>
                <w:sz w:val="16"/>
                <w:szCs w:val="16"/>
              </w:rPr>
              <w:t>≥90%</w:t>
            </w:r>
          </w:p>
        </w:tc>
        <w:tc>
          <w:tcPr>
            <w:tcW w:w="1282" w:type="dxa"/>
            <w:tcBorders>
              <w:top w:val="nil"/>
              <w:left w:val="nil"/>
              <w:bottom w:val="single" w:color="000000" w:sz="4" w:space="0"/>
              <w:right w:val="single" w:color="000000" w:sz="4" w:space="0"/>
            </w:tcBorders>
            <w:shd w:val="clear" w:color="auto" w:fill="auto"/>
            <w:vAlign w:val="center"/>
          </w:tcPr>
          <w:p w14:paraId="2FA22326">
            <w:pPr>
              <w:widowControl/>
              <w:jc w:val="center"/>
              <w:rPr>
                <w:rFonts w:ascii="宋体" w:hAnsi="宋体"/>
                <w:color w:val="000000"/>
                <w:kern w:val="0"/>
                <w:sz w:val="16"/>
                <w:szCs w:val="16"/>
              </w:rPr>
            </w:pPr>
            <w:r>
              <w:rPr>
                <w:rFonts w:hint="eastAsia" w:ascii="宋体" w:hAnsi="宋体"/>
                <w:color w:val="000000"/>
                <w:kern w:val="0"/>
                <w:sz w:val="16"/>
                <w:szCs w:val="16"/>
              </w:rPr>
              <w:t>90%</w:t>
            </w:r>
          </w:p>
        </w:tc>
        <w:tc>
          <w:tcPr>
            <w:tcW w:w="456" w:type="dxa"/>
            <w:tcBorders>
              <w:top w:val="nil"/>
              <w:left w:val="nil"/>
              <w:bottom w:val="single" w:color="000000" w:sz="4" w:space="0"/>
              <w:right w:val="single" w:color="000000" w:sz="4" w:space="0"/>
            </w:tcBorders>
            <w:shd w:val="clear" w:color="auto" w:fill="auto"/>
            <w:vAlign w:val="center"/>
          </w:tcPr>
          <w:p w14:paraId="499E3F8A">
            <w:pPr>
              <w:widowControl/>
              <w:jc w:val="center"/>
              <w:rPr>
                <w:color w:val="000000"/>
                <w:kern w:val="0"/>
                <w:sz w:val="16"/>
                <w:szCs w:val="16"/>
              </w:rPr>
            </w:pPr>
            <w:r>
              <w:rPr>
                <w:color w:val="000000"/>
                <w:kern w:val="0"/>
                <w:sz w:val="16"/>
                <w:szCs w:val="16"/>
              </w:rPr>
              <w:t>10</w:t>
            </w:r>
          </w:p>
        </w:tc>
        <w:tc>
          <w:tcPr>
            <w:tcW w:w="967" w:type="dxa"/>
            <w:tcBorders>
              <w:top w:val="nil"/>
              <w:left w:val="nil"/>
              <w:bottom w:val="single" w:color="000000" w:sz="4" w:space="0"/>
              <w:right w:val="single" w:color="000000" w:sz="4" w:space="0"/>
            </w:tcBorders>
            <w:shd w:val="clear" w:color="auto" w:fill="auto"/>
            <w:vAlign w:val="center"/>
          </w:tcPr>
          <w:p w14:paraId="4948D9CC">
            <w:pPr>
              <w:widowControl/>
              <w:jc w:val="center"/>
              <w:rPr>
                <w:color w:val="000000"/>
                <w:kern w:val="0"/>
                <w:sz w:val="16"/>
                <w:szCs w:val="16"/>
              </w:rPr>
            </w:pPr>
            <w:r>
              <w:rPr>
                <w:color w:val="000000"/>
                <w:kern w:val="0"/>
                <w:sz w:val="16"/>
                <w:szCs w:val="16"/>
              </w:rPr>
              <w:t>10</w:t>
            </w:r>
          </w:p>
        </w:tc>
      </w:tr>
      <w:tr w14:paraId="6D381CFE">
        <w:tblPrEx>
          <w:tblCellMar>
            <w:top w:w="0" w:type="dxa"/>
            <w:left w:w="108" w:type="dxa"/>
            <w:bottom w:w="0" w:type="dxa"/>
            <w:right w:w="108" w:type="dxa"/>
          </w:tblCellMar>
        </w:tblPrEx>
        <w:trPr>
          <w:trHeight w:val="693"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3652518D">
            <w:pPr>
              <w:widowControl/>
              <w:jc w:val="left"/>
              <w:rPr>
                <w:rFonts w:ascii="宋体" w:hAnsi="宋体"/>
                <w:color w:val="000000"/>
                <w:kern w:val="0"/>
                <w:sz w:val="16"/>
                <w:szCs w:val="16"/>
              </w:rPr>
            </w:pPr>
          </w:p>
        </w:tc>
        <w:tc>
          <w:tcPr>
            <w:tcW w:w="1441" w:type="dxa"/>
            <w:vMerge w:val="continue"/>
            <w:tcBorders>
              <w:top w:val="nil"/>
              <w:left w:val="nil"/>
              <w:bottom w:val="nil"/>
              <w:right w:val="single" w:color="000000" w:sz="4" w:space="0"/>
            </w:tcBorders>
            <w:vAlign w:val="center"/>
          </w:tcPr>
          <w:p w14:paraId="3F5A0BCB">
            <w:pPr>
              <w:widowControl/>
              <w:jc w:val="left"/>
              <w:rPr>
                <w:rFonts w:ascii="宋体" w:hAnsi="宋体"/>
                <w:color w:val="000000"/>
                <w:kern w:val="0"/>
                <w:sz w:val="16"/>
                <w:szCs w:val="16"/>
              </w:rPr>
            </w:pPr>
          </w:p>
        </w:tc>
        <w:tc>
          <w:tcPr>
            <w:tcW w:w="1026" w:type="dxa"/>
            <w:tcBorders>
              <w:top w:val="nil"/>
              <w:left w:val="nil"/>
              <w:bottom w:val="single" w:color="000000" w:sz="4" w:space="0"/>
              <w:right w:val="single" w:color="000000" w:sz="4" w:space="0"/>
            </w:tcBorders>
            <w:shd w:val="clear" w:color="auto" w:fill="auto"/>
            <w:vAlign w:val="center"/>
          </w:tcPr>
          <w:p w14:paraId="721B1BC0">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1463" w:type="dxa"/>
            <w:gridSpan w:val="2"/>
            <w:tcBorders>
              <w:top w:val="single" w:color="000000" w:sz="4" w:space="0"/>
              <w:left w:val="nil"/>
              <w:bottom w:val="single" w:color="000000" w:sz="4" w:space="0"/>
              <w:right w:val="single" w:color="000000" w:sz="4" w:space="0"/>
            </w:tcBorders>
            <w:shd w:val="clear" w:color="auto" w:fill="auto"/>
            <w:vAlign w:val="center"/>
          </w:tcPr>
          <w:p w14:paraId="4493E1B0">
            <w:pPr>
              <w:widowControl/>
              <w:jc w:val="left"/>
              <w:rPr>
                <w:rFonts w:ascii="宋体" w:hAnsi="宋体"/>
                <w:color w:val="000000"/>
                <w:kern w:val="0"/>
                <w:sz w:val="16"/>
                <w:szCs w:val="16"/>
              </w:rPr>
            </w:pPr>
            <w:r>
              <w:rPr>
                <w:rFonts w:hint="eastAsia" w:ascii="宋体" w:hAnsi="宋体"/>
                <w:color w:val="000000"/>
                <w:kern w:val="0"/>
                <w:sz w:val="16"/>
                <w:szCs w:val="16"/>
              </w:rPr>
              <w:t>农村部分计划生育家庭奖励扶助金按相关文件要求执行支付</w:t>
            </w:r>
          </w:p>
        </w:tc>
        <w:tc>
          <w:tcPr>
            <w:tcW w:w="616" w:type="dxa"/>
            <w:tcBorders>
              <w:top w:val="nil"/>
              <w:left w:val="nil"/>
              <w:bottom w:val="single" w:color="000000" w:sz="4" w:space="0"/>
              <w:right w:val="single" w:color="000000" w:sz="4" w:space="0"/>
            </w:tcBorders>
            <w:shd w:val="clear" w:color="auto" w:fill="auto"/>
            <w:vAlign w:val="center"/>
          </w:tcPr>
          <w:p w14:paraId="0CD25216">
            <w:pPr>
              <w:widowControl/>
              <w:jc w:val="center"/>
              <w:rPr>
                <w:rFonts w:ascii="宋体" w:hAnsi="宋体"/>
                <w:color w:val="000000"/>
                <w:kern w:val="0"/>
                <w:sz w:val="16"/>
                <w:szCs w:val="16"/>
              </w:rPr>
            </w:pPr>
            <w:r>
              <w:rPr>
                <w:rFonts w:hint="eastAsia" w:ascii="宋体" w:hAnsi="宋体"/>
                <w:color w:val="000000"/>
                <w:kern w:val="0"/>
                <w:sz w:val="16"/>
                <w:szCs w:val="16"/>
              </w:rPr>
              <w:t>是/否</w:t>
            </w:r>
          </w:p>
        </w:tc>
        <w:tc>
          <w:tcPr>
            <w:tcW w:w="1282" w:type="dxa"/>
            <w:tcBorders>
              <w:top w:val="nil"/>
              <w:left w:val="nil"/>
              <w:bottom w:val="single" w:color="000000" w:sz="4" w:space="0"/>
              <w:right w:val="single" w:color="000000" w:sz="4" w:space="0"/>
            </w:tcBorders>
            <w:shd w:val="clear" w:color="auto" w:fill="auto"/>
            <w:vAlign w:val="center"/>
          </w:tcPr>
          <w:p w14:paraId="42E645CE">
            <w:pPr>
              <w:widowControl/>
              <w:jc w:val="center"/>
              <w:rPr>
                <w:rFonts w:ascii="宋体" w:hAnsi="宋体"/>
                <w:color w:val="000000"/>
                <w:kern w:val="0"/>
                <w:sz w:val="16"/>
                <w:szCs w:val="16"/>
              </w:rPr>
            </w:pPr>
            <w:r>
              <w:rPr>
                <w:rFonts w:hint="eastAsia" w:ascii="宋体" w:hAnsi="宋体"/>
                <w:color w:val="000000"/>
                <w:kern w:val="0"/>
                <w:sz w:val="16"/>
                <w:szCs w:val="16"/>
              </w:rPr>
              <w:t>是</w:t>
            </w:r>
          </w:p>
        </w:tc>
        <w:tc>
          <w:tcPr>
            <w:tcW w:w="456" w:type="dxa"/>
            <w:tcBorders>
              <w:top w:val="nil"/>
              <w:left w:val="nil"/>
              <w:bottom w:val="single" w:color="000000" w:sz="4" w:space="0"/>
              <w:right w:val="single" w:color="000000" w:sz="4" w:space="0"/>
            </w:tcBorders>
            <w:shd w:val="clear" w:color="auto" w:fill="auto"/>
            <w:vAlign w:val="center"/>
          </w:tcPr>
          <w:p w14:paraId="24A2E28B">
            <w:pPr>
              <w:widowControl/>
              <w:jc w:val="center"/>
              <w:rPr>
                <w:color w:val="000000"/>
                <w:kern w:val="0"/>
                <w:sz w:val="16"/>
                <w:szCs w:val="16"/>
              </w:rPr>
            </w:pPr>
            <w:r>
              <w:rPr>
                <w:color w:val="000000"/>
                <w:kern w:val="0"/>
                <w:sz w:val="16"/>
                <w:szCs w:val="16"/>
              </w:rPr>
              <w:t>10</w:t>
            </w:r>
          </w:p>
        </w:tc>
        <w:tc>
          <w:tcPr>
            <w:tcW w:w="967" w:type="dxa"/>
            <w:tcBorders>
              <w:top w:val="nil"/>
              <w:left w:val="nil"/>
              <w:bottom w:val="single" w:color="000000" w:sz="4" w:space="0"/>
              <w:right w:val="single" w:color="000000" w:sz="4" w:space="0"/>
            </w:tcBorders>
            <w:shd w:val="clear" w:color="auto" w:fill="auto"/>
            <w:vAlign w:val="center"/>
          </w:tcPr>
          <w:p w14:paraId="5A4816F9">
            <w:pPr>
              <w:widowControl/>
              <w:jc w:val="center"/>
              <w:rPr>
                <w:color w:val="000000"/>
                <w:kern w:val="0"/>
                <w:sz w:val="16"/>
                <w:szCs w:val="16"/>
              </w:rPr>
            </w:pPr>
            <w:r>
              <w:rPr>
                <w:color w:val="000000"/>
                <w:kern w:val="0"/>
                <w:sz w:val="16"/>
                <w:szCs w:val="16"/>
              </w:rPr>
              <w:t>10</w:t>
            </w:r>
          </w:p>
        </w:tc>
      </w:tr>
      <w:tr w14:paraId="721124CC">
        <w:tblPrEx>
          <w:tblCellMar>
            <w:top w:w="0" w:type="dxa"/>
            <w:left w:w="108" w:type="dxa"/>
            <w:bottom w:w="0" w:type="dxa"/>
            <w:right w:w="108" w:type="dxa"/>
          </w:tblCellMar>
        </w:tblPrEx>
        <w:trPr>
          <w:trHeight w:val="571"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6947237F">
            <w:pPr>
              <w:widowControl/>
              <w:jc w:val="left"/>
              <w:rPr>
                <w:rFonts w:ascii="宋体" w:hAnsi="宋体"/>
                <w:color w:val="000000"/>
                <w:kern w:val="0"/>
                <w:sz w:val="16"/>
                <w:szCs w:val="16"/>
              </w:rPr>
            </w:pPr>
          </w:p>
        </w:tc>
        <w:tc>
          <w:tcPr>
            <w:tcW w:w="1441" w:type="dxa"/>
            <w:vMerge w:val="restart"/>
            <w:tcBorders>
              <w:top w:val="single" w:color="000000" w:sz="4" w:space="0"/>
              <w:left w:val="nil"/>
              <w:bottom w:val="nil"/>
              <w:right w:val="single" w:color="000000" w:sz="4" w:space="0"/>
            </w:tcBorders>
            <w:shd w:val="clear" w:color="auto" w:fill="auto"/>
            <w:vAlign w:val="center"/>
          </w:tcPr>
          <w:p w14:paraId="53E2E575">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026" w:type="dxa"/>
            <w:tcBorders>
              <w:top w:val="nil"/>
              <w:left w:val="nil"/>
              <w:bottom w:val="single" w:color="000000" w:sz="4" w:space="0"/>
              <w:right w:val="single" w:color="000000" w:sz="4" w:space="0"/>
            </w:tcBorders>
            <w:shd w:val="clear" w:color="auto" w:fill="auto"/>
            <w:vAlign w:val="center"/>
          </w:tcPr>
          <w:p w14:paraId="460EADDB">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1463" w:type="dxa"/>
            <w:gridSpan w:val="2"/>
            <w:tcBorders>
              <w:top w:val="single" w:color="000000" w:sz="4" w:space="0"/>
              <w:left w:val="nil"/>
              <w:bottom w:val="single" w:color="000000" w:sz="4" w:space="0"/>
              <w:right w:val="single" w:color="000000" w:sz="4" w:space="0"/>
            </w:tcBorders>
            <w:shd w:val="clear" w:color="auto" w:fill="auto"/>
            <w:vAlign w:val="center"/>
          </w:tcPr>
          <w:p w14:paraId="1EB9FFB7">
            <w:pPr>
              <w:widowControl/>
              <w:jc w:val="left"/>
              <w:rPr>
                <w:rFonts w:ascii="宋体" w:hAnsi="宋体"/>
                <w:color w:val="000000"/>
                <w:kern w:val="0"/>
                <w:sz w:val="16"/>
                <w:szCs w:val="16"/>
              </w:rPr>
            </w:pPr>
            <w:r>
              <w:rPr>
                <w:rFonts w:hint="eastAsia" w:ascii="宋体" w:hAnsi="宋体"/>
                <w:color w:val="000000"/>
                <w:kern w:val="0"/>
                <w:sz w:val="16"/>
                <w:szCs w:val="16"/>
              </w:rPr>
              <w:t>增加奖扶家庭人员的经济收入</w:t>
            </w:r>
          </w:p>
        </w:tc>
        <w:tc>
          <w:tcPr>
            <w:tcW w:w="616" w:type="dxa"/>
            <w:tcBorders>
              <w:top w:val="nil"/>
              <w:left w:val="nil"/>
              <w:bottom w:val="single" w:color="000000" w:sz="4" w:space="0"/>
              <w:right w:val="single" w:color="000000" w:sz="4" w:space="0"/>
            </w:tcBorders>
            <w:shd w:val="clear" w:color="auto" w:fill="auto"/>
            <w:vAlign w:val="center"/>
          </w:tcPr>
          <w:p w14:paraId="40526B78">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1282" w:type="dxa"/>
            <w:tcBorders>
              <w:top w:val="nil"/>
              <w:left w:val="nil"/>
              <w:bottom w:val="single" w:color="000000" w:sz="4" w:space="0"/>
              <w:right w:val="single" w:color="000000" w:sz="4" w:space="0"/>
            </w:tcBorders>
            <w:shd w:val="clear" w:color="auto" w:fill="auto"/>
            <w:vAlign w:val="center"/>
          </w:tcPr>
          <w:p w14:paraId="7CA1CBC2">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456" w:type="dxa"/>
            <w:tcBorders>
              <w:top w:val="nil"/>
              <w:left w:val="nil"/>
              <w:bottom w:val="single" w:color="000000" w:sz="4" w:space="0"/>
              <w:right w:val="single" w:color="000000" w:sz="4" w:space="0"/>
            </w:tcBorders>
            <w:shd w:val="clear" w:color="auto" w:fill="auto"/>
            <w:vAlign w:val="center"/>
          </w:tcPr>
          <w:p w14:paraId="030A70F6">
            <w:pPr>
              <w:widowControl/>
              <w:jc w:val="center"/>
              <w:rPr>
                <w:color w:val="000000"/>
                <w:kern w:val="0"/>
                <w:sz w:val="16"/>
                <w:szCs w:val="16"/>
              </w:rPr>
            </w:pPr>
            <w:r>
              <w:rPr>
                <w:color w:val="000000"/>
                <w:kern w:val="0"/>
                <w:sz w:val="16"/>
                <w:szCs w:val="16"/>
              </w:rPr>
              <w:t>8</w:t>
            </w:r>
          </w:p>
        </w:tc>
        <w:tc>
          <w:tcPr>
            <w:tcW w:w="967" w:type="dxa"/>
            <w:tcBorders>
              <w:top w:val="nil"/>
              <w:left w:val="nil"/>
              <w:bottom w:val="single" w:color="000000" w:sz="4" w:space="0"/>
              <w:right w:val="single" w:color="000000" w:sz="4" w:space="0"/>
            </w:tcBorders>
            <w:shd w:val="clear" w:color="auto" w:fill="auto"/>
            <w:vAlign w:val="center"/>
          </w:tcPr>
          <w:p w14:paraId="6E649131">
            <w:pPr>
              <w:widowControl/>
              <w:jc w:val="center"/>
              <w:rPr>
                <w:color w:val="000000"/>
                <w:kern w:val="0"/>
                <w:sz w:val="16"/>
                <w:szCs w:val="16"/>
              </w:rPr>
            </w:pPr>
            <w:r>
              <w:rPr>
                <w:color w:val="000000"/>
                <w:kern w:val="0"/>
                <w:sz w:val="16"/>
                <w:szCs w:val="16"/>
              </w:rPr>
              <w:t>8</w:t>
            </w:r>
          </w:p>
        </w:tc>
      </w:tr>
      <w:tr w14:paraId="5A6AF71A">
        <w:tblPrEx>
          <w:tblCellMar>
            <w:top w:w="0" w:type="dxa"/>
            <w:left w:w="108" w:type="dxa"/>
            <w:bottom w:w="0" w:type="dxa"/>
            <w:right w:w="108" w:type="dxa"/>
          </w:tblCellMar>
        </w:tblPrEx>
        <w:trPr>
          <w:trHeight w:val="551"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4A6E5F97">
            <w:pPr>
              <w:widowControl/>
              <w:jc w:val="left"/>
              <w:rPr>
                <w:rFonts w:ascii="宋体" w:hAnsi="宋体"/>
                <w:color w:val="000000"/>
                <w:kern w:val="0"/>
                <w:sz w:val="16"/>
                <w:szCs w:val="16"/>
              </w:rPr>
            </w:pPr>
          </w:p>
        </w:tc>
        <w:tc>
          <w:tcPr>
            <w:tcW w:w="1441" w:type="dxa"/>
            <w:vMerge w:val="continue"/>
            <w:tcBorders>
              <w:top w:val="single" w:color="000000" w:sz="4" w:space="0"/>
              <w:left w:val="nil"/>
              <w:bottom w:val="nil"/>
              <w:right w:val="single" w:color="000000" w:sz="4" w:space="0"/>
            </w:tcBorders>
            <w:vAlign w:val="center"/>
          </w:tcPr>
          <w:p w14:paraId="21EA4FC2">
            <w:pPr>
              <w:widowControl/>
              <w:jc w:val="left"/>
              <w:rPr>
                <w:rFonts w:ascii="宋体" w:hAnsi="宋体"/>
                <w:color w:val="000000"/>
                <w:kern w:val="0"/>
                <w:sz w:val="16"/>
                <w:szCs w:val="16"/>
              </w:rPr>
            </w:pPr>
          </w:p>
        </w:tc>
        <w:tc>
          <w:tcPr>
            <w:tcW w:w="1026" w:type="dxa"/>
            <w:tcBorders>
              <w:top w:val="nil"/>
              <w:left w:val="nil"/>
              <w:bottom w:val="single" w:color="000000" w:sz="4" w:space="0"/>
              <w:right w:val="single" w:color="000000" w:sz="4" w:space="0"/>
            </w:tcBorders>
            <w:shd w:val="clear" w:color="auto" w:fill="auto"/>
            <w:vAlign w:val="center"/>
          </w:tcPr>
          <w:p w14:paraId="5A371D6F">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1463" w:type="dxa"/>
            <w:gridSpan w:val="2"/>
            <w:tcBorders>
              <w:top w:val="single" w:color="000000" w:sz="4" w:space="0"/>
              <w:left w:val="nil"/>
              <w:bottom w:val="single" w:color="000000" w:sz="4" w:space="0"/>
              <w:right w:val="single" w:color="000000" w:sz="4" w:space="0"/>
            </w:tcBorders>
            <w:shd w:val="clear" w:color="auto" w:fill="auto"/>
            <w:vAlign w:val="center"/>
          </w:tcPr>
          <w:p w14:paraId="76AF6015">
            <w:pPr>
              <w:widowControl/>
              <w:jc w:val="left"/>
              <w:rPr>
                <w:rFonts w:ascii="宋体" w:hAnsi="宋体"/>
                <w:color w:val="000000"/>
                <w:kern w:val="0"/>
                <w:sz w:val="16"/>
                <w:szCs w:val="16"/>
              </w:rPr>
            </w:pPr>
            <w:r>
              <w:rPr>
                <w:rFonts w:hint="eastAsia" w:ascii="宋体" w:hAnsi="宋体"/>
                <w:color w:val="000000"/>
                <w:kern w:val="0"/>
                <w:sz w:val="16"/>
                <w:szCs w:val="16"/>
              </w:rPr>
              <w:t>人口与资源环境协调发展</w:t>
            </w:r>
          </w:p>
        </w:tc>
        <w:tc>
          <w:tcPr>
            <w:tcW w:w="616" w:type="dxa"/>
            <w:tcBorders>
              <w:top w:val="nil"/>
              <w:left w:val="nil"/>
              <w:bottom w:val="single" w:color="000000" w:sz="4" w:space="0"/>
              <w:right w:val="single" w:color="000000" w:sz="4" w:space="0"/>
            </w:tcBorders>
            <w:shd w:val="clear" w:color="auto" w:fill="auto"/>
            <w:vAlign w:val="center"/>
          </w:tcPr>
          <w:p w14:paraId="5EE59237">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1282" w:type="dxa"/>
            <w:tcBorders>
              <w:top w:val="nil"/>
              <w:left w:val="nil"/>
              <w:bottom w:val="single" w:color="000000" w:sz="4" w:space="0"/>
              <w:right w:val="single" w:color="000000" w:sz="4" w:space="0"/>
            </w:tcBorders>
            <w:shd w:val="clear" w:color="auto" w:fill="auto"/>
            <w:vAlign w:val="center"/>
          </w:tcPr>
          <w:p w14:paraId="5278C223">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456" w:type="dxa"/>
            <w:tcBorders>
              <w:top w:val="nil"/>
              <w:left w:val="nil"/>
              <w:bottom w:val="single" w:color="000000" w:sz="4" w:space="0"/>
              <w:right w:val="single" w:color="000000" w:sz="4" w:space="0"/>
            </w:tcBorders>
            <w:shd w:val="clear" w:color="auto" w:fill="auto"/>
            <w:vAlign w:val="center"/>
          </w:tcPr>
          <w:p w14:paraId="331BC373">
            <w:pPr>
              <w:widowControl/>
              <w:jc w:val="center"/>
              <w:rPr>
                <w:color w:val="000000"/>
                <w:kern w:val="0"/>
                <w:sz w:val="16"/>
                <w:szCs w:val="16"/>
              </w:rPr>
            </w:pPr>
            <w:r>
              <w:rPr>
                <w:color w:val="000000"/>
                <w:kern w:val="0"/>
                <w:sz w:val="16"/>
                <w:szCs w:val="16"/>
              </w:rPr>
              <w:t>8</w:t>
            </w:r>
          </w:p>
        </w:tc>
        <w:tc>
          <w:tcPr>
            <w:tcW w:w="967" w:type="dxa"/>
            <w:tcBorders>
              <w:top w:val="nil"/>
              <w:left w:val="nil"/>
              <w:bottom w:val="single" w:color="000000" w:sz="4" w:space="0"/>
              <w:right w:val="single" w:color="000000" w:sz="4" w:space="0"/>
            </w:tcBorders>
            <w:shd w:val="clear" w:color="auto" w:fill="auto"/>
            <w:vAlign w:val="center"/>
          </w:tcPr>
          <w:p w14:paraId="7447E5EF">
            <w:pPr>
              <w:widowControl/>
              <w:jc w:val="center"/>
              <w:rPr>
                <w:color w:val="000000"/>
                <w:kern w:val="0"/>
                <w:sz w:val="16"/>
                <w:szCs w:val="16"/>
              </w:rPr>
            </w:pPr>
            <w:r>
              <w:rPr>
                <w:color w:val="000000"/>
                <w:kern w:val="0"/>
                <w:sz w:val="16"/>
                <w:szCs w:val="16"/>
              </w:rPr>
              <w:t>7</w:t>
            </w:r>
          </w:p>
        </w:tc>
      </w:tr>
      <w:tr w14:paraId="285195A1">
        <w:tblPrEx>
          <w:tblCellMar>
            <w:top w:w="0" w:type="dxa"/>
            <w:left w:w="108" w:type="dxa"/>
            <w:bottom w:w="0" w:type="dxa"/>
            <w:right w:w="108" w:type="dxa"/>
          </w:tblCellMar>
        </w:tblPrEx>
        <w:trPr>
          <w:trHeight w:val="573"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01E40F37">
            <w:pPr>
              <w:widowControl/>
              <w:jc w:val="left"/>
              <w:rPr>
                <w:rFonts w:ascii="宋体" w:hAnsi="宋体"/>
                <w:color w:val="000000"/>
                <w:kern w:val="0"/>
                <w:sz w:val="16"/>
                <w:szCs w:val="16"/>
              </w:rPr>
            </w:pPr>
          </w:p>
        </w:tc>
        <w:tc>
          <w:tcPr>
            <w:tcW w:w="1441" w:type="dxa"/>
            <w:vMerge w:val="continue"/>
            <w:tcBorders>
              <w:top w:val="single" w:color="000000" w:sz="4" w:space="0"/>
              <w:left w:val="nil"/>
              <w:bottom w:val="nil"/>
              <w:right w:val="single" w:color="000000" w:sz="4" w:space="0"/>
            </w:tcBorders>
            <w:vAlign w:val="center"/>
          </w:tcPr>
          <w:p w14:paraId="08148302">
            <w:pPr>
              <w:widowControl/>
              <w:jc w:val="left"/>
              <w:rPr>
                <w:rFonts w:ascii="宋体" w:hAnsi="宋体"/>
                <w:color w:val="000000"/>
                <w:kern w:val="0"/>
                <w:sz w:val="16"/>
                <w:szCs w:val="16"/>
              </w:rPr>
            </w:pPr>
          </w:p>
        </w:tc>
        <w:tc>
          <w:tcPr>
            <w:tcW w:w="1026" w:type="dxa"/>
            <w:tcBorders>
              <w:top w:val="nil"/>
              <w:left w:val="nil"/>
              <w:bottom w:val="single" w:color="000000" w:sz="4" w:space="0"/>
              <w:right w:val="single" w:color="000000" w:sz="4" w:space="0"/>
            </w:tcBorders>
            <w:shd w:val="clear" w:color="auto" w:fill="auto"/>
            <w:vAlign w:val="center"/>
          </w:tcPr>
          <w:p w14:paraId="28D57F2F">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1463" w:type="dxa"/>
            <w:gridSpan w:val="2"/>
            <w:tcBorders>
              <w:top w:val="single" w:color="000000" w:sz="4" w:space="0"/>
              <w:left w:val="nil"/>
              <w:bottom w:val="single" w:color="000000" w:sz="4" w:space="0"/>
              <w:right w:val="single" w:color="000000" w:sz="4" w:space="0"/>
            </w:tcBorders>
            <w:shd w:val="clear" w:color="auto" w:fill="auto"/>
            <w:vAlign w:val="center"/>
          </w:tcPr>
          <w:p w14:paraId="2818C2BA">
            <w:pPr>
              <w:widowControl/>
              <w:jc w:val="left"/>
              <w:rPr>
                <w:rFonts w:ascii="宋体" w:hAnsi="宋体"/>
                <w:color w:val="000000"/>
                <w:kern w:val="0"/>
                <w:sz w:val="16"/>
                <w:szCs w:val="16"/>
              </w:rPr>
            </w:pPr>
            <w:r>
              <w:rPr>
                <w:rFonts w:hint="eastAsia" w:ascii="宋体" w:hAnsi="宋体"/>
                <w:color w:val="000000"/>
                <w:kern w:val="0"/>
                <w:sz w:val="16"/>
                <w:szCs w:val="16"/>
              </w:rPr>
              <w:t>绿色办公无污染</w:t>
            </w:r>
          </w:p>
        </w:tc>
        <w:tc>
          <w:tcPr>
            <w:tcW w:w="616" w:type="dxa"/>
            <w:tcBorders>
              <w:top w:val="nil"/>
              <w:left w:val="nil"/>
              <w:bottom w:val="single" w:color="000000" w:sz="4" w:space="0"/>
              <w:right w:val="single" w:color="000000" w:sz="4" w:space="0"/>
            </w:tcBorders>
            <w:shd w:val="clear" w:color="auto" w:fill="auto"/>
            <w:vAlign w:val="center"/>
          </w:tcPr>
          <w:p w14:paraId="6947984B">
            <w:pPr>
              <w:widowControl/>
              <w:jc w:val="center"/>
              <w:rPr>
                <w:rFonts w:ascii="宋体" w:hAnsi="宋体"/>
                <w:color w:val="000000"/>
                <w:kern w:val="0"/>
                <w:sz w:val="16"/>
                <w:szCs w:val="16"/>
              </w:rPr>
            </w:pPr>
            <w:r>
              <w:rPr>
                <w:rFonts w:hint="eastAsia" w:ascii="宋体" w:hAnsi="宋体"/>
                <w:color w:val="000000"/>
                <w:kern w:val="0"/>
                <w:sz w:val="16"/>
                <w:szCs w:val="16"/>
              </w:rPr>
              <w:t>是/否</w:t>
            </w:r>
          </w:p>
        </w:tc>
        <w:tc>
          <w:tcPr>
            <w:tcW w:w="1282" w:type="dxa"/>
            <w:tcBorders>
              <w:top w:val="nil"/>
              <w:left w:val="nil"/>
              <w:bottom w:val="single" w:color="000000" w:sz="4" w:space="0"/>
              <w:right w:val="single" w:color="000000" w:sz="4" w:space="0"/>
            </w:tcBorders>
            <w:shd w:val="clear" w:color="auto" w:fill="auto"/>
            <w:vAlign w:val="center"/>
          </w:tcPr>
          <w:p w14:paraId="68150461">
            <w:pPr>
              <w:widowControl/>
              <w:jc w:val="center"/>
              <w:rPr>
                <w:rFonts w:ascii="宋体" w:hAnsi="宋体"/>
                <w:color w:val="000000"/>
                <w:kern w:val="0"/>
                <w:sz w:val="16"/>
                <w:szCs w:val="16"/>
              </w:rPr>
            </w:pPr>
            <w:r>
              <w:rPr>
                <w:rFonts w:hint="eastAsia" w:ascii="宋体" w:hAnsi="宋体"/>
                <w:color w:val="000000"/>
                <w:kern w:val="0"/>
                <w:sz w:val="16"/>
                <w:szCs w:val="16"/>
              </w:rPr>
              <w:t>是</w:t>
            </w:r>
          </w:p>
        </w:tc>
        <w:tc>
          <w:tcPr>
            <w:tcW w:w="456" w:type="dxa"/>
            <w:tcBorders>
              <w:top w:val="nil"/>
              <w:left w:val="nil"/>
              <w:bottom w:val="single" w:color="000000" w:sz="4" w:space="0"/>
              <w:right w:val="single" w:color="000000" w:sz="4" w:space="0"/>
            </w:tcBorders>
            <w:shd w:val="clear" w:color="auto" w:fill="auto"/>
            <w:vAlign w:val="center"/>
          </w:tcPr>
          <w:p w14:paraId="11BC7DEB">
            <w:pPr>
              <w:widowControl/>
              <w:jc w:val="center"/>
              <w:rPr>
                <w:color w:val="000000"/>
                <w:kern w:val="0"/>
                <w:sz w:val="16"/>
                <w:szCs w:val="16"/>
              </w:rPr>
            </w:pPr>
            <w:r>
              <w:rPr>
                <w:color w:val="000000"/>
                <w:kern w:val="0"/>
                <w:sz w:val="16"/>
                <w:szCs w:val="16"/>
              </w:rPr>
              <w:t>8</w:t>
            </w:r>
          </w:p>
        </w:tc>
        <w:tc>
          <w:tcPr>
            <w:tcW w:w="967" w:type="dxa"/>
            <w:tcBorders>
              <w:top w:val="nil"/>
              <w:left w:val="nil"/>
              <w:bottom w:val="single" w:color="000000" w:sz="4" w:space="0"/>
              <w:right w:val="single" w:color="000000" w:sz="4" w:space="0"/>
            </w:tcBorders>
            <w:shd w:val="clear" w:color="auto" w:fill="auto"/>
            <w:vAlign w:val="center"/>
          </w:tcPr>
          <w:p w14:paraId="55352AFD">
            <w:pPr>
              <w:widowControl/>
              <w:jc w:val="center"/>
              <w:rPr>
                <w:color w:val="000000"/>
                <w:kern w:val="0"/>
                <w:sz w:val="16"/>
                <w:szCs w:val="16"/>
              </w:rPr>
            </w:pPr>
            <w:r>
              <w:rPr>
                <w:color w:val="000000"/>
                <w:kern w:val="0"/>
                <w:sz w:val="16"/>
                <w:szCs w:val="16"/>
              </w:rPr>
              <w:t>8</w:t>
            </w:r>
          </w:p>
        </w:tc>
      </w:tr>
      <w:tr w14:paraId="67670EB6">
        <w:tblPrEx>
          <w:tblCellMar>
            <w:top w:w="0" w:type="dxa"/>
            <w:left w:w="108" w:type="dxa"/>
            <w:bottom w:w="0" w:type="dxa"/>
            <w:right w:w="108" w:type="dxa"/>
          </w:tblCellMar>
        </w:tblPrEx>
        <w:trPr>
          <w:trHeight w:val="72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7AF2B87B">
            <w:pPr>
              <w:widowControl/>
              <w:jc w:val="left"/>
              <w:rPr>
                <w:rFonts w:ascii="宋体" w:hAnsi="宋体"/>
                <w:color w:val="000000"/>
                <w:kern w:val="0"/>
                <w:sz w:val="16"/>
                <w:szCs w:val="16"/>
              </w:rPr>
            </w:pPr>
          </w:p>
        </w:tc>
        <w:tc>
          <w:tcPr>
            <w:tcW w:w="1441" w:type="dxa"/>
            <w:vMerge w:val="continue"/>
            <w:tcBorders>
              <w:top w:val="single" w:color="000000" w:sz="4" w:space="0"/>
              <w:left w:val="nil"/>
              <w:bottom w:val="nil"/>
              <w:right w:val="single" w:color="000000" w:sz="4" w:space="0"/>
            </w:tcBorders>
            <w:vAlign w:val="center"/>
          </w:tcPr>
          <w:p w14:paraId="7147C0DA">
            <w:pPr>
              <w:widowControl/>
              <w:jc w:val="left"/>
              <w:rPr>
                <w:rFonts w:ascii="宋体" w:hAnsi="宋体"/>
                <w:color w:val="000000"/>
                <w:kern w:val="0"/>
                <w:sz w:val="16"/>
                <w:szCs w:val="16"/>
              </w:rPr>
            </w:pPr>
          </w:p>
        </w:tc>
        <w:tc>
          <w:tcPr>
            <w:tcW w:w="1026" w:type="dxa"/>
            <w:tcBorders>
              <w:top w:val="nil"/>
              <w:left w:val="nil"/>
              <w:bottom w:val="single" w:color="000000" w:sz="4" w:space="0"/>
              <w:right w:val="single" w:color="000000" w:sz="4" w:space="0"/>
            </w:tcBorders>
            <w:shd w:val="clear" w:color="auto" w:fill="auto"/>
            <w:vAlign w:val="center"/>
          </w:tcPr>
          <w:p w14:paraId="72BB0AFC">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1463" w:type="dxa"/>
            <w:gridSpan w:val="2"/>
            <w:tcBorders>
              <w:top w:val="single" w:color="000000" w:sz="4" w:space="0"/>
              <w:left w:val="nil"/>
              <w:bottom w:val="single" w:color="000000" w:sz="4" w:space="0"/>
              <w:right w:val="single" w:color="000000" w:sz="4" w:space="0"/>
            </w:tcBorders>
            <w:shd w:val="clear" w:color="auto" w:fill="auto"/>
            <w:vAlign w:val="center"/>
          </w:tcPr>
          <w:p w14:paraId="0D405917">
            <w:pPr>
              <w:widowControl/>
              <w:jc w:val="left"/>
              <w:rPr>
                <w:rFonts w:ascii="宋体" w:hAnsi="宋体"/>
                <w:color w:val="000000"/>
                <w:kern w:val="0"/>
                <w:sz w:val="16"/>
                <w:szCs w:val="16"/>
              </w:rPr>
            </w:pPr>
            <w:r>
              <w:rPr>
                <w:rFonts w:hint="eastAsia" w:ascii="宋体" w:hAnsi="宋体"/>
                <w:color w:val="000000"/>
                <w:kern w:val="0"/>
                <w:sz w:val="16"/>
                <w:szCs w:val="16"/>
              </w:rPr>
              <w:t>计划生育家庭奖扶县级配套项目持续期限</w:t>
            </w:r>
          </w:p>
        </w:tc>
        <w:tc>
          <w:tcPr>
            <w:tcW w:w="616" w:type="dxa"/>
            <w:tcBorders>
              <w:top w:val="nil"/>
              <w:left w:val="nil"/>
              <w:bottom w:val="single" w:color="000000" w:sz="4" w:space="0"/>
              <w:right w:val="single" w:color="000000" w:sz="4" w:space="0"/>
            </w:tcBorders>
            <w:shd w:val="clear" w:color="auto" w:fill="auto"/>
            <w:vAlign w:val="center"/>
          </w:tcPr>
          <w:p w14:paraId="1F62D237">
            <w:pPr>
              <w:widowControl/>
              <w:jc w:val="center"/>
              <w:rPr>
                <w:rFonts w:ascii="宋体" w:hAnsi="宋体"/>
                <w:color w:val="000000"/>
                <w:kern w:val="0"/>
                <w:sz w:val="16"/>
                <w:szCs w:val="16"/>
              </w:rPr>
            </w:pPr>
            <w:r>
              <w:rPr>
                <w:rFonts w:hint="eastAsia" w:ascii="宋体" w:hAnsi="宋体"/>
                <w:color w:val="000000"/>
                <w:kern w:val="0"/>
                <w:sz w:val="16"/>
                <w:szCs w:val="16"/>
              </w:rPr>
              <w:t>=1年</w:t>
            </w:r>
          </w:p>
        </w:tc>
        <w:tc>
          <w:tcPr>
            <w:tcW w:w="1282" w:type="dxa"/>
            <w:tcBorders>
              <w:top w:val="nil"/>
              <w:left w:val="nil"/>
              <w:bottom w:val="single" w:color="000000" w:sz="4" w:space="0"/>
              <w:right w:val="single" w:color="000000" w:sz="4" w:space="0"/>
            </w:tcBorders>
            <w:shd w:val="clear" w:color="auto" w:fill="auto"/>
            <w:vAlign w:val="center"/>
          </w:tcPr>
          <w:p w14:paraId="6DEB92F8">
            <w:pPr>
              <w:widowControl/>
              <w:jc w:val="center"/>
              <w:rPr>
                <w:rFonts w:ascii="宋体" w:hAnsi="宋体"/>
                <w:color w:val="000000"/>
                <w:kern w:val="0"/>
                <w:sz w:val="16"/>
                <w:szCs w:val="16"/>
              </w:rPr>
            </w:pPr>
            <w:r>
              <w:rPr>
                <w:rFonts w:hint="eastAsia" w:ascii="宋体" w:hAnsi="宋体"/>
                <w:color w:val="000000"/>
                <w:kern w:val="0"/>
                <w:sz w:val="16"/>
                <w:szCs w:val="16"/>
              </w:rPr>
              <w:t>1年</w:t>
            </w:r>
          </w:p>
        </w:tc>
        <w:tc>
          <w:tcPr>
            <w:tcW w:w="456" w:type="dxa"/>
            <w:tcBorders>
              <w:top w:val="nil"/>
              <w:left w:val="nil"/>
              <w:bottom w:val="single" w:color="000000" w:sz="4" w:space="0"/>
              <w:right w:val="single" w:color="000000" w:sz="4" w:space="0"/>
            </w:tcBorders>
            <w:shd w:val="clear" w:color="auto" w:fill="auto"/>
            <w:vAlign w:val="center"/>
          </w:tcPr>
          <w:p w14:paraId="56A7869A">
            <w:pPr>
              <w:widowControl/>
              <w:jc w:val="center"/>
              <w:rPr>
                <w:color w:val="000000"/>
                <w:kern w:val="0"/>
                <w:sz w:val="16"/>
                <w:szCs w:val="16"/>
              </w:rPr>
            </w:pPr>
            <w:r>
              <w:rPr>
                <w:color w:val="000000"/>
                <w:kern w:val="0"/>
                <w:sz w:val="16"/>
                <w:szCs w:val="16"/>
              </w:rPr>
              <w:t>6</w:t>
            </w:r>
          </w:p>
        </w:tc>
        <w:tc>
          <w:tcPr>
            <w:tcW w:w="967" w:type="dxa"/>
            <w:tcBorders>
              <w:top w:val="nil"/>
              <w:left w:val="nil"/>
              <w:bottom w:val="single" w:color="000000" w:sz="4" w:space="0"/>
              <w:right w:val="single" w:color="000000" w:sz="4" w:space="0"/>
            </w:tcBorders>
            <w:shd w:val="clear" w:color="auto" w:fill="auto"/>
            <w:vAlign w:val="center"/>
          </w:tcPr>
          <w:p w14:paraId="19CA9618">
            <w:pPr>
              <w:widowControl/>
              <w:jc w:val="center"/>
              <w:rPr>
                <w:color w:val="000000"/>
                <w:kern w:val="0"/>
                <w:sz w:val="16"/>
                <w:szCs w:val="16"/>
              </w:rPr>
            </w:pPr>
            <w:r>
              <w:rPr>
                <w:color w:val="000000"/>
                <w:kern w:val="0"/>
                <w:sz w:val="16"/>
                <w:szCs w:val="16"/>
              </w:rPr>
              <w:t>6</w:t>
            </w:r>
          </w:p>
        </w:tc>
      </w:tr>
      <w:tr w14:paraId="52CC6C5C">
        <w:tblPrEx>
          <w:tblCellMar>
            <w:top w:w="0" w:type="dxa"/>
            <w:left w:w="108" w:type="dxa"/>
            <w:bottom w:w="0" w:type="dxa"/>
            <w:right w:w="108" w:type="dxa"/>
          </w:tblCellMar>
        </w:tblPrEx>
        <w:trPr>
          <w:trHeight w:val="521"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14F27AD1">
            <w:pPr>
              <w:widowControl/>
              <w:jc w:val="left"/>
              <w:rPr>
                <w:rFonts w:ascii="宋体" w:hAnsi="宋体"/>
                <w:color w:val="000000"/>
                <w:kern w:val="0"/>
                <w:sz w:val="16"/>
                <w:szCs w:val="16"/>
              </w:rPr>
            </w:pPr>
          </w:p>
        </w:tc>
        <w:tc>
          <w:tcPr>
            <w:tcW w:w="1441" w:type="dxa"/>
            <w:tcBorders>
              <w:top w:val="single" w:color="000000" w:sz="4" w:space="0"/>
              <w:left w:val="nil"/>
              <w:bottom w:val="single" w:color="000000" w:sz="4" w:space="0"/>
              <w:right w:val="single" w:color="000000" w:sz="4" w:space="0"/>
            </w:tcBorders>
            <w:shd w:val="clear" w:color="auto" w:fill="auto"/>
            <w:vAlign w:val="center"/>
          </w:tcPr>
          <w:p w14:paraId="30723AD7">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026" w:type="dxa"/>
            <w:tcBorders>
              <w:top w:val="nil"/>
              <w:left w:val="nil"/>
              <w:bottom w:val="single" w:color="000000" w:sz="4" w:space="0"/>
              <w:right w:val="single" w:color="000000" w:sz="4" w:space="0"/>
            </w:tcBorders>
            <w:shd w:val="clear" w:color="auto" w:fill="auto"/>
            <w:vAlign w:val="center"/>
          </w:tcPr>
          <w:p w14:paraId="0877BFEB">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1463" w:type="dxa"/>
            <w:gridSpan w:val="2"/>
            <w:tcBorders>
              <w:top w:val="single" w:color="000000" w:sz="4" w:space="0"/>
              <w:left w:val="nil"/>
              <w:bottom w:val="nil"/>
              <w:right w:val="single" w:color="000000" w:sz="4" w:space="0"/>
            </w:tcBorders>
            <w:shd w:val="clear" w:color="auto" w:fill="auto"/>
            <w:vAlign w:val="center"/>
          </w:tcPr>
          <w:p w14:paraId="5D2AA46A">
            <w:pPr>
              <w:widowControl/>
              <w:jc w:val="left"/>
              <w:rPr>
                <w:rFonts w:ascii="宋体" w:hAnsi="宋体"/>
                <w:color w:val="000000"/>
                <w:kern w:val="0"/>
                <w:sz w:val="16"/>
                <w:szCs w:val="16"/>
              </w:rPr>
            </w:pPr>
            <w:r>
              <w:rPr>
                <w:rFonts w:hint="eastAsia" w:ascii="宋体" w:hAnsi="宋体"/>
                <w:color w:val="000000"/>
                <w:kern w:val="0"/>
                <w:sz w:val="16"/>
                <w:szCs w:val="16"/>
              </w:rPr>
              <w:t>奖励扶助对象满意度</w:t>
            </w:r>
          </w:p>
        </w:tc>
        <w:tc>
          <w:tcPr>
            <w:tcW w:w="616" w:type="dxa"/>
            <w:tcBorders>
              <w:top w:val="nil"/>
              <w:left w:val="nil"/>
              <w:bottom w:val="single" w:color="000000" w:sz="4" w:space="0"/>
              <w:right w:val="single" w:color="000000" w:sz="4" w:space="0"/>
            </w:tcBorders>
            <w:shd w:val="clear" w:color="auto" w:fill="auto"/>
            <w:vAlign w:val="center"/>
          </w:tcPr>
          <w:p w14:paraId="1719296C">
            <w:pPr>
              <w:widowControl/>
              <w:jc w:val="center"/>
              <w:rPr>
                <w:color w:val="000000"/>
                <w:kern w:val="0"/>
                <w:sz w:val="16"/>
                <w:szCs w:val="16"/>
              </w:rPr>
            </w:pPr>
            <w:r>
              <w:rPr>
                <w:color w:val="000000"/>
                <w:kern w:val="0"/>
                <w:sz w:val="16"/>
                <w:szCs w:val="16"/>
              </w:rPr>
              <w:t>90%</w:t>
            </w:r>
          </w:p>
        </w:tc>
        <w:tc>
          <w:tcPr>
            <w:tcW w:w="1282" w:type="dxa"/>
            <w:tcBorders>
              <w:top w:val="nil"/>
              <w:left w:val="nil"/>
              <w:bottom w:val="single" w:color="000000" w:sz="4" w:space="0"/>
              <w:right w:val="single" w:color="000000" w:sz="4" w:space="0"/>
            </w:tcBorders>
            <w:shd w:val="clear" w:color="auto" w:fill="auto"/>
            <w:vAlign w:val="center"/>
          </w:tcPr>
          <w:p w14:paraId="69B8FF35">
            <w:pPr>
              <w:widowControl/>
              <w:jc w:val="center"/>
              <w:rPr>
                <w:color w:val="000000"/>
                <w:kern w:val="0"/>
                <w:sz w:val="16"/>
                <w:szCs w:val="16"/>
              </w:rPr>
            </w:pPr>
            <w:r>
              <w:rPr>
                <w:color w:val="000000"/>
                <w:kern w:val="0"/>
                <w:sz w:val="16"/>
                <w:szCs w:val="16"/>
              </w:rPr>
              <w:t>100%</w:t>
            </w:r>
          </w:p>
        </w:tc>
        <w:tc>
          <w:tcPr>
            <w:tcW w:w="456" w:type="dxa"/>
            <w:tcBorders>
              <w:top w:val="nil"/>
              <w:left w:val="nil"/>
              <w:bottom w:val="single" w:color="000000" w:sz="4" w:space="0"/>
              <w:right w:val="single" w:color="000000" w:sz="4" w:space="0"/>
            </w:tcBorders>
            <w:shd w:val="clear" w:color="auto" w:fill="auto"/>
            <w:vAlign w:val="center"/>
          </w:tcPr>
          <w:p w14:paraId="1BC75C7E">
            <w:pPr>
              <w:widowControl/>
              <w:jc w:val="center"/>
              <w:rPr>
                <w:color w:val="000000"/>
                <w:kern w:val="0"/>
                <w:sz w:val="16"/>
                <w:szCs w:val="16"/>
              </w:rPr>
            </w:pPr>
            <w:r>
              <w:rPr>
                <w:color w:val="000000"/>
                <w:kern w:val="0"/>
                <w:sz w:val="16"/>
                <w:szCs w:val="16"/>
              </w:rPr>
              <w:t>10</w:t>
            </w:r>
          </w:p>
        </w:tc>
        <w:tc>
          <w:tcPr>
            <w:tcW w:w="967" w:type="dxa"/>
            <w:tcBorders>
              <w:top w:val="nil"/>
              <w:left w:val="nil"/>
              <w:bottom w:val="single" w:color="000000" w:sz="4" w:space="0"/>
              <w:right w:val="single" w:color="000000" w:sz="4" w:space="0"/>
            </w:tcBorders>
            <w:shd w:val="clear" w:color="auto" w:fill="auto"/>
            <w:vAlign w:val="center"/>
          </w:tcPr>
          <w:p w14:paraId="3AC1FDBA">
            <w:pPr>
              <w:widowControl/>
              <w:jc w:val="center"/>
              <w:rPr>
                <w:color w:val="000000"/>
                <w:kern w:val="0"/>
                <w:sz w:val="16"/>
                <w:szCs w:val="16"/>
              </w:rPr>
            </w:pPr>
            <w:r>
              <w:rPr>
                <w:color w:val="000000"/>
                <w:kern w:val="0"/>
                <w:sz w:val="16"/>
                <w:szCs w:val="16"/>
              </w:rPr>
              <w:t>10</w:t>
            </w:r>
          </w:p>
        </w:tc>
      </w:tr>
      <w:tr w14:paraId="1A560A71">
        <w:tblPrEx>
          <w:tblCellMar>
            <w:top w:w="0" w:type="dxa"/>
            <w:left w:w="108" w:type="dxa"/>
            <w:bottom w:w="0" w:type="dxa"/>
            <w:right w:w="108" w:type="dxa"/>
          </w:tblCellMar>
        </w:tblPrEx>
        <w:trPr>
          <w:trHeight w:val="557"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48FBA9D8">
            <w:pPr>
              <w:widowControl/>
              <w:jc w:val="left"/>
              <w:rPr>
                <w:rFonts w:ascii="宋体" w:hAnsi="宋体"/>
                <w:color w:val="000000"/>
                <w:kern w:val="0"/>
                <w:sz w:val="16"/>
                <w:szCs w:val="16"/>
              </w:rPr>
            </w:pPr>
          </w:p>
        </w:tc>
        <w:tc>
          <w:tcPr>
            <w:tcW w:w="1441" w:type="dxa"/>
            <w:tcBorders>
              <w:top w:val="single" w:color="auto" w:sz="4" w:space="0"/>
              <w:left w:val="nil"/>
              <w:bottom w:val="nil"/>
              <w:right w:val="single" w:color="auto" w:sz="4" w:space="0"/>
            </w:tcBorders>
            <w:shd w:val="clear" w:color="auto" w:fill="auto"/>
            <w:vAlign w:val="center"/>
          </w:tcPr>
          <w:p w14:paraId="0B2D386D">
            <w:pPr>
              <w:widowControl/>
              <w:jc w:val="center"/>
              <w:rPr>
                <w:rFonts w:ascii="宋体" w:hAnsi="宋体"/>
                <w:kern w:val="0"/>
                <w:sz w:val="16"/>
                <w:szCs w:val="16"/>
              </w:rPr>
            </w:pPr>
            <w:r>
              <w:rPr>
                <w:rFonts w:hint="eastAsia" w:ascii="宋体" w:hAnsi="宋体"/>
                <w:kern w:val="0"/>
                <w:sz w:val="16"/>
                <w:szCs w:val="16"/>
              </w:rPr>
              <w:t>预算执行率（10）</w:t>
            </w:r>
          </w:p>
        </w:tc>
        <w:tc>
          <w:tcPr>
            <w:tcW w:w="1026" w:type="dxa"/>
            <w:tcBorders>
              <w:top w:val="single" w:color="auto" w:sz="4" w:space="0"/>
              <w:left w:val="nil"/>
              <w:bottom w:val="nil"/>
              <w:right w:val="single" w:color="auto" w:sz="4" w:space="0"/>
            </w:tcBorders>
            <w:shd w:val="clear" w:color="auto" w:fill="auto"/>
            <w:vAlign w:val="center"/>
          </w:tcPr>
          <w:p w14:paraId="409B4100">
            <w:pPr>
              <w:widowControl/>
              <w:jc w:val="center"/>
              <w:rPr>
                <w:rFonts w:ascii="宋体" w:hAnsi="宋体"/>
                <w:kern w:val="0"/>
                <w:sz w:val="16"/>
                <w:szCs w:val="16"/>
              </w:rPr>
            </w:pPr>
            <w:r>
              <w:rPr>
                <w:rFonts w:hint="eastAsia" w:ascii="宋体" w:hAnsi="宋体"/>
                <w:kern w:val="0"/>
                <w:sz w:val="16"/>
                <w:szCs w:val="16"/>
              </w:rPr>
              <w:t>预算执行率</w:t>
            </w:r>
          </w:p>
        </w:tc>
        <w:tc>
          <w:tcPr>
            <w:tcW w:w="1463" w:type="dxa"/>
            <w:gridSpan w:val="2"/>
            <w:tcBorders>
              <w:top w:val="single" w:color="auto" w:sz="4" w:space="0"/>
              <w:left w:val="nil"/>
              <w:bottom w:val="nil"/>
              <w:right w:val="single" w:color="000000" w:sz="4" w:space="0"/>
            </w:tcBorders>
            <w:shd w:val="clear" w:color="auto" w:fill="auto"/>
            <w:vAlign w:val="center"/>
          </w:tcPr>
          <w:p w14:paraId="50109516">
            <w:pPr>
              <w:widowControl/>
              <w:jc w:val="left"/>
              <w:rPr>
                <w:rFonts w:ascii="宋体" w:hAnsi="宋体"/>
                <w:kern w:val="0"/>
                <w:sz w:val="16"/>
                <w:szCs w:val="16"/>
              </w:rPr>
            </w:pPr>
            <w:r>
              <w:rPr>
                <w:rFonts w:hint="eastAsia" w:ascii="宋体" w:hAnsi="宋体"/>
                <w:kern w:val="0"/>
                <w:sz w:val="16"/>
                <w:szCs w:val="16"/>
              </w:rPr>
              <w:t>100%完成</w:t>
            </w:r>
          </w:p>
        </w:tc>
        <w:tc>
          <w:tcPr>
            <w:tcW w:w="616" w:type="dxa"/>
            <w:tcBorders>
              <w:top w:val="single" w:color="auto" w:sz="4" w:space="0"/>
              <w:left w:val="nil"/>
              <w:bottom w:val="nil"/>
              <w:right w:val="single" w:color="auto" w:sz="4" w:space="0"/>
            </w:tcBorders>
            <w:shd w:val="clear" w:color="auto" w:fill="auto"/>
            <w:vAlign w:val="center"/>
          </w:tcPr>
          <w:p w14:paraId="325E7CF1">
            <w:pPr>
              <w:widowControl/>
              <w:jc w:val="center"/>
              <w:rPr>
                <w:kern w:val="0"/>
                <w:sz w:val="16"/>
                <w:szCs w:val="16"/>
              </w:rPr>
            </w:pPr>
            <w:r>
              <w:rPr>
                <w:kern w:val="0"/>
                <w:sz w:val="16"/>
                <w:szCs w:val="16"/>
              </w:rPr>
              <w:t>100%</w:t>
            </w:r>
          </w:p>
        </w:tc>
        <w:tc>
          <w:tcPr>
            <w:tcW w:w="1282" w:type="dxa"/>
            <w:tcBorders>
              <w:top w:val="single" w:color="auto" w:sz="4" w:space="0"/>
              <w:left w:val="nil"/>
              <w:bottom w:val="nil"/>
              <w:right w:val="single" w:color="auto" w:sz="4" w:space="0"/>
            </w:tcBorders>
            <w:shd w:val="clear" w:color="auto" w:fill="auto"/>
            <w:vAlign w:val="center"/>
          </w:tcPr>
          <w:p w14:paraId="776D6900">
            <w:pPr>
              <w:widowControl/>
              <w:jc w:val="center"/>
              <w:rPr>
                <w:kern w:val="0"/>
                <w:sz w:val="16"/>
                <w:szCs w:val="16"/>
              </w:rPr>
            </w:pPr>
            <w:r>
              <w:rPr>
                <w:kern w:val="0"/>
                <w:sz w:val="16"/>
                <w:szCs w:val="16"/>
              </w:rPr>
              <w:t>100%</w:t>
            </w:r>
          </w:p>
        </w:tc>
        <w:tc>
          <w:tcPr>
            <w:tcW w:w="456" w:type="dxa"/>
            <w:tcBorders>
              <w:top w:val="single" w:color="auto" w:sz="4" w:space="0"/>
              <w:left w:val="nil"/>
              <w:bottom w:val="nil"/>
              <w:right w:val="single" w:color="auto" w:sz="4" w:space="0"/>
            </w:tcBorders>
            <w:shd w:val="clear" w:color="auto" w:fill="auto"/>
            <w:vAlign w:val="center"/>
          </w:tcPr>
          <w:p w14:paraId="5E736D04">
            <w:pPr>
              <w:widowControl/>
              <w:jc w:val="center"/>
              <w:rPr>
                <w:kern w:val="0"/>
                <w:sz w:val="16"/>
                <w:szCs w:val="16"/>
              </w:rPr>
            </w:pPr>
            <w:r>
              <w:rPr>
                <w:kern w:val="0"/>
                <w:sz w:val="16"/>
                <w:szCs w:val="16"/>
              </w:rPr>
              <w:t>10</w:t>
            </w:r>
          </w:p>
        </w:tc>
        <w:tc>
          <w:tcPr>
            <w:tcW w:w="967" w:type="dxa"/>
            <w:tcBorders>
              <w:top w:val="single" w:color="auto" w:sz="4" w:space="0"/>
              <w:left w:val="nil"/>
              <w:bottom w:val="single" w:color="auto" w:sz="4" w:space="0"/>
              <w:right w:val="single" w:color="auto" w:sz="4" w:space="0"/>
            </w:tcBorders>
            <w:shd w:val="clear" w:color="auto" w:fill="auto"/>
            <w:vAlign w:val="center"/>
          </w:tcPr>
          <w:p w14:paraId="7910DAF7">
            <w:pPr>
              <w:widowControl/>
              <w:jc w:val="center"/>
              <w:rPr>
                <w:kern w:val="0"/>
                <w:sz w:val="16"/>
                <w:szCs w:val="16"/>
              </w:rPr>
            </w:pPr>
            <w:r>
              <w:rPr>
                <w:kern w:val="0"/>
                <w:sz w:val="16"/>
                <w:szCs w:val="16"/>
              </w:rPr>
              <w:t>10</w:t>
            </w:r>
          </w:p>
        </w:tc>
      </w:tr>
      <w:tr w14:paraId="0B161AEF">
        <w:tblPrEx>
          <w:tblCellMar>
            <w:top w:w="0" w:type="dxa"/>
            <w:left w:w="108" w:type="dxa"/>
            <w:bottom w:w="0" w:type="dxa"/>
            <w:right w:w="108" w:type="dxa"/>
          </w:tblCellMar>
        </w:tblPrEx>
        <w:trPr>
          <w:trHeight w:val="27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02195DF7">
            <w:pPr>
              <w:widowControl/>
              <w:jc w:val="left"/>
              <w:rPr>
                <w:rFonts w:ascii="宋体" w:hAnsi="宋体"/>
                <w:color w:val="000000"/>
                <w:kern w:val="0"/>
                <w:sz w:val="16"/>
                <w:szCs w:val="16"/>
              </w:rPr>
            </w:pPr>
          </w:p>
        </w:tc>
        <w:tc>
          <w:tcPr>
            <w:tcW w:w="6284" w:type="dxa"/>
            <w:gridSpan w:val="7"/>
            <w:tcBorders>
              <w:top w:val="single" w:color="000000" w:sz="4" w:space="0"/>
              <w:left w:val="nil"/>
              <w:bottom w:val="single" w:color="000000" w:sz="4" w:space="0"/>
              <w:right w:val="single" w:color="000000" w:sz="4" w:space="0"/>
            </w:tcBorders>
            <w:shd w:val="clear" w:color="auto" w:fill="auto"/>
            <w:vAlign w:val="center"/>
          </w:tcPr>
          <w:p w14:paraId="77461B48">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967" w:type="dxa"/>
            <w:tcBorders>
              <w:top w:val="nil"/>
              <w:left w:val="nil"/>
              <w:bottom w:val="single" w:color="auto" w:sz="4" w:space="0"/>
              <w:right w:val="single" w:color="auto" w:sz="4" w:space="0"/>
            </w:tcBorders>
            <w:shd w:val="clear" w:color="auto" w:fill="auto"/>
            <w:vAlign w:val="center"/>
          </w:tcPr>
          <w:p w14:paraId="48B1458D">
            <w:pPr>
              <w:widowControl/>
              <w:jc w:val="center"/>
              <w:rPr>
                <w:color w:val="000000"/>
                <w:kern w:val="0"/>
                <w:sz w:val="16"/>
                <w:szCs w:val="16"/>
              </w:rPr>
            </w:pPr>
            <w:r>
              <w:rPr>
                <w:color w:val="000000"/>
                <w:kern w:val="0"/>
                <w:sz w:val="16"/>
                <w:szCs w:val="16"/>
              </w:rPr>
              <w:t>99</w:t>
            </w:r>
          </w:p>
        </w:tc>
      </w:tr>
      <w:tr w14:paraId="65D498DD">
        <w:tblPrEx>
          <w:tblCellMar>
            <w:top w:w="0" w:type="dxa"/>
            <w:left w:w="108" w:type="dxa"/>
            <w:bottom w:w="0" w:type="dxa"/>
            <w:right w:w="108" w:type="dxa"/>
          </w:tblCellMar>
        </w:tblPrEx>
        <w:trPr>
          <w:trHeight w:val="27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075612B6">
            <w:pPr>
              <w:widowControl/>
              <w:jc w:val="left"/>
              <w:rPr>
                <w:rFonts w:ascii="宋体" w:hAnsi="宋体"/>
                <w:color w:val="000000"/>
                <w:kern w:val="0"/>
                <w:sz w:val="16"/>
                <w:szCs w:val="16"/>
              </w:rPr>
            </w:pPr>
          </w:p>
        </w:tc>
        <w:tc>
          <w:tcPr>
            <w:tcW w:w="6284" w:type="dxa"/>
            <w:gridSpan w:val="7"/>
            <w:tcBorders>
              <w:top w:val="single" w:color="000000" w:sz="4" w:space="0"/>
              <w:left w:val="nil"/>
              <w:bottom w:val="single" w:color="000000" w:sz="4" w:space="0"/>
              <w:right w:val="single" w:color="000000" w:sz="4" w:space="0"/>
            </w:tcBorders>
            <w:shd w:val="clear" w:color="auto" w:fill="auto"/>
            <w:vAlign w:val="center"/>
          </w:tcPr>
          <w:p w14:paraId="0FD009A9">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967" w:type="dxa"/>
            <w:tcBorders>
              <w:top w:val="nil"/>
              <w:left w:val="nil"/>
              <w:bottom w:val="single" w:color="000000" w:sz="4" w:space="0"/>
              <w:right w:val="single" w:color="auto" w:sz="4" w:space="0"/>
            </w:tcBorders>
            <w:shd w:val="clear" w:color="auto" w:fill="auto"/>
            <w:vAlign w:val="center"/>
          </w:tcPr>
          <w:p w14:paraId="09989A2D">
            <w:pPr>
              <w:widowControl/>
              <w:jc w:val="center"/>
              <w:rPr>
                <w:rFonts w:ascii="宋体" w:hAnsi="宋体"/>
                <w:color w:val="000000"/>
                <w:kern w:val="0"/>
                <w:sz w:val="16"/>
                <w:szCs w:val="16"/>
              </w:rPr>
            </w:pPr>
            <w:r>
              <w:rPr>
                <w:rFonts w:hint="eastAsia" w:ascii="宋体" w:hAnsi="宋体"/>
                <w:color w:val="000000"/>
                <w:kern w:val="0"/>
                <w:sz w:val="16"/>
                <w:szCs w:val="16"/>
              </w:rPr>
              <w:t>优</w:t>
            </w:r>
          </w:p>
        </w:tc>
      </w:tr>
      <w:tr w14:paraId="7EAB6CE6">
        <w:tblPrEx>
          <w:tblCellMar>
            <w:top w:w="0" w:type="dxa"/>
            <w:left w:w="108" w:type="dxa"/>
            <w:bottom w:w="0" w:type="dxa"/>
            <w:right w:w="108" w:type="dxa"/>
          </w:tblCellMar>
        </w:tblPrEx>
        <w:trPr>
          <w:trHeight w:val="1740" w:hRule="atLeast"/>
        </w:trPr>
        <w:tc>
          <w:tcPr>
            <w:tcW w:w="1716" w:type="dxa"/>
            <w:tcBorders>
              <w:top w:val="nil"/>
              <w:left w:val="single" w:color="000000" w:sz="4" w:space="0"/>
              <w:bottom w:val="single" w:color="000000" w:sz="4" w:space="0"/>
              <w:right w:val="single" w:color="000000" w:sz="4" w:space="0"/>
            </w:tcBorders>
            <w:shd w:val="clear" w:color="auto" w:fill="auto"/>
            <w:vAlign w:val="center"/>
          </w:tcPr>
          <w:p w14:paraId="57E78AF5">
            <w:pPr>
              <w:widowControl/>
              <w:jc w:val="left"/>
              <w:rPr>
                <w:rFonts w:ascii="宋体" w:hAnsi="宋体"/>
                <w:color w:val="000000"/>
                <w:kern w:val="0"/>
                <w:sz w:val="16"/>
                <w:szCs w:val="16"/>
              </w:rPr>
            </w:pPr>
            <w:r>
              <w:rPr>
                <w:rFonts w:hint="eastAsia" w:ascii="宋体" w:hAnsi="宋体"/>
                <w:color w:val="000000"/>
                <w:kern w:val="0"/>
                <w:sz w:val="16"/>
                <w:szCs w:val="16"/>
              </w:rPr>
              <w:t>五、</w:t>
            </w:r>
            <w:r>
              <w:rPr>
                <w:color w:val="000000"/>
                <w:kern w:val="0"/>
                <w:sz w:val="16"/>
                <w:szCs w:val="16"/>
              </w:rPr>
              <w:t> </w:t>
            </w:r>
            <w:r>
              <w:rPr>
                <w:rFonts w:hint="eastAsia" w:ascii="宋体" w:hAnsi="宋体"/>
                <w:color w:val="000000"/>
                <w:kern w:val="0"/>
                <w:sz w:val="16"/>
                <w:szCs w:val="16"/>
              </w:rPr>
              <w:t>存在问题、原因及下一步整改措施</w:t>
            </w:r>
          </w:p>
        </w:tc>
        <w:tc>
          <w:tcPr>
            <w:tcW w:w="7251" w:type="dxa"/>
            <w:gridSpan w:val="8"/>
            <w:tcBorders>
              <w:top w:val="nil"/>
              <w:left w:val="nil"/>
              <w:bottom w:val="single" w:color="000000" w:sz="4" w:space="0"/>
              <w:right w:val="single" w:color="000000" w:sz="4" w:space="0"/>
            </w:tcBorders>
            <w:shd w:val="clear" w:color="auto" w:fill="auto"/>
            <w:vAlign w:val="center"/>
          </w:tcPr>
          <w:p w14:paraId="5FCCD570">
            <w:pPr>
              <w:widowControl/>
              <w:jc w:val="left"/>
              <w:rPr>
                <w:rFonts w:ascii="宋体" w:hAnsi="宋体"/>
                <w:color w:val="000000"/>
                <w:kern w:val="0"/>
                <w:sz w:val="16"/>
                <w:szCs w:val="16"/>
              </w:rPr>
            </w:pPr>
            <w:r>
              <w:rPr>
                <w:rFonts w:hint="eastAsia" w:ascii="宋体" w:hAnsi="宋体"/>
                <w:color w:val="000000"/>
                <w:kern w:val="0"/>
                <w:sz w:val="16"/>
                <w:szCs w:val="16"/>
              </w:rPr>
              <w:t>存在问题：1.奖扶特扶作为计划生育惠民政策覆盖面广，涉及政策性强，70年代至今我省出台多部法律法规 县乡村工作人员及奖特扶服务对象，对政策理解把握不一，导致群众大量信访案件发生， 2.全国各省标准不一致，且省内各市发放标准也不一致，没有实现当时“只生一个好，国家来养老”的目标。整改措施：1.定期组织县乡村三级工作人员培训，熟练掌握期间计划生育政策法律法规，提高服务能力水平，2.建议省级相关部门出台统一政策标准，尤其是当年因工作人员失误导致服务对象没有相关证件。统一全省特别扶助对象发放标准。</w:t>
            </w:r>
          </w:p>
        </w:tc>
      </w:tr>
      <w:tr w14:paraId="4F6035BA">
        <w:tblPrEx>
          <w:tblCellMar>
            <w:top w:w="0" w:type="dxa"/>
            <w:left w:w="108" w:type="dxa"/>
            <w:bottom w:w="0" w:type="dxa"/>
            <w:right w:w="108" w:type="dxa"/>
          </w:tblCellMar>
        </w:tblPrEx>
        <w:trPr>
          <w:trHeight w:val="270" w:hRule="atLeast"/>
        </w:trPr>
        <w:tc>
          <w:tcPr>
            <w:tcW w:w="1716" w:type="dxa"/>
            <w:tcBorders>
              <w:top w:val="nil"/>
              <w:left w:val="nil"/>
              <w:bottom w:val="nil"/>
              <w:right w:val="nil"/>
            </w:tcBorders>
            <w:shd w:val="clear" w:color="auto" w:fill="auto"/>
            <w:noWrap/>
            <w:vAlign w:val="center"/>
          </w:tcPr>
          <w:p w14:paraId="7947A7BF">
            <w:pPr>
              <w:widowControl/>
              <w:jc w:val="left"/>
              <w:rPr>
                <w:rFonts w:ascii="宋体" w:hAnsi="宋体"/>
                <w:color w:val="000000"/>
                <w:kern w:val="0"/>
                <w:sz w:val="16"/>
                <w:szCs w:val="16"/>
              </w:rPr>
            </w:pPr>
            <w:r>
              <w:rPr>
                <w:rFonts w:hint="eastAsia" w:ascii="宋体" w:hAnsi="宋体"/>
                <w:color w:val="000000"/>
                <w:kern w:val="0"/>
                <w:sz w:val="16"/>
                <w:szCs w:val="16"/>
              </w:rPr>
              <w:t>评价组人员（姓名）：</w:t>
            </w:r>
          </w:p>
        </w:tc>
        <w:tc>
          <w:tcPr>
            <w:tcW w:w="2467" w:type="dxa"/>
            <w:gridSpan w:val="2"/>
            <w:tcBorders>
              <w:top w:val="single" w:color="000000" w:sz="4" w:space="0"/>
              <w:left w:val="nil"/>
              <w:bottom w:val="nil"/>
              <w:right w:val="nil"/>
            </w:tcBorders>
            <w:shd w:val="clear" w:color="auto" w:fill="auto"/>
            <w:noWrap/>
            <w:vAlign w:val="center"/>
          </w:tcPr>
          <w:p w14:paraId="73D5B30C">
            <w:pPr>
              <w:widowControl/>
              <w:jc w:val="left"/>
              <w:rPr>
                <w:rFonts w:ascii="宋体" w:hAnsi="宋体"/>
                <w:color w:val="000000"/>
                <w:kern w:val="0"/>
                <w:sz w:val="16"/>
                <w:szCs w:val="16"/>
              </w:rPr>
            </w:pPr>
            <w:r>
              <w:rPr>
                <w:rFonts w:hint="eastAsia" w:ascii="宋体" w:hAnsi="宋体"/>
                <w:color w:val="000000"/>
                <w:kern w:val="0"/>
                <w:sz w:val="16"/>
                <w:szCs w:val="16"/>
              </w:rPr>
              <w:t>王瑞勇 杨海军 梁天坤</w:t>
            </w:r>
          </w:p>
        </w:tc>
        <w:tc>
          <w:tcPr>
            <w:tcW w:w="948" w:type="dxa"/>
            <w:tcBorders>
              <w:top w:val="nil"/>
              <w:left w:val="nil"/>
              <w:bottom w:val="nil"/>
              <w:right w:val="nil"/>
            </w:tcBorders>
            <w:shd w:val="clear" w:color="auto" w:fill="auto"/>
            <w:noWrap/>
            <w:vAlign w:val="center"/>
          </w:tcPr>
          <w:p w14:paraId="10C9440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15" w:type="dxa"/>
            <w:tcBorders>
              <w:top w:val="nil"/>
              <w:left w:val="nil"/>
              <w:bottom w:val="nil"/>
              <w:right w:val="nil"/>
            </w:tcBorders>
            <w:shd w:val="clear" w:color="auto" w:fill="auto"/>
            <w:noWrap/>
            <w:vAlign w:val="center"/>
          </w:tcPr>
          <w:p w14:paraId="62794DC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616" w:type="dxa"/>
            <w:tcBorders>
              <w:top w:val="nil"/>
              <w:left w:val="nil"/>
              <w:bottom w:val="nil"/>
              <w:right w:val="nil"/>
            </w:tcBorders>
            <w:shd w:val="clear" w:color="auto" w:fill="auto"/>
            <w:noWrap/>
            <w:vAlign w:val="center"/>
          </w:tcPr>
          <w:p w14:paraId="21FACEA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282" w:type="dxa"/>
            <w:tcBorders>
              <w:top w:val="nil"/>
              <w:left w:val="nil"/>
              <w:bottom w:val="nil"/>
              <w:right w:val="nil"/>
            </w:tcBorders>
            <w:shd w:val="clear" w:color="auto" w:fill="auto"/>
            <w:noWrap/>
            <w:vAlign w:val="center"/>
          </w:tcPr>
          <w:p w14:paraId="07752E1F">
            <w:pPr>
              <w:widowControl/>
              <w:jc w:val="left"/>
              <w:rPr>
                <w:rFonts w:ascii="宋体" w:hAnsi="宋体"/>
                <w:color w:val="000000"/>
                <w:kern w:val="0"/>
                <w:sz w:val="16"/>
                <w:szCs w:val="16"/>
              </w:rPr>
            </w:pPr>
            <w:r>
              <w:rPr>
                <w:rFonts w:hint="eastAsia" w:ascii="宋体" w:hAnsi="宋体"/>
                <w:color w:val="000000"/>
                <w:kern w:val="0"/>
                <w:sz w:val="16"/>
                <w:szCs w:val="16"/>
              </w:rPr>
              <w:t>联系电话：</w:t>
            </w:r>
          </w:p>
        </w:tc>
        <w:tc>
          <w:tcPr>
            <w:tcW w:w="1423" w:type="dxa"/>
            <w:gridSpan w:val="2"/>
            <w:tcBorders>
              <w:top w:val="nil"/>
              <w:left w:val="nil"/>
              <w:bottom w:val="nil"/>
              <w:right w:val="nil"/>
            </w:tcBorders>
            <w:shd w:val="clear" w:color="auto" w:fill="auto"/>
            <w:noWrap/>
            <w:vAlign w:val="center"/>
          </w:tcPr>
          <w:p w14:paraId="7C2F0714">
            <w:pPr>
              <w:widowControl/>
              <w:jc w:val="left"/>
              <w:rPr>
                <w:rFonts w:ascii="宋体" w:hAnsi="宋体"/>
                <w:color w:val="000000"/>
                <w:kern w:val="0"/>
                <w:sz w:val="16"/>
                <w:szCs w:val="16"/>
              </w:rPr>
            </w:pPr>
            <w:r>
              <w:rPr>
                <w:rFonts w:hint="eastAsia" w:ascii="宋体" w:hAnsi="宋体"/>
                <w:color w:val="000000"/>
                <w:kern w:val="0"/>
                <w:sz w:val="16"/>
                <w:szCs w:val="16"/>
              </w:rPr>
              <w:t>5860506</w:t>
            </w:r>
          </w:p>
        </w:tc>
      </w:tr>
    </w:tbl>
    <w:p w14:paraId="62693166">
      <w:pPr>
        <w:pStyle w:val="9"/>
        <w:spacing w:line="326" w:lineRule="auto"/>
        <w:ind w:firstLine="640" w:firstLineChars="200"/>
        <w:rPr>
          <w:rFonts w:hint="eastAsia" w:ascii="仿宋_GB2312" w:hAnsi="仿宋_GB2312" w:eastAsia="仿宋" w:cs="仿宋_GB2312"/>
          <w:kern w:val="2"/>
          <w:sz w:val="32"/>
          <w:szCs w:val="32"/>
        </w:rPr>
      </w:pPr>
      <w:r>
        <w:rPr>
          <w:rFonts w:hint="eastAsia" w:ascii="仿宋_GB2312" w:hAnsi="仿宋_GB2312" w:eastAsia="仿宋" w:cs="仿宋_GB2312"/>
          <w:kern w:val="2"/>
          <w:sz w:val="32"/>
          <w:szCs w:val="32"/>
        </w:rPr>
        <w:t>基本公共卫生项目绩效自评综述：根据年初设定的绩效目标，基本公共卫生项目绩效自评得分为 85.5 分（绩效自评表附后）。全年预算数为4288.37万元，执行数为4288.37 万元，完成预算的100%。</w:t>
      </w:r>
    </w:p>
    <w:p w14:paraId="0F99EE6E">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仿宋_GB2312" w:eastAsia="仿宋" w:cs="仿宋_GB2312"/>
          <w:sz w:val="32"/>
          <w:szCs w:val="32"/>
        </w:rPr>
        <w:t xml:space="preserve"> 项目绩效目标完成情况：</w:t>
      </w:r>
      <w:r>
        <w:rPr>
          <w:rFonts w:hint="eastAsia" w:ascii="仿宋_GB2312" w:hAnsi="宋体" w:eastAsia="仿宋_GB2312"/>
          <w:color w:val="000000"/>
          <w:kern w:val="0"/>
          <w:sz w:val="32"/>
          <w:szCs w:val="32"/>
        </w:rPr>
        <w:t>①居民健康档案建立情况。以乡镇卫生院、村卫生室为依托，通过门诊服务、入户调查、疾病筛查、健康体检等多种形式开展城乡居民健康档案建立工作,到2021年底共建档案465589份，录入电子档案454075份，录入率为97%，但有些信息需要进一步完善。</w:t>
      </w:r>
    </w:p>
    <w:p w14:paraId="624422AC">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②健康教育。项目单位均制定了健康教育计划，积极推进健康教育工作开展。设置宣传栏449个、印制发放健康知识手册251493册、播放健康知识宣传片6631次，并且利用个性化教育、村广播室广播、微信发送健康知识等多种方式进行健康知识宣传教育活动，大大提高了居民自我防治意识。</w:t>
      </w:r>
    </w:p>
    <w:p w14:paraId="50DC54D6">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③预防接种工作。能够按规定及时对适龄儿童进行疫苗接种，适时建立0-6岁儿童预防接种证和接种卡，建证率100%，接种率95%以上，完全符合国家要求。</w:t>
      </w:r>
    </w:p>
    <w:p w14:paraId="44A1B2D2">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④儿童健康管理工作。妇幼保健部门及乡镇卫生院对辖区儿童数量与分布情况基本能够掌握，全年共管理21921人，对保健对象建立保健手册，定期开展访视和生长发育监测，开展儿童健康指导及系统管理。</w:t>
      </w:r>
    </w:p>
    <w:p w14:paraId="1165F601">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⑤孕产妇健康管理工作。2019年全省孕产妇进行了支付方式改革，保健手册及五次产前检查在县助产机构完成，孕产妇凭五次产前检查免费券到县助产机构检查全部享受了免费服务，2021年共发放免费券2291人，占全年孕产妇的94%。</w:t>
      </w:r>
    </w:p>
    <w:p w14:paraId="0342A328">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⑥老年人健康管理。对照规范要求对老年人进行健康体检及指导，全年共管理老年人64475人。</w:t>
      </w:r>
    </w:p>
    <w:p w14:paraId="72C30D1E">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⑦慢性病患者健康管理。</w:t>
      </w:r>
    </w:p>
    <w:p w14:paraId="561ADDD9">
      <w:pPr>
        <w:widowControl/>
        <w:adjustRightInd w:val="0"/>
        <w:snapToGrid w:val="0"/>
        <w:spacing w:line="326"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高血压患者健康管理。实行首诊测血压制度，对辖区35岁以上人员首诊测量血压。对筛查出的高血压患者建立重点人群健康档案进行管理，每年四次随访指导。共管理高血压患者61862人。</w:t>
      </w:r>
    </w:p>
    <w:p w14:paraId="6E814F4A">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2</w:t>
      </w:r>
      <w:r>
        <w:rPr>
          <w:rFonts w:hint="eastAsia" w:ascii="仿宋_GB2312" w:hAnsi="宋体" w:eastAsia="仿宋_GB2312"/>
          <w:color w:val="000000"/>
          <w:kern w:val="0"/>
          <w:sz w:val="32"/>
          <w:szCs w:val="32"/>
        </w:rPr>
        <w:t>型糖尿病患者健康管理。各基层医疗卫生机构通过组织开</w:t>
      </w:r>
      <w:bookmarkStart w:id="1" w:name="_GoBack"/>
      <w:r>
        <w:rPr>
          <w:rFonts w:hint="eastAsia" w:ascii="仿宋_GB2312" w:hAnsi="宋体" w:eastAsia="仿宋_GB2312"/>
          <w:color w:val="000000"/>
          <w:kern w:val="0"/>
          <w:sz w:val="32"/>
          <w:szCs w:val="32"/>
        </w:rPr>
        <w:t>展健康体检，筛查糖尿病病人20709人，对筛查出的病人建立重</w:t>
      </w:r>
      <w:bookmarkEnd w:id="1"/>
      <w:r>
        <w:rPr>
          <w:rFonts w:hint="eastAsia" w:ascii="仿宋_GB2312" w:hAnsi="宋体" w:eastAsia="仿宋_GB2312"/>
          <w:color w:val="000000"/>
          <w:kern w:val="0"/>
          <w:sz w:val="32"/>
          <w:szCs w:val="32"/>
        </w:rPr>
        <w:t>点人群健康档案进行管理。每年免费进行四次随访，四次查验血糖，一次普通体检。</w:t>
      </w:r>
    </w:p>
    <w:p w14:paraId="061CCCC4">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⑧严重精神障碍患者管理。所查基层医疗机构能够对辖区精神病病人进行登记管理，建立档案，精神病患者进行体检和全面评估及随访和康复指导。全年共管理患者2341人。</w:t>
      </w:r>
    </w:p>
    <w:p w14:paraId="04B94CB2">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⑨结核病患者健康管理。为辖区内发现的结核病患者开展信息管理，随访评估及督导服药等服务项目。管理121人。</w:t>
      </w:r>
    </w:p>
    <w:p w14:paraId="7550AA43">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⑩中医药健康管理。为辖区内0～36个月儿童家长进行儿童中医药健康指导；为辖区内65岁及以上常住居民每年提供1次中医药健康管理服务，但有些基层卫生机构开展不规范。</w:t>
      </w:r>
    </w:p>
    <w:p w14:paraId="0CCE0C24">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MS Mincho" w:eastAsia="MS Mincho" w:cs="MS Mincho"/>
          <w:color w:val="000000"/>
          <w:kern w:val="0"/>
          <w:sz w:val="32"/>
          <w:szCs w:val="32"/>
        </w:rPr>
        <w:t>⑪</w:t>
      </w:r>
      <w:r>
        <w:rPr>
          <w:rFonts w:hint="eastAsia" w:ascii="仿宋_GB2312" w:hAnsi="宋体" w:eastAsia="仿宋_GB2312"/>
          <w:color w:val="000000"/>
          <w:kern w:val="0"/>
          <w:sz w:val="32"/>
          <w:szCs w:val="32"/>
        </w:rPr>
        <w:t>传染病及突发公共卫生事件报告和处理。基层医疗卫生机构普遍建立传染病报告和突发公共卫生事件报告制度，乡镇卫生院实现了网络直报，能够对传染病疫情及突发公共卫生事件及时报告。报告率100%。</w:t>
      </w:r>
    </w:p>
    <w:p w14:paraId="7BA4C83F">
      <w:pPr>
        <w:widowControl/>
        <w:adjustRightInd w:val="0"/>
        <w:snapToGrid w:val="0"/>
        <w:spacing w:line="348" w:lineRule="auto"/>
        <w:ind w:firstLine="640" w:firstLineChars="200"/>
        <w:rPr>
          <w:rFonts w:ascii="仿宋_GB2312" w:eastAsia="仿宋_GB2312"/>
          <w:kern w:val="0"/>
          <w:sz w:val="32"/>
          <w:szCs w:val="32"/>
        </w:rPr>
      </w:pPr>
      <w:r>
        <w:rPr>
          <w:rFonts w:hint="eastAsia" w:ascii="仿宋_GB2312" w:hAnsi="MS Mincho" w:eastAsia="MS Mincho" w:cs="MS Mincho"/>
          <w:kern w:val="0"/>
          <w:sz w:val="32"/>
          <w:szCs w:val="32"/>
        </w:rPr>
        <w:t>⑫</w:t>
      </w:r>
      <w:r>
        <w:rPr>
          <w:rFonts w:hint="eastAsia" w:ascii="仿宋_GB2312" w:eastAsia="仿宋_GB2312"/>
          <w:kern w:val="0"/>
          <w:sz w:val="32"/>
          <w:szCs w:val="32"/>
        </w:rPr>
        <w:t>卫生计生监督协管管理。在建立卫生监督协管制度的基础上，基层医疗卫生机构能够对辖区食品安全信息、职业卫生、饮水卫生、学校卫生、非法行医和采供血等行为进行巡查并及时报送，协助卫生监督及行政部门开展工作。</w:t>
      </w:r>
    </w:p>
    <w:p w14:paraId="226B8A5C">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发现的主要问题及原因：1、基本公共卫生服务政策宣传不</w:t>
      </w:r>
    </w:p>
    <w:p w14:paraId="72FD95F6">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够广泛，群众对其认识不足。有些项目效果不理想。2、基本公</w:t>
      </w:r>
    </w:p>
    <w:p w14:paraId="3683CE99">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共卫生工作开展不够平衡，部分单位在基本公共卫生服务项目实</w:t>
      </w:r>
    </w:p>
    <w:p w14:paraId="4CF55775">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施中工作质量和管理有待进一步提高。（1）居民健康档案管理</w:t>
      </w:r>
    </w:p>
    <w:p w14:paraId="3DBC2888">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质量不高，存在格式化、表面化现象。在对健康档案抽查中发现，</w:t>
      </w:r>
    </w:p>
    <w:p w14:paraId="05BDFCD9">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有的单位健康档案管理不到位，存在个别内容不全、信息不实、</w:t>
      </w:r>
    </w:p>
    <w:p w14:paraId="08AA68B4">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档案无编号、档案内容登记错误等问题。（2）健康教育开展不</w:t>
      </w:r>
    </w:p>
    <w:p w14:paraId="23B01CDC">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到位。个别基层医疗卫生单位影音播放器不能定期播放；宣传栏</w:t>
      </w:r>
    </w:p>
    <w:p w14:paraId="37CE396B">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更换内容简单，记录表不完整。实际开展健康知识讲座和健康咨</w:t>
      </w:r>
    </w:p>
    <w:p w14:paraId="12DE54FA">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询服务做的不到位。由于健康教育开展的不扎实，针对性不强，</w:t>
      </w:r>
    </w:p>
    <w:p w14:paraId="7252082C">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健康指导不到位，致使城乡居民对基本公共卫生服务项目和服务</w:t>
      </w:r>
    </w:p>
    <w:p w14:paraId="021BC2F8">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流程等不甚了解，主动接受服务的参与意识不高。（3）儿童健</w:t>
      </w:r>
    </w:p>
    <w:p w14:paraId="0BCC2C43">
      <w:pPr>
        <w:widowControl/>
        <w:adjustRightInd w:val="0"/>
        <w:snapToGrid w:val="0"/>
        <w:spacing w:line="336"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康管理不规范。（4）孕产妇健康管理工作有欠缺。（5）老年人和慢性病患者健康管理覆盖率不高，指导规范。</w:t>
      </w:r>
    </w:p>
    <w:p w14:paraId="42D2B460">
      <w:pPr>
        <w:widowControl/>
        <w:adjustRightInd w:val="0"/>
        <w:snapToGrid w:val="0"/>
        <w:spacing w:line="348" w:lineRule="auto"/>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下一步改进措施：1.不断完善公卫人力资源的建设。2.投入</w:t>
      </w:r>
    </w:p>
    <w:p w14:paraId="53DA59DA">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资金,完善公共卫生各专线所缺设备。3.与门诊、网络化工作联</w:t>
      </w:r>
    </w:p>
    <w:p w14:paraId="73D1B4B9">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动，把建立辖区居民健康档案工作、更新居民资料作为中心工作</w:t>
      </w:r>
    </w:p>
    <w:p w14:paraId="1B19F3B5">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的重点，明确责任分工，细化工作措施，确保居民健康档案信息</w:t>
      </w:r>
    </w:p>
    <w:p w14:paraId="7DC46DC6">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及时更新。4.密切联系居委会人员和街道民警，及时发现精神病</w:t>
      </w:r>
    </w:p>
    <w:p w14:paraId="12152E14">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患者；加大慢病随访力度。合理安排网络服务时间，定期总结经</w:t>
      </w:r>
    </w:p>
    <w:p w14:paraId="46443C03">
      <w:pPr>
        <w:widowControl/>
        <w:adjustRightInd w:val="0"/>
        <w:snapToGrid w:val="0"/>
        <w:spacing w:line="348" w:lineRule="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验，主动上门服务，全面推进网络化服务。</w:t>
      </w:r>
    </w:p>
    <w:tbl>
      <w:tblPr>
        <w:tblStyle w:val="5"/>
        <w:tblW w:w="9080" w:type="dxa"/>
        <w:tblInd w:w="93" w:type="dxa"/>
        <w:tblLayout w:type="autofit"/>
        <w:tblCellMar>
          <w:top w:w="0" w:type="dxa"/>
          <w:left w:w="108" w:type="dxa"/>
          <w:bottom w:w="0" w:type="dxa"/>
          <w:right w:w="108" w:type="dxa"/>
        </w:tblCellMar>
      </w:tblPr>
      <w:tblGrid>
        <w:gridCol w:w="1630"/>
        <w:gridCol w:w="1120"/>
        <w:gridCol w:w="384"/>
        <w:gridCol w:w="716"/>
        <w:gridCol w:w="760"/>
        <w:gridCol w:w="884"/>
        <w:gridCol w:w="1080"/>
        <w:gridCol w:w="1120"/>
        <w:gridCol w:w="460"/>
        <w:gridCol w:w="926"/>
      </w:tblGrid>
      <w:tr w14:paraId="0DC30773">
        <w:tblPrEx>
          <w:tblCellMar>
            <w:top w:w="0" w:type="dxa"/>
            <w:left w:w="108" w:type="dxa"/>
            <w:bottom w:w="0" w:type="dxa"/>
            <w:right w:w="108" w:type="dxa"/>
          </w:tblCellMar>
        </w:tblPrEx>
        <w:trPr>
          <w:trHeight w:val="559" w:hRule="atLeast"/>
        </w:trPr>
        <w:tc>
          <w:tcPr>
            <w:tcW w:w="9080" w:type="dxa"/>
            <w:gridSpan w:val="10"/>
            <w:tcBorders>
              <w:top w:val="nil"/>
              <w:left w:val="nil"/>
              <w:bottom w:val="nil"/>
              <w:right w:val="nil"/>
            </w:tcBorders>
            <w:shd w:val="clear" w:color="auto" w:fill="auto"/>
            <w:noWrap/>
            <w:vAlign w:val="center"/>
          </w:tcPr>
          <w:p w14:paraId="225004D5">
            <w:pPr>
              <w:widowControl/>
              <w:jc w:val="center"/>
              <w:rPr>
                <w:rFonts w:ascii="黑体" w:hAnsi="黑体" w:eastAsia="黑体"/>
                <w:color w:val="000000"/>
                <w:kern w:val="0"/>
                <w:sz w:val="40"/>
                <w:szCs w:val="40"/>
              </w:rPr>
            </w:pPr>
          </w:p>
          <w:p w14:paraId="65D12CE7">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14:paraId="7893B197">
        <w:tblPrEx>
          <w:tblCellMar>
            <w:top w:w="0" w:type="dxa"/>
            <w:left w:w="108" w:type="dxa"/>
            <w:bottom w:w="0" w:type="dxa"/>
            <w:right w:w="108" w:type="dxa"/>
          </w:tblCellMar>
        </w:tblPrEx>
        <w:trPr>
          <w:trHeight w:val="582" w:hRule="atLeast"/>
        </w:trPr>
        <w:tc>
          <w:tcPr>
            <w:tcW w:w="3850" w:type="dxa"/>
            <w:gridSpan w:val="4"/>
            <w:tcBorders>
              <w:top w:val="nil"/>
              <w:left w:val="nil"/>
              <w:bottom w:val="nil"/>
              <w:right w:val="nil"/>
            </w:tcBorders>
            <w:shd w:val="clear" w:color="auto" w:fill="auto"/>
            <w:noWrap/>
            <w:vAlign w:val="center"/>
          </w:tcPr>
          <w:p w14:paraId="56AE2F76">
            <w:pPr>
              <w:widowControl/>
              <w:rPr>
                <w:rFonts w:ascii="宋体" w:hAnsi="宋体"/>
                <w:color w:val="000000"/>
                <w:kern w:val="0"/>
                <w:sz w:val="16"/>
                <w:szCs w:val="16"/>
              </w:rPr>
            </w:pPr>
            <w:r>
              <w:rPr>
                <w:rFonts w:hint="eastAsia" w:ascii="宋体" w:hAnsi="宋体"/>
                <w:color w:val="000000"/>
                <w:kern w:val="0"/>
                <w:sz w:val="16"/>
                <w:szCs w:val="16"/>
              </w:rPr>
              <w:t>填报单位（盖章）：昌黎县卫生健康局</w:t>
            </w:r>
          </w:p>
        </w:tc>
        <w:tc>
          <w:tcPr>
            <w:tcW w:w="760" w:type="dxa"/>
            <w:tcBorders>
              <w:top w:val="nil"/>
              <w:left w:val="nil"/>
              <w:bottom w:val="nil"/>
              <w:right w:val="nil"/>
            </w:tcBorders>
            <w:shd w:val="clear" w:color="auto" w:fill="auto"/>
            <w:noWrap/>
            <w:vAlign w:val="center"/>
          </w:tcPr>
          <w:p w14:paraId="515811BC">
            <w:pPr>
              <w:widowControl/>
              <w:jc w:val="center"/>
              <w:rPr>
                <w:rFonts w:ascii="宋体" w:hAnsi="宋体"/>
                <w:color w:val="000000"/>
                <w:kern w:val="0"/>
                <w:sz w:val="16"/>
                <w:szCs w:val="16"/>
              </w:rPr>
            </w:pPr>
          </w:p>
        </w:tc>
        <w:tc>
          <w:tcPr>
            <w:tcW w:w="884" w:type="dxa"/>
            <w:tcBorders>
              <w:top w:val="nil"/>
              <w:left w:val="nil"/>
              <w:bottom w:val="nil"/>
              <w:right w:val="nil"/>
            </w:tcBorders>
            <w:shd w:val="clear" w:color="auto" w:fill="auto"/>
            <w:noWrap/>
            <w:vAlign w:val="center"/>
          </w:tcPr>
          <w:p w14:paraId="5E9591DF">
            <w:pPr>
              <w:widowControl/>
              <w:jc w:val="center"/>
              <w:rPr>
                <w:rFonts w:ascii="宋体" w:hAnsi="宋体"/>
                <w:color w:val="000000"/>
                <w:kern w:val="0"/>
                <w:sz w:val="16"/>
                <w:szCs w:val="16"/>
              </w:rPr>
            </w:pPr>
          </w:p>
        </w:tc>
        <w:tc>
          <w:tcPr>
            <w:tcW w:w="1080" w:type="dxa"/>
            <w:tcBorders>
              <w:top w:val="nil"/>
              <w:left w:val="nil"/>
              <w:bottom w:val="nil"/>
              <w:right w:val="nil"/>
            </w:tcBorders>
            <w:shd w:val="clear" w:color="auto" w:fill="auto"/>
            <w:noWrap/>
            <w:vAlign w:val="center"/>
          </w:tcPr>
          <w:p w14:paraId="141DBD4D">
            <w:pPr>
              <w:widowControl/>
              <w:jc w:val="center"/>
              <w:rPr>
                <w:rFonts w:ascii="宋体" w:hAnsi="宋体"/>
                <w:color w:val="000000"/>
                <w:kern w:val="0"/>
                <w:sz w:val="16"/>
                <w:szCs w:val="16"/>
              </w:rPr>
            </w:pPr>
          </w:p>
        </w:tc>
        <w:tc>
          <w:tcPr>
            <w:tcW w:w="1120" w:type="dxa"/>
            <w:tcBorders>
              <w:top w:val="nil"/>
              <w:left w:val="nil"/>
              <w:bottom w:val="nil"/>
              <w:right w:val="nil"/>
            </w:tcBorders>
            <w:shd w:val="clear" w:color="auto" w:fill="auto"/>
            <w:noWrap/>
            <w:vAlign w:val="center"/>
          </w:tcPr>
          <w:p w14:paraId="6E30F796">
            <w:pPr>
              <w:widowControl/>
              <w:jc w:val="center"/>
              <w:rPr>
                <w:rFonts w:ascii="宋体" w:hAnsi="宋体"/>
                <w:color w:val="000000"/>
                <w:kern w:val="0"/>
                <w:sz w:val="16"/>
                <w:szCs w:val="16"/>
              </w:rPr>
            </w:pPr>
          </w:p>
        </w:tc>
        <w:tc>
          <w:tcPr>
            <w:tcW w:w="1386" w:type="dxa"/>
            <w:gridSpan w:val="2"/>
            <w:tcBorders>
              <w:top w:val="nil"/>
              <w:left w:val="nil"/>
              <w:bottom w:val="nil"/>
              <w:right w:val="nil"/>
            </w:tcBorders>
            <w:shd w:val="clear" w:color="auto" w:fill="auto"/>
            <w:noWrap/>
            <w:vAlign w:val="center"/>
          </w:tcPr>
          <w:p w14:paraId="1358F20D">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679BCC30">
        <w:tblPrEx>
          <w:tblCellMar>
            <w:top w:w="0" w:type="dxa"/>
            <w:left w:w="108" w:type="dxa"/>
            <w:bottom w:w="0" w:type="dxa"/>
            <w:right w:w="108" w:type="dxa"/>
          </w:tblCellMar>
        </w:tblPrEx>
        <w:trPr>
          <w:trHeight w:val="375" w:hRule="atLeast"/>
        </w:trPr>
        <w:tc>
          <w:tcPr>
            <w:tcW w:w="1630" w:type="dxa"/>
            <w:tcBorders>
              <w:top w:val="single" w:color="000000" w:sz="4" w:space="0"/>
              <w:left w:val="single" w:color="000000" w:sz="4" w:space="0"/>
              <w:bottom w:val="nil"/>
              <w:right w:val="single" w:color="000000" w:sz="4" w:space="0"/>
            </w:tcBorders>
            <w:shd w:val="clear" w:color="auto" w:fill="auto"/>
            <w:vAlign w:val="center"/>
          </w:tcPr>
          <w:p w14:paraId="5F3AF83B">
            <w:pPr>
              <w:widowControl/>
              <w:jc w:val="left"/>
              <w:rPr>
                <w:rFonts w:ascii="宋体" w:hAnsi="宋体"/>
                <w:color w:val="000000"/>
                <w:kern w:val="0"/>
                <w:sz w:val="16"/>
                <w:szCs w:val="16"/>
              </w:rPr>
            </w:pPr>
            <w:r>
              <w:rPr>
                <w:rFonts w:hint="eastAsia" w:ascii="宋体" w:hAnsi="宋体"/>
                <w:color w:val="000000"/>
                <w:kern w:val="0"/>
                <w:sz w:val="16"/>
                <w:szCs w:val="16"/>
              </w:rPr>
              <w:t>一、</w:t>
            </w:r>
            <w:r>
              <w:rPr>
                <w:color w:val="000000"/>
                <w:kern w:val="0"/>
                <w:sz w:val="16"/>
                <w:szCs w:val="16"/>
              </w:rPr>
              <w:t> </w:t>
            </w:r>
            <w:r>
              <w:rPr>
                <w:rFonts w:hint="eastAsia" w:ascii="宋体" w:hAnsi="宋体"/>
                <w:color w:val="000000"/>
                <w:kern w:val="0"/>
                <w:sz w:val="16"/>
                <w:szCs w:val="16"/>
              </w:rPr>
              <w:t>基本情况</w:t>
            </w:r>
          </w:p>
        </w:tc>
        <w:tc>
          <w:tcPr>
            <w:tcW w:w="1504" w:type="dxa"/>
            <w:gridSpan w:val="2"/>
            <w:tcBorders>
              <w:top w:val="single" w:color="000000" w:sz="4" w:space="0"/>
              <w:left w:val="nil"/>
              <w:bottom w:val="single" w:color="000000" w:sz="4" w:space="0"/>
              <w:right w:val="single" w:color="000000" w:sz="4" w:space="0"/>
            </w:tcBorders>
            <w:shd w:val="clear" w:color="auto" w:fill="auto"/>
            <w:vAlign w:val="center"/>
          </w:tcPr>
          <w:p w14:paraId="733EBCCC">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5946" w:type="dxa"/>
            <w:gridSpan w:val="7"/>
            <w:tcBorders>
              <w:top w:val="single" w:color="000000" w:sz="4" w:space="0"/>
              <w:left w:val="nil"/>
              <w:bottom w:val="single" w:color="000000" w:sz="4" w:space="0"/>
              <w:right w:val="single" w:color="000000" w:sz="4" w:space="0"/>
            </w:tcBorders>
            <w:shd w:val="clear" w:color="auto" w:fill="auto"/>
            <w:vAlign w:val="center"/>
          </w:tcPr>
          <w:p w14:paraId="69A3AE9E">
            <w:pPr>
              <w:widowControl/>
              <w:jc w:val="center"/>
              <w:rPr>
                <w:rFonts w:ascii="宋体" w:hAnsi="宋体"/>
                <w:color w:val="000000"/>
                <w:kern w:val="0"/>
                <w:sz w:val="16"/>
                <w:szCs w:val="16"/>
              </w:rPr>
            </w:pPr>
            <w:r>
              <w:rPr>
                <w:rFonts w:hint="eastAsia" w:ascii="宋体" w:hAnsi="宋体"/>
                <w:color w:val="000000"/>
                <w:kern w:val="0"/>
                <w:sz w:val="16"/>
                <w:szCs w:val="16"/>
              </w:rPr>
              <w:t>基本公共卫生服务资金</w:t>
            </w:r>
          </w:p>
        </w:tc>
      </w:tr>
      <w:tr w14:paraId="7F43804C">
        <w:tblPrEx>
          <w:tblCellMar>
            <w:top w:w="0" w:type="dxa"/>
            <w:left w:w="108" w:type="dxa"/>
            <w:bottom w:w="0" w:type="dxa"/>
            <w:right w:w="108" w:type="dxa"/>
          </w:tblCellMar>
        </w:tblPrEx>
        <w:trPr>
          <w:trHeight w:val="300" w:hRule="atLeast"/>
        </w:trPr>
        <w:tc>
          <w:tcPr>
            <w:tcW w:w="1630" w:type="dxa"/>
            <w:tcBorders>
              <w:top w:val="single" w:color="000000" w:sz="4" w:space="0"/>
              <w:left w:val="single" w:color="000000" w:sz="4" w:space="0"/>
              <w:bottom w:val="nil"/>
              <w:right w:val="single" w:color="000000" w:sz="4" w:space="0"/>
            </w:tcBorders>
            <w:shd w:val="clear" w:color="auto" w:fill="auto"/>
            <w:vAlign w:val="center"/>
          </w:tcPr>
          <w:p w14:paraId="2BFEA57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504" w:type="dxa"/>
            <w:gridSpan w:val="2"/>
            <w:tcBorders>
              <w:top w:val="nil"/>
              <w:left w:val="nil"/>
              <w:bottom w:val="single" w:color="000000" w:sz="4" w:space="0"/>
              <w:right w:val="single" w:color="000000" w:sz="4" w:space="0"/>
            </w:tcBorders>
            <w:shd w:val="clear" w:color="auto" w:fill="auto"/>
            <w:vAlign w:val="center"/>
          </w:tcPr>
          <w:p w14:paraId="354CD65E">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2360" w:type="dxa"/>
            <w:gridSpan w:val="3"/>
            <w:tcBorders>
              <w:top w:val="single" w:color="000000" w:sz="4" w:space="0"/>
              <w:left w:val="nil"/>
              <w:bottom w:val="nil"/>
              <w:right w:val="single" w:color="000000" w:sz="4" w:space="0"/>
            </w:tcBorders>
            <w:shd w:val="clear" w:color="auto" w:fill="auto"/>
            <w:vAlign w:val="center"/>
          </w:tcPr>
          <w:p w14:paraId="7CAE779D">
            <w:pPr>
              <w:widowControl/>
              <w:jc w:val="center"/>
              <w:rPr>
                <w:rFonts w:ascii="宋体" w:hAnsi="宋体"/>
                <w:color w:val="000000"/>
                <w:kern w:val="0"/>
                <w:sz w:val="16"/>
                <w:szCs w:val="16"/>
              </w:rPr>
            </w:pPr>
            <w:r>
              <w:rPr>
                <w:rFonts w:hint="eastAsia" w:ascii="宋体" w:hAnsi="宋体"/>
                <w:color w:val="000000"/>
                <w:kern w:val="0"/>
                <w:sz w:val="16"/>
                <w:szCs w:val="16"/>
              </w:rPr>
              <w:t>昌黎县卫生健康局</w:t>
            </w:r>
          </w:p>
        </w:tc>
        <w:tc>
          <w:tcPr>
            <w:tcW w:w="1080" w:type="dxa"/>
            <w:tcBorders>
              <w:top w:val="nil"/>
              <w:left w:val="nil"/>
              <w:bottom w:val="nil"/>
              <w:right w:val="single" w:color="000000" w:sz="4" w:space="0"/>
            </w:tcBorders>
            <w:shd w:val="clear" w:color="auto" w:fill="auto"/>
            <w:vAlign w:val="center"/>
          </w:tcPr>
          <w:p w14:paraId="320D8009">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2506" w:type="dxa"/>
            <w:gridSpan w:val="3"/>
            <w:tcBorders>
              <w:top w:val="single" w:color="000000" w:sz="4" w:space="0"/>
              <w:left w:val="nil"/>
              <w:bottom w:val="nil"/>
              <w:right w:val="single" w:color="000000" w:sz="4" w:space="0"/>
            </w:tcBorders>
            <w:shd w:val="clear" w:color="auto" w:fill="auto"/>
            <w:vAlign w:val="center"/>
          </w:tcPr>
          <w:p w14:paraId="104CB167">
            <w:pPr>
              <w:widowControl/>
              <w:jc w:val="center"/>
              <w:rPr>
                <w:rFonts w:ascii="宋体" w:hAnsi="宋体"/>
                <w:color w:val="000000"/>
                <w:kern w:val="0"/>
                <w:sz w:val="16"/>
                <w:szCs w:val="16"/>
              </w:rPr>
            </w:pPr>
            <w:r>
              <w:rPr>
                <w:rFonts w:hint="eastAsia" w:ascii="宋体" w:hAnsi="宋体"/>
                <w:color w:val="000000"/>
                <w:kern w:val="0"/>
                <w:sz w:val="16"/>
                <w:szCs w:val="16"/>
              </w:rPr>
              <w:t>昌黎县卫生健康局</w:t>
            </w:r>
          </w:p>
        </w:tc>
      </w:tr>
      <w:tr w14:paraId="12964AB0">
        <w:tblPrEx>
          <w:tblCellMar>
            <w:top w:w="0" w:type="dxa"/>
            <w:left w:w="108" w:type="dxa"/>
            <w:bottom w:w="0" w:type="dxa"/>
            <w:right w:w="108" w:type="dxa"/>
          </w:tblCellMar>
        </w:tblPrEx>
        <w:trPr>
          <w:trHeight w:val="255" w:hRule="atLeast"/>
        </w:trPr>
        <w:tc>
          <w:tcPr>
            <w:tcW w:w="1630" w:type="dxa"/>
            <w:vMerge w:val="restart"/>
            <w:tcBorders>
              <w:top w:val="single" w:color="000000" w:sz="4" w:space="0"/>
              <w:left w:val="single" w:color="000000" w:sz="4" w:space="0"/>
              <w:bottom w:val="nil"/>
              <w:right w:val="single" w:color="000000" w:sz="4" w:space="0"/>
            </w:tcBorders>
            <w:shd w:val="clear" w:color="auto" w:fill="auto"/>
            <w:vAlign w:val="center"/>
          </w:tcPr>
          <w:p w14:paraId="5BF48081">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504" w:type="dxa"/>
            <w:gridSpan w:val="2"/>
            <w:tcBorders>
              <w:top w:val="nil"/>
              <w:left w:val="nil"/>
              <w:bottom w:val="single" w:color="000000" w:sz="4" w:space="0"/>
              <w:right w:val="single" w:color="000000" w:sz="4" w:space="0"/>
            </w:tcBorders>
            <w:shd w:val="clear" w:color="auto" w:fill="auto"/>
            <w:vAlign w:val="center"/>
          </w:tcPr>
          <w:p w14:paraId="771E1EB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76" w:type="dxa"/>
            <w:gridSpan w:val="2"/>
            <w:tcBorders>
              <w:top w:val="single" w:color="000000" w:sz="4" w:space="0"/>
              <w:left w:val="nil"/>
              <w:bottom w:val="single" w:color="000000" w:sz="4" w:space="0"/>
              <w:right w:val="single" w:color="000000" w:sz="4" w:space="0"/>
            </w:tcBorders>
            <w:shd w:val="clear" w:color="auto" w:fill="auto"/>
            <w:vAlign w:val="center"/>
          </w:tcPr>
          <w:p w14:paraId="0A5F1086">
            <w:pPr>
              <w:widowControl/>
              <w:jc w:val="center"/>
              <w:rPr>
                <w:rFonts w:ascii="宋体" w:hAnsi="宋体"/>
                <w:kern w:val="0"/>
                <w:sz w:val="16"/>
                <w:szCs w:val="16"/>
              </w:rPr>
            </w:pPr>
            <w:r>
              <w:rPr>
                <w:rFonts w:hint="eastAsia" w:ascii="宋体" w:hAnsi="宋体"/>
                <w:kern w:val="0"/>
                <w:sz w:val="16"/>
                <w:szCs w:val="16"/>
              </w:rPr>
              <w:t>年初预算数</w:t>
            </w:r>
          </w:p>
        </w:tc>
        <w:tc>
          <w:tcPr>
            <w:tcW w:w="1964" w:type="dxa"/>
            <w:gridSpan w:val="2"/>
            <w:tcBorders>
              <w:top w:val="single" w:color="000000" w:sz="4" w:space="0"/>
              <w:left w:val="nil"/>
              <w:bottom w:val="single" w:color="000000" w:sz="4" w:space="0"/>
              <w:right w:val="single" w:color="000000" w:sz="4" w:space="0"/>
            </w:tcBorders>
            <w:shd w:val="clear" w:color="auto" w:fill="auto"/>
            <w:vAlign w:val="center"/>
          </w:tcPr>
          <w:p w14:paraId="7D95EBCC">
            <w:pPr>
              <w:widowControl/>
              <w:jc w:val="center"/>
              <w:rPr>
                <w:rFonts w:ascii="宋体" w:hAnsi="宋体"/>
                <w:kern w:val="0"/>
                <w:sz w:val="16"/>
                <w:szCs w:val="16"/>
              </w:rPr>
            </w:pPr>
            <w:r>
              <w:rPr>
                <w:rFonts w:hint="eastAsia" w:ascii="宋体" w:hAnsi="宋体"/>
                <w:kern w:val="0"/>
                <w:sz w:val="16"/>
                <w:szCs w:val="16"/>
              </w:rPr>
              <w:t>全年预算数</w:t>
            </w: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495C719B">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1386" w:type="dxa"/>
            <w:gridSpan w:val="2"/>
            <w:tcBorders>
              <w:top w:val="single" w:color="000000" w:sz="4" w:space="0"/>
              <w:left w:val="nil"/>
              <w:bottom w:val="single" w:color="000000" w:sz="4" w:space="0"/>
              <w:right w:val="single" w:color="000000" w:sz="4" w:space="0"/>
            </w:tcBorders>
            <w:shd w:val="clear" w:color="auto" w:fill="auto"/>
            <w:vAlign w:val="center"/>
          </w:tcPr>
          <w:p w14:paraId="565FF20B">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491CD0A3">
        <w:tblPrEx>
          <w:tblCellMar>
            <w:top w:w="0" w:type="dxa"/>
            <w:left w:w="108" w:type="dxa"/>
            <w:bottom w:w="0" w:type="dxa"/>
            <w:right w:w="108" w:type="dxa"/>
          </w:tblCellMar>
        </w:tblPrEx>
        <w:trPr>
          <w:trHeight w:val="420" w:hRule="atLeast"/>
        </w:trPr>
        <w:tc>
          <w:tcPr>
            <w:tcW w:w="1630" w:type="dxa"/>
            <w:vMerge w:val="continue"/>
            <w:tcBorders>
              <w:top w:val="single" w:color="000000" w:sz="4" w:space="0"/>
              <w:left w:val="single" w:color="000000" w:sz="4" w:space="0"/>
              <w:bottom w:val="nil"/>
              <w:right w:val="single" w:color="000000" w:sz="4" w:space="0"/>
            </w:tcBorders>
            <w:vAlign w:val="center"/>
          </w:tcPr>
          <w:p w14:paraId="569E753B">
            <w:pPr>
              <w:widowControl/>
              <w:jc w:val="left"/>
              <w:rPr>
                <w:rFonts w:ascii="宋体" w:hAnsi="宋体"/>
                <w:color w:val="000000"/>
                <w:kern w:val="0"/>
                <w:sz w:val="16"/>
                <w:szCs w:val="16"/>
              </w:rPr>
            </w:pPr>
          </w:p>
        </w:tc>
        <w:tc>
          <w:tcPr>
            <w:tcW w:w="1504" w:type="dxa"/>
            <w:gridSpan w:val="2"/>
            <w:tcBorders>
              <w:top w:val="nil"/>
              <w:left w:val="nil"/>
              <w:bottom w:val="single" w:color="000000" w:sz="4" w:space="0"/>
              <w:right w:val="single" w:color="000000" w:sz="4" w:space="0"/>
            </w:tcBorders>
            <w:shd w:val="clear" w:color="auto" w:fill="auto"/>
            <w:vAlign w:val="center"/>
          </w:tcPr>
          <w:p w14:paraId="3DE16DBD">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476" w:type="dxa"/>
            <w:gridSpan w:val="2"/>
            <w:tcBorders>
              <w:top w:val="single" w:color="000000" w:sz="4" w:space="0"/>
              <w:left w:val="nil"/>
              <w:bottom w:val="single" w:color="000000" w:sz="4" w:space="0"/>
              <w:right w:val="single" w:color="000000" w:sz="4" w:space="0"/>
            </w:tcBorders>
            <w:shd w:val="clear" w:color="auto" w:fill="auto"/>
            <w:vAlign w:val="center"/>
          </w:tcPr>
          <w:p w14:paraId="6397C7C7">
            <w:pPr>
              <w:widowControl/>
              <w:jc w:val="center"/>
              <w:rPr>
                <w:rFonts w:ascii="宋体" w:hAnsi="宋体"/>
                <w:color w:val="000000"/>
                <w:kern w:val="0"/>
                <w:sz w:val="16"/>
                <w:szCs w:val="16"/>
              </w:rPr>
            </w:pPr>
            <w:r>
              <w:rPr>
                <w:rFonts w:hint="eastAsia" w:ascii="宋体" w:hAnsi="宋体"/>
                <w:color w:val="000000"/>
                <w:kern w:val="0"/>
                <w:sz w:val="16"/>
                <w:szCs w:val="16"/>
              </w:rPr>
              <w:t>4054.68</w:t>
            </w:r>
          </w:p>
        </w:tc>
        <w:tc>
          <w:tcPr>
            <w:tcW w:w="1964" w:type="dxa"/>
            <w:gridSpan w:val="2"/>
            <w:tcBorders>
              <w:top w:val="single" w:color="000000" w:sz="4" w:space="0"/>
              <w:left w:val="nil"/>
              <w:bottom w:val="single" w:color="000000" w:sz="4" w:space="0"/>
              <w:right w:val="single" w:color="000000" w:sz="4" w:space="0"/>
            </w:tcBorders>
            <w:shd w:val="clear" w:color="auto" w:fill="auto"/>
            <w:vAlign w:val="center"/>
          </w:tcPr>
          <w:p w14:paraId="23BCD01A">
            <w:pPr>
              <w:widowControl/>
              <w:jc w:val="center"/>
              <w:rPr>
                <w:rFonts w:ascii="宋体" w:hAnsi="宋体"/>
                <w:color w:val="000000"/>
                <w:kern w:val="0"/>
                <w:sz w:val="16"/>
                <w:szCs w:val="16"/>
              </w:rPr>
            </w:pPr>
            <w:r>
              <w:rPr>
                <w:rFonts w:hint="eastAsia" w:ascii="宋体" w:hAnsi="宋体"/>
                <w:color w:val="000000"/>
                <w:kern w:val="0"/>
                <w:sz w:val="16"/>
                <w:szCs w:val="16"/>
              </w:rPr>
              <w:t>4288.37</w:t>
            </w:r>
          </w:p>
        </w:tc>
        <w:tc>
          <w:tcPr>
            <w:tcW w:w="1120" w:type="dxa"/>
            <w:tcBorders>
              <w:top w:val="nil"/>
              <w:left w:val="nil"/>
              <w:bottom w:val="single" w:color="000000" w:sz="4" w:space="0"/>
              <w:right w:val="single" w:color="000000" w:sz="4" w:space="0"/>
            </w:tcBorders>
            <w:shd w:val="clear" w:color="auto" w:fill="auto"/>
            <w:vAlign w:val="center"/>
          </w:tcPr>
          <w:p w14:paraId="0804728D">
            <w:pPr>
              <w:widowControl/>
              <w:jc w:val="right"/>
              <w:rPr>
                <w:rFonts w:ascii="宋体" w:hAnsi="宋体"/>
                <w:color w:val="000000"/>
                <w:kern w:val="0"/>
                <w:sz w:val="16"/>
                <w:szCs w:val="16"/>
              </w:rPr>
            </w:pPr>
            <w:r>
              <w:rPr>
                <w:rFonts w:hint="eastAsia" w:ascii="宋体" w:hAnsi="宋体"/>
                <w:color w:val="000000"/>
                <w:kern w:val="0"/>
                <w:sz w:val="16"/>
                <w:szCs w:val="16"/>
              </w:rPr>
              <w:t>4288.37</w:t>
            </w:r>
          </w:p>
        </w:tc>
        <w:tc>
          <w:tcPr>
            <w:tcW w:w="1386" w:type="dxa"/>
            <w:gridSpan w:val="2"/>
            <w:tcBorders>
              <w:top w:val="single" w:color="000000" w:sz="4" w:space="0"/>
              <w:left w:val="nil"/>
              <w:bottom w:val="single" w:color="000000" w:sz="4" w:space="0"/>
              <w:right w:val="single" w:color="000000" w:sz="4" w:space="0"/>
            </w:tcBorders>
            <w:shd w:val="clear" w:color="auto" w:fill="auto"/>
            <w:vAlign w:val="center"/>
          </w:tcPr>
          <w:p w14:paraId="03103699">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0CAAD1AF">
        <w:tblPrEx>
          <w:tblCellMar>
            <w:top w:w="0" w:type="dxa"/>
            <w:left w:w="108" w:type="dxa"/>
            <w:bottom w:w="0" w:type="dxa"/>
            <w:right w:w="108" w:type="dxa"/>
          </w:tblCellMar>
        </w:tblPrEx>
        <w:trPr>
          <w:trHeight w:val="435" w:hRule="atLeast"/>
        </w:trPr>
        <w:tc>
          <w:tcPr>
            <w:tcW w:w="1630" w:type="dxa"/>
            <w:vMerge w:val="continue"/>
            <w:tcBorders>
              <w:top w:val="single" w:color="000000" w:sz="4" w:space="0"/>
              <w:left w:val="single" w:color="000000" w:sz="4" w:space="0"/>
              <w:bottom w:val="nil"/>
              <w:right w:val="single" w:color="000000" w:sz="4" w:space="0"/>
            </w:tcBorders>
            <w:vAlign w:val="center"/>
          </w:tcPr>
          <w:p w14:paraId="3EBEE32E">
            <w:pPr>
              <w:widowControl/>
              <w:jc w:val="left"/>
              <w:rPr>
                <w:rFonts w:ascii="宋体" w:hAnsi="宋体"/>
                <w:color w:val="000000"/>
                <w:kern w:val="0"/>
                <w:sz w:val="16"/>
                <w:szCs w:val="16"/>
              </w:rPr>
            </w:pPr>
          </w:p>
        </w:tc>
        <w:tc>
          <w:tcPr>
            <w:tcW w:w="1504" w:type="dxa"/>
            <w:gridSpan w:val="2"/>
            <w:tcBorders>
              <w:top w:val="nil"/>
              <w:left w:val="nil"/>
              <w:bottom w:val="single" w:color="000000" w:sz="4" w:space="0"/>
              <w:right w:val="single" w:color="000000" w:sz="4" w:space="0"/>
            </w:tcBorders>
            <w:shd w:val="clear" w:color="auto" w:fill="auto"/>
            <w:vAlign w:val="center"/>
          </w:tcPr>
          <w:p w14:paraId="62C85576">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476" w:type="dxa"/>
            <w:gridSpan w:val="2"/>
            <w:tcBorders>
              <w:top w:val="single" w:color="000000" w:sz="4" w:space="0"/>
              <w:left w:val="nil"/>
              <w:bottom w:val="single" w:color="000000" w:sz="4" w:space="0"/>
              <w:right w:val="single" w:color="000000" w:sz="4" w:space="0"/>
            </w:tcBorders>
            <w:shd w:val="clear" w:color="auto" w:fill="auto"/>
            <w:vAlign w:val="center"/>
          </w:tcPr>
          <w:p w14:paraId="179BC444">
            <w:pPr>
              <w:widowControl/>
              <w:jc w:val="center"/>
              <w:rPr>
                <w:rFonts w:ascii="宋体" w:hAnsi="宋体"/>
                <w:color w:val="000000"/>
                <w:kern w:val="0"/>
                <w:sz w:val="16"/>
                <w:szCs w:val="16"/>
              </w:rPr>
            </w:pPr>
            <w:r>
              <w:rPr>
                <w:rFonts w:hint="eastAsia" w:ascii="宋体" w:hAnsi="宋体"/>
                <w:color w:val="000000"/>
                <w:kern w:val="0"/>
                <w:sz w:val="16"/>
                <w:szCs w:val="16"/>
              </w:rPr>
              <w:t>4054.68</w:t>
            </w:r>
          </w:p>
        </w:tc>
        <w:tc>
          <w:tcPr>
            <w:tcW w:w="1964" w:type="dxa"/>
            <w:gridSpan w:val="2"/>
            <w:tcBorders>
              <w:top w:val="single" w:color="000000" w:sz="4" w:space="0"/>
              <w:left w:val="nil"/>
              <w:bottom w:val="single" w:color="000000" w:sz="4" w:space="0"/>
              <w:right w:val="single" w:color="000000" w:sz="4" w:space="0"/>
            </w:tcBorders>
            <w:shd w:val="clear" w:color="auto" w:fill="auto"/>
            <w:vAlign w:val="center"/>
          </w:tcPr>
          <w:p w14:paraId="33D11156">
            <w:pPr>
              <w:widowControl/>
              <w:jc w:val="center"/>
              <w:rPr>
                <w:rFonts w:ascii="宋体" w:hAnsi="宋体"/>
                <w:color w:val="000000"/>
                <w:kern w:val="0"/>
                <w:sz w:val="16"/>
                <w:szCs w:val="16"/>
              </w:rPr>
            </w:pPr>
            <w:r>
              <w:rPr>
                <w:rFonts w:hint="eastAsia" w:ascii="宋体" w:hAnsi="宋体"/>
                <w:color w:val="000000"/>
                <w:kern w:val="0"/>
                <w:sz w:val="16"/>
                <w:szCs w:val="16"/>
              </w:rPr>
              <w:t>4288.37</w:t>
            </w:r>
          </w:p>
        </w:tc>
        <w:tc>
          <w:tcPr>
            <w:tcW w:w="1120" w:type="dxa"/>
            <w:tcBorders>
              <w:top w:val="nil"/>
              <w:left w:val="nil"/>
              <w:bottom w:val="single" w:color="000000" w:sz="4" w:space="0"/>
              <w:right w:val="single" w:color="000000" w:sz="4" w:space="0"/>
            </w:tcBorders>
            <w:shd w:val="clear" w:color="auto" w:fill="auto"/>
            <w:vAlign w:val="center"/>
          </w:tcPr>
          <w:p w14:paraId="150A28A4">
            <w:pPr>
              <w:widowControl/>
              <w:jc w:val="right"/>
              <w:rPr>
                <w:rFonts w:ascii="宋体" w:hAnsi="宋体"/>
                <w:color w:val="000000"/>
                <w:kern w:val="0"/>
                <w:sz w:val="16"/>
                <w:szCs w:val="16"/>
              </w:rPr>
            </w:pPr>
            <w:r>
              <w:rPr>
                <w:rFonts w:hint="eastAsia" w:ascii="宋体" w:hAnsi="宋体"/>
                <w:color w:val="000000"/>
                <w:kern w:val="0"/>
                <w:sz w:val="16"/>
                <w:szCs w:val="16"/>
              </w:rPr>
              <w:t>4288.37</w:t>
            </w:r>
          </w:p>
        </w:tc>
        <w:tc>
          <w:tcPr>
            <w:tcW w:w="1386" w:type="dxa"/>
            <w:gridSpan w:val="2"/>
            <w:tcBorders>
              <w:top w:val="single" w:color="000000" w:sz="4" w:space="0"/>
              <w:left w:val="nil"/>
              <w:bottom w:val="single" w:color="000000" w:sz="4" w:space="0"/>
              <w:right w:val="single" w:color="000000" w:sz="4" w:space="0"/>
            </w:tcBorders>
            <w:shd w:val="clear" w:color="auto" w:fill="auto"/>
            <w:vAlign w:val="center"/>
          </w:tcPr>
          <w:p w14:paraId="3280E56C">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451F3A2C">
        <w:tblPrEx>
          <w:tblCellMar>
            <w:top w:w="0" w:type="dxa"/>
            <w:left w:w="108" w:type="dxa"/>
            <w:bottom w:w="0" w:type="dxa"/>
            <w:right w:w="108" w:type="dxa"/>
          </w:tblCellMar>
        </w:tblPrEx>
        <w:trPr>
          <w:trHeight w:val="188" w:hRule="atLeast"/>
        </w:trPr>
        <w:tc>
          <w:tcPr>
            <w:tcW w:w="1630" w:type="dxa"/>
            <w:vMerge w:val="continue"/>
            <w:tcBorders>
              <w:top w:val="single" w:color="000000" w:sz="4" w:space="0"/>
              <w:left w:val="single" w:color="000000" w:sz="4" w:space="0"/>
              <w:bottom w:val="nil"/>
              <w:right w:val="single" w:color="000000" w:sz="4" w:space="0"/>
            </w:tcBorders>
            <w:vAlign w:val="center"/>
          </w:tcPr>
          <w:p w14:paraId="5ABED57B">
            <w:pPr>
              <w:widowControl/>
              <w:jc w:val="left"/>
              <w:rPr>
                <w:rFonts w:ascii="宋体" w:hAnsi="宋体"/>
                <w:color w:val="000000"/>
                <w:kern w:val="0"/>
                <w:sz w:val="16"/>
                <w:szCs w:val="16"/>
              </w:rPr>
            </w:pPr>
          </w:p>
        </w:tc>
        <w:tc>
          <w:tcPr>
            <w:tcW w:w="1504" w:type="dxa"/>
            <w:gridSpan w:val="2"/>
            <w:tcBorders>
              <w:top w:val="nil"/>
              <w:left w:val="nil"/>
              <w:bottom w:val="single" w:color="000000" w:sz="4" w:space="0"/>
              <w:right w:val="single" w:color="000000" w:sz="4" w:space="0"/>
            </w:tcBorders>
            <w:shd w:val="clear" w:color="auto" w:fill="auto"/>
            <w:vAlign w:val="center"/>
          </w:tcPr>
          <w:p w14:paraId="36608F5E">
            <w:pPr>
              <w:widowControl/>
              <w:ind w:right="240"/>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476" w:type="dxa"/>
            <w:gridSpan w:val="2"/>
            <w:tcBorders>
              <w:top w:val="single" w:color="000000" w:sz="4" w:space="0"/>
              <w:left w:val="nil"/>
              <w:bottom w:val="single" w:color="000000" w:sz="4" w:space="0"/>
              <w:right w:val="single" w:color="000000" w:sz="4" w:space="0"/>
            </w:tcBorders>
            <w:shd w:val="clear" w:color="auto" w:fill="auto"/>
            <w:vAlign w:val="center"/>
          </w:tcPr>
          <w:p w14:paraId="60B9AEE7">
            <w:pPr>
              <w:widowControl/>
              <w:jc w:val="center"/>
              <w:rPr>
                <w:color w:val="000000"/>
                <w:kern w:val="0"/>
                <w:szCs w:val="21"/>
              </w:rPr>
            </w:pPr>
            <w:r>
              <w:rPr>
                <w:color w:val="000000"/>
                <w:kern w:val="0"/>
                <w:szCs w:val="21"/>
              </w:rPr>
              <w:t>　</w:t>
            </w:r>
          </w:p>
        </w:tc>
        <w:tc>
          <w:tcPr>
            <w:tcW w:w="1964" w:type="dxa"/>
            <w:gridSpan w:val="2"/>
            <w:tcBorders>
              <w:top w:val="single" w:color="000000" w:sz="4" w:space="0"/>
              <w:left w:val="nil"/>
              <w:bottom w:val="single" w:color="000000" w:sz="4" w:space="0"/>
              <w:right w:val="single" w:color="000000" w:sz="4" w:space="0"/>
            </w:tcBorders>
            <w:shd w:val="clear" w:color="auto" w:fill="auto"/>
            <w:vAlign w:val="center"/>
          </w:tcPr>
          <w:p w14:paraId="668539C0">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120" w:type="dxa"/>
            <w:tcBorders>
              <w:top w:val="nil"/>
              <w:left w:val="nil"/>
              <w:bottom w:val="single" w:color="000000" w:sz="4" w:space="0"/>
              <w:right w:val="single" w:color="000000" w:sz="4" w:space="0"/>
            </w:tcBorders>
            <w:shd w:val="clear" w:color="auto" w:fill="auto"/>
            <w:vAlign w:val="center"/>
          </w:tcPr>
          <w:p w14:paraId="68CB12D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386" w:type="dxa"/>
            <w:gridSpan w:val="2"/>
            <w:tcBorders>
              <w:top w:val="single" w:color="000000" w:sz="4" w:space="0"/>
              <w:left w:val="nil"/>
              <w:bottom w:val="single" w:color="000000" w:sz="4" w:space="0"/>
              <w:right w:val="single" w:color="000000" w:sz="4" w:space="0"/>
            </w:tcBorders>
            <w:shd w:val="clear" w:color="auto" w:fill="auto"/>
            <w:vAlign w:val="center"/>
          </w:tcPr>
          <w:p w14:paraId="2FF103E2">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1F5DAB29">
        <w:tblPrEx>
          <w:tblCellMar>
            <w:top w:w="0" w:type="dxa"/>
            <w:left w:w="108" w:type="dxa"/>
            <w:bottom w:w="0" w:type="dxa"/>
            <w:right w:w="108" w:type="dxa"/>
          </w:tblCellMar>
        </w:tblPrEx>
        <w:trPr>
          <w:trHeight w:val="135" w:hRule="atLeast"/>
        </w:trPr>
        <w:tc>
          <w:tcPr>
            <w:tcW w:w="1630" w:type="dxa"/>
            <w:vMerge w:val="continue"/>
            <w:tcBorders>
              <w:top w:val="single" w:color="000000" w:sz="4" w:space="0"/>
              <w:left w:val="single" w:color="000000" w:sz="4" w:space="0"/>
              <w:bottom w:val="nil"/>
              <w:right w:val="single" w:color="000000" w:sz="4" w:space="0"/>
            </w:tcBorders>
            <w:vAlign w:val="center"/>
          </w:tcPr>
          <w:p w14:paraId="1961EA53">
            <w:pPr>
              <w:widowControl/>
              <w:jc w:val="left"/>
              <w:rPr>
                <w:rFonts w:ascii="宋体" w:hAnsi="宋体"/>
                <w:color w:val="000000"/>
                <w:kern w:val="0"/>
                <w:sz w:val="16"/>
                <w:szCs w:val="16"/>
              </w:rPr>
            </w:pPr>
          </w:p>
        </w:tc>
        <w:tc>
          <w:tcPr>
            <w:tcW w:w="1504" w:type="dxa"/>
            <w:gridSpan w:val="2"/>
            <w:tcBorders>
              <w:top w:val="nil"/>
              <w:left w:val="nil"/>
              <w:bottom w:val="single" w:color="000000" w:sz="4" w:space="0"/>
              <w:right w:val="single" w:color="000000" w:sz="4" w:space="0"/>
            </w:tcBorders>
            <w:shd w:val="clear" w:color="auto" w:fill="auto"/>
            <w:vAlign w:val="center"/>
          </w:tcPr>
          <w:p w14:paraId="3D6F0CC6">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476" w:type="dxa"/>
            <w:gridSpan w:val="2"/>
            <w:tcBorders>
              <w:top w:val="single" w:color="000000" w:sz="4" w:space="0"/>
              <w:left w:val="nil"/>
              <w:bottom w:val="single" w:color="000000" w:sz="4" w:space="0"/>
              <w:right w:val="single" w:color="000000" w:sz="4" w:space="0"/>
            </w:tcBorders>
            <w:shd w:val="clear" w:color="auto" w:fill="auto"/>
            <w:vAlign w:val="center"/>
          </w:tcPr>
          <w:p w14:paraId="747FECD4">
            <w:pPr>
              <w:widowControl/>
              <w:jc w:val="center"/>
              <w:rPr>
                <w:color w:val="000000"/>
                <w:kern w:val="0"/>
                <w:szCs w:val="21"/>
              </w:rPr>
            </w:pPr>
            <w:r>
              <w:rPr>
                <w:color w:val="000000"/>
                <w:kern w:val="0"/>
                <w:szCs w:val="21"/>
              </w:rPr>
              <w:t>　</w:t>
            </w:r>
          </w:p>
        </w:tc>
        <w:tc>
          <w:tcPr>
            <w:tcW w:w="1964" w:type="dxa"/>
            <w:gridSpan w:val="2"/>
            <w:tcBorders>
              <w:top w:val="single" w:color="000000" w:sz="4" w:space="0"/>
              <w:left w:val="nil"/>
              <w:bottom w:val="single" w:color="000000" w:sz="4" w:space="0"/>
              <w:right w:val="single" w:color="000000" w:sz="4" w:space="0"/>
            </w:tcBorders>
            <w:shd w:val="clear" w:color="auto" w:fill="auto"/>
            <w:vAlign w:val="center"/>
          </w:tcPr>
          <w:p w14:paraId="1E2B059A">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120" w:type="dxa"/>
            <w:tcBorders>
              <w:top w:val="nil"/>
              <w:left w:val="nil"/>
              <w:bottom w:val="single" w:color="000000" w:sz="4" w:space="0"/>
              <w:right w:val="single" w:color="000000" w:sz="4" w:space="0"/>
            </w:tcBorders>
            <w:shd w:val="clear" w:color="auto" w:fill="auto"/>
            <w:vAlign w:val="center"/>
          </w:tcPr>
          <w:p w14:paraId="15CA4A9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386" w:type="dxa"/>
            <w:gridSpan w:val="2"/>
            <w:tcBorders>
              <w:top w:val="single" w:color="000000" w:sz="4" w:space="0"/>
              <w:left w:val="nil"/>
              <w:bottom w:val="single" w:color="000000" w:sz="4" w:space="0"/>
              <w:right w:val="single" w:color="000000" w:sz="4" w:space="0"/>
            </w:tcBorders>
            <w:shd w:val="clear" w:color="auto" w:fill="auto"/>
            <w:vAlign w:val="center"/>
          </w:tcPr>
          <w:p w14:paraId="0EA722DB">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6C65EBF2">
        <w:tblPrEx>
          <w:tblCellMar>
            <w:top w:w="0" w:type="dxa"/>
            <w:left w:w="108" w:type="dxa"/>
            <w:bottom w:w="0" w:type="dxa"/>
            <w:right w:w="108" w:type="dxa"/>
          </w:tblCellMar>
        </w:tblPrEx>
        <w:trPr>
          <w:trHeight w:val="270" w:hRule="atLeast"/>
        </w:trPr>
        <w:tc>
          <w:tcPr>
            <w:tcW w:w="1630" w:type="dxa"/>
            <w:vMerge w:val="restart"/>
            <w:tcBorders>
              <w:top w:val="single" w:color="000000" w:sz="4" w:space="0"/>
              <w:left w:val="single" w:color="000000" w:sz="4" w:space="0"/>
              <w:bottom w:val="nil"/>
              <w:right w:val="single" w:color="000000" w:sz="4" w:space="0"/>
            </w:tcBorders>
            <w:shd w:val="clear" w:color="auto" w:fill="auto"/>
            <w:vAlign w:val="center"/>
          </w:tcPr>
          <w:p w14:paraId="65B54D78">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2980" w:type="dxa"/>
            <w:gridSpan w:val="4"/>
            <w:tcBorders>
              <w:top w:val="single" w:color="000000" w:sz="4" w:space="0"/>
              <w:left w:val="nil"/>
              <w:bottom w:val="single" w:color="000000" w:sz="4" w:space="0"/>
              <w:right w:val="single" w:color="000000" w:sz="4" w:space="0"/>
            </w:tcBorders>
            <w:shd w:val="clear" w:color="auto" w:fill="auto"/>
            <w:vAlign w:val="center"/>
          </w:tcPr>
          <w:p w14:paraId="7FAC2D2A">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3084" w:type="dxa"/>
            <w:gridSpan w:val="3"/>
            <w:tcBorders>
              <w:top w:val="nil"/>
              <w:left w:val="nil"/>
              <w:bottom w:val="single" w:color="000000" w:sz="4" w:space="0"/>
              <w:right w:val="single" w:color="000000" w:sz="4" w:space="0"/>
            </w:tcBorders>
            <w:shd w:val="clear" w:color="auto" w:fill="auto"/>
            <w:vAlign w:val="center"/>
          </w:tcPr>
          <w:p w14:paraId="0550D0CB">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1386" w:type="dxa"/>
            <w:gridSpan w:val="2"/>
            <w:tcBorders>
              <w:top w:val="nil"/>
              <w:left w:val="nil"/>
              <w:bottom w:val="single" w:color="000000" w:sz="4" w:space="0"/>
              <w:right w:val="single" w:color="000000" w:sz="4" w:space="0"/>
            </w:tcBorders>
            <w:shd w:val="clear" w:color="auto" w:fill="auto"/>
            <w:vAlign w:val="center"/>
          </w:tcPr>
          <w:p w14:paraId="0BA59D6B">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34B89FDE">
        <w:tblPrEx>
          <w:tblCellMar>
            <w:top w:w="0" w:type="dxa"/>
            <w:left w:w="108" w:type="dxa"/>
            <w:bottom w:w="0" w:type="dxa"/>
            <w:right w:w="108" w:type="dxa"/>
          </w:tblCellMar>
        </w:tblPrEx>
        <w:trPr>
          <w:trHeight w:val="780" w:hRule="atLeast"/>
        </w:trPr>
        <w:tc>
          <w:tcPr>
            <w:tcW w:w="1630" w:type="dxa"/>
            <w:vMerge w:val="continue"/>
            <w:tcBorders>
              <w:top w:val="single" w:color="000000" w:sz="4" w:space="0"/>
              <w:left w:val="single" w:color="000000" w:sz="4" w:space="0"/>
              <w:bottom w:val="nil"/>
              <w:right w:val="single" w:color="000000" w:sz="4" w:space="0"/>
            </w:tcBorders>
            <w:vAlign w:val="center"/>
          </w:tcPr>
          <w:p w14:paraId="515AB3DA">
            <w:pPr>
              <w:widowControl/>
              <w:jc w:val="left"/>
              <w:rPr>
                <w:rFonts w:ascii="宋体" w:hAnsi="宋体"/>
                <w:color w:val="000000"/>
                <w:kern w:val="0"/>
                <w:sz w:val="16"/>
                <w:szCs w:val="16"/>
              </w:rPr>
            </w:pPr>
          </w:p>
        </w:tc>
        <w:tc>
          <w:tcPr>
            <w:tcW w:w="2980" w:type="dxa"/>
            <w:gridSpan w:val="4"/>
            <w:tcBorders>
              <w:top w:val="nil"/>
              <w:left w:val="nil"/>
              <w:bottom w:val="nil"/>
              <w:right w:val="single" w:color="000000" w:sz="4" w:space="0"/>
            </w:tcBorders>
            <w:shd w:val="clear" w:color="auto" w:fill="auto"/>
            <w:vAlign w:val="center"/>
          </w:tcPr>
          <w:p w14:paraId="63B9CEFF">
            <w:pPr>
              <w:widowControl/>
              <w:jc w:val="center"/>
              <w:rPr>
                <w:rFonts w:ascii="宋体" w:hAnsi="宋体"/>
                <w:color w:val="000000"/>
                <w:kern w:val="0"/>
                <w:sz w:val="16"/>
                <w:szCs w:val="16"/>
              </w:rPr>
            </w:pPr>
            <w:r>
              <w:rPr>
                <w:rFonts w:hint="eastAsia" w:ascii="宋体" w:hAnsi="宋体"/>
                <w:color w:val="000000"/>
                <w:kern w:val="0"/>
                <w:sz w:val="16"/>
                <w:szCs w:val="16"/>
              </w:rPr>
              <w:t>提高公共卫生服务和突发公共卫生事件应急能力，建立起维护居民健康屏障</w:t>
            </w:r>
          </w:p>
        </w:tc>
        <w:tc>
          <w:tcPr>
            <w:tcW w:w="3084" w:type="dxa"/>
            <w:gridSpan w:val="3"/>
            <w:tcBorders>
              <w:top w:val="nil"/>
              <w:left w:val="nil"/>
              <w:bottom w:val="nil"/>
              <w:right w:val="single" w:color="000000" w:sz="4" w:space="0"/>
            </w:tcBorders>
            <w:shd w:val="clear" w:color="auto" w:fill="auto"/>
            <w:vAlign w:val="center"/>
          </w:tcPr>
          <w:p w14:paraId="64FD3216">
            <w:pPr>
              <w:widowControl/>
              <w:jc w:val="center"/>
              <w:rPr>
                <w:rFonts w:ascii="宋体" w:hAnsi="宋体"/>
                <w:color w:val="000000"/>
                <w:kern w:val="0"/>
                <w:sz w:val="16"/>
                <w:szCs w:val="16"/>
              </w:rPr>
            </w:pPr>
            <w:r>
              <w:rPr>
                <w:rFonts w:hint="eastAsia" w:ascii="宋体" w:hAnsi="宋体"/>
                <w:color w:val="000000"/>
                <w:kern w:val="0"/>
                <w:sz w:val="16"/>
                <w:szCs w:val="16"/>
              </w:rPr>
              <w:t>已完成基本公共卫生服务项目，保障基本公共卫生服务水平，减轻基层医疗机构工作负担</w:t>
            </w:r>
          </w:p>
        </w:tc>
        <w:tc>
          <w:tcPr>
            <w:tcW w:w="1386" w:type="dxa"/>
            <w:gridSpan w:val="2"/>
            <w:tcBorders>
              <w:top w:val="nil"/>
              <w:left w:val="nil"/>
              <w:bottom w:val="nil"/>
              <w:right w:val="single" w:color="000000" w:sz="4" w:space="0"/>
            </w:tcBorders>
            <w:shd w:val="clear" w:color="auto" w:fill="auto"/>
            <w:vAlign w:val="center"/>
          </w:tcPr>
          <w:p w14:paraId="1BA93D1D">
            <w:pPr>
              <w:widowControl/>
              <w:jc w:val="center"/>
              <w:rPr>
                <w:rFonts w:ascii="宋体" w:hAnsi="宋体"/>
                <w:color w:val="000000"/>
                <w:kern w:val="0"/>
                <w:sz w:val="16"/>
                <w:szCs w:val="16"/>
              </w:rPr>
            </w:pPr>
            <w:r>
              <w:rPr>
                <w:rFonts w:hint="eastAsia" w:ascii="宋体" w:hAnsi="宋体"/>
                <w:color w:val="000000"/>
                <w:kern w:val="0"/>
                <w:sz w:val="16"/>
                <w:szCs w:val="16"/>
              </w:rPr>
              <w:t>90%</w:t>
            </w:r>
          </w:p>
        </w:tc>
      </w:tr>
      <w:tr w14:paraId="1043A31B">
        <w:tblPrEx>
          <w:tblCellMar>
            <w:top w:w="0" w:type="dxa"/>
            <w:left w:w="108" w:type="dxa"/>
            <w:bottom w:w="0" w:type="dxa"/>
            <w:right w:w="108" w:type="dxa"/>
          </w:tblCellMar>
        </w:tblPrEx>
        <w:trPr>
          <w:trHeight w:val="270" w:hRule="atLeast"/>
        </w:trPr>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9965D">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75A16B52">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100" w:type="dxa"/>
            <w:gridSpan w:val="2"/>
            <w:tcBorders>
              <w:top w:val="single" w:color="000000" w:sz="4" w:space="0"/>
              <w:left w:val="nil"/>
              <w:bottom w:val="single" w:color="000000" w:sz="4" w:space="0"/>
              <w:right w:val="single" w:color="000000" w:sz="4" w:space="0"/>
            </w:tcBorders>
            <w:shd w:val="clear" w:color="auto" w:fill="auto"/>
            <w:vAlign w:val="center"/>
          </w:tcPr>
          <w:p w14:paraId="2EFEC5AF">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376924B9">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03202AC">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1578655D">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460" w:type="dxa"/>
            <w:tcBorders>
              <w:top w:val="single" w:color="000000" w:sz="4" w:space="0"/>
              <w:left w:val="nil"/>
              <w:bottom w:val="single" w:color="000000" w:sz="4" w:space="0"/>
              <w:right w:val="single" w:color="000000" w:sz="4" w:space="0"/>
            </w:tcBorders>
            <w:shd w:val="clear" w:color="auto" w:fill="auto"/>
            <w:vAlign w:val="center"/>
          </w:tcPr>
          <w:p w14:paraId="53CE2740">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926" w:type="dxa"/>
            <w:tcBorders>
              <w:top w:val="single" w:color="000000" w:sz="4" w:space="0"/>
              <w:left w:val="nil"/>
              <w:bottom w:val="single" w:color="000000" w:sz="4" w:space="0"/>
              <w:right w:val="single" w:color="000000" w:sz="4" w:space="0"/>
            </w:tcBorders>
            <w:shd w:val="clear" w:color="auto" w:fill="auto"/>
            <w:vAlign w:val="center"/>
          </w:tcPr>
          <w:p w14:paraId="7771ECE3">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65D26754">
        <w:tblPrEx>
          <w:tblCellMar>
            <w:top w:w="0" w:type="dxa"/>
            <w:left w:w="108" w:type="dxa"/>
            <w:bottom w:w="0" w:type="dxa"/>
            <w:right w:w="108" w:type="dxa"/>
          </w:tblCellMar>
        </w:tblPrEx>
        <w:trPr>
          <w:trHeight w:val="571"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339AA99B">
            <w:pPr>
              <w:widowControl/>
              <w:jc w:val="left"/>
              <w:rPr>
                <w:rFonts w:ascii="宋体" w:hAnsi="宋体"/>
                <w:color w:val="000000"/>
                <w:kern w:val="0"/>
                <w:sz w:val="16"/>
                <w:szCs w:val="16"/>
              </w:rPr>
            </w:pPr>
          </w:p>
        </w:tc>
        <w:tc>
          <w:tcPr>
            <w:tcW w:w="1120" w:type="dxa"/>
            <w:vMerge w:val="restart"/>
            <w:tcBorders>
              <w:top w:val="nil"/>
              <w:left w:val="nil"/>
              <w:bottom w:val="nil"/>
              <w:right w:val="single" w:color="000000" w:sz="4" w:space="0"/>
            </w:tcBorders>
            <w:shd w:val="clear" w:color="auto" w:fill="auto"/>
            <w:vAlign w:val="center"/>
          </w:tcPr>
          <w:p w14:paraId="7BF5670F">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1100" w:type="dxa"/>
            <w:gridSpan w:val="2"/>
            <w:tcBorders>
              <w:top w:val="nil"/>
              <w:left w:val="nil"/>
              <w:bottom w:val="nil"/>
              <w:right w:val="single" w:color="000000" w:sz="4" w:space="0"/>
            </w:tcBorders>
            <w:shd w:val="clear" w:color="auto" w:fill="auto"/>
            <w:vAlign w:val="center"/>
          </w:tcPr>
          <w:p w14:paraId="2DD51B46">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29D5024F">
            <w:pPr>
              <w:widowControl/>
              <w:jc w:val="left"/>
              <w:rPr>
                <w:rFonts w:ascii="宋体" w:hAnsi="宋体"/>
                <w:color w:val="000000"/>
                <w:kern w:val="0"/>
                <w:sz w:val="16"/>
                <w:szCs w:val="16"/>
              </w:rPr>
            </w:pPr>
            <w:r>
              <w:rPr>
                <w:rFonts w:hint="eastAsia" w:ascii="宋体" w:hAnsi="宋体"/>
                <w:color w:val="000000"/>
                <w:kern w:val="0"/>
                <w:sz w:val="16"/>
                <w:szCs w:val="16"/>
              </w:rPr>
              <w:t>实施食品安全风险预警制度的乡镇数量</w:t>
            </w:r>
          </w:p>
        </w:tc>
        <w:tc>
          <w:tcPr>
            <w:tcW w:w="1080" w:type="dxa"/>
            <w:tcBorders>
              <w:top w:val="nil"/>
              <w:left w:val="nil"/>
              <w:bottom w:val="single" w:color="000000" w:sz="4" w:space="0"/>
              <w:right w:val="single" w:color="000000" w:sz="4" w:space="0"/>
            </w:tcBorders>
            <w:shd w:val="clear" w:color="auto" w:fill="auto"/>
            <w:vAlign w:val="center"/>
          </w:tcPr>
          <w:p w14:paraId="7E67E78C">
            <w:pPr>
              <w:widowControl/>
              <w:jc w:val="center"/>
              <w:rPr>
                <w:rFonts w:ascii="宋体" w:hAnsi="宋体"/>
                <w:color w:val="000000"/>
                <w:kern w:val="0"/>
                <w:sz w:val="16"/>
                <w:szCs w:val="16"/>
              </w:rPr>
            </w:pPr>
            <w:r>
              <w:rPr>
                <w:rFonts w:hint="eastAsia" w:ascii="宋体" w:hAnsi="宋体"/>
                <w:color w:val="000000"/>
                <w:kern w:val="0"/>
                <w:sz w:val="16"/>
                <w:szCs w:val="16"/>
              </w:rPr>
              <w:t>≥16个</w:t>
            </w:r>
          </w:p>
        </w:tc>
        <w:tc>
          <w:tcPr>
            <w:tcW w:w="1120" w:type="dxa"/>
            <w:tcBorders>
              <w:top w:val="nil"/>
              <w:left w:val="nil"/>
              <w:bottom w:val="single" w:color="000000" w:sz="4" w:space="0"/>
              <w:right w:val="single" w:color="000000" w:sz="4" w:space="0"/>
            </w:tcBorders>
            <w:shd w:val="clear" w:color="auto" w:fill="auto"/>
            <w:vAlign w:val="center"/>
          </w:tcPr>
          <w:p w14:paraId="232AB4A3">
            <w:pPr>
              <w:widowControl/>
              <w:jc w:val="center"/>
              <w:rPr>
                <w:rFonts w:ascii="宋体" w:hAnsi="宋体"/>
                <w:color w:val="000000"/>
                <w:kern w:val="0"/>
                <w:sz w:val="16"/>
                <w:szCs w:val="16"/>
              </w:rPr>
            </w:pPr>
            <w:r>
              <w:rPr>
                <w:rFonts w:hint="eastAsia" w:ascii="宋体" w:hAnsi="宋体"/>
                <w:color w:val="000000"/>
                <w:kern w:val="0"/>
                <w:sz w:val="16"/>
                <w:szCs w:val="16"/>
              </w:rPr>
              <w:t>16个</w:t>
            </w:r>
          </w:p>
        </w:tc>
        <w:tc>
          <w:tcPr>
            <w:tcW w:w="460" w:type="dxa"/>
            <w:tcBorders>
              <w:top w:val="nil"/>
              <w:left w:val="nil"/>
              <w:bottom w:val="single" w:color="000000" w:sz="4" w:space="0"/>
              <w:right w:val="single" w:color="000000" w:sz="4" w:space="0"/>
            </w:tcBorders>
            <w:shd w:val="clear" w:color="auto" w:fill="auto"/>
            <w:vAlign w:val="center"/>
          </w:tcPr>
          <w:p w14:paraId="072534E3">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0773EEC8">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5776F8FE">
        <w:tblPrEx>
          <w:tblCellMar>
            <w:top w:w="0" w:type="dxa"/>
            <w:left w:w="108" w:type="dxa"/>
            <w:bottom w:w="0" w:type="dxa"/>
            <w:right w:w="108" w:type="dxa"/>
          </w:tblCellMar>
        </w:tblPrEx>
        <w:trPr>
          <w:trHeight w:val="495"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39AB7C82">
            <w:pPr>
              <w:widowControl/>
              <w:jc w:val="left"/>
              <w:rPr>
                <w:rFonts w:ascii="宋体" w:hAnsi="宋体"/>
                <w:color w:val="000000"/>
                <w:kern w:val="0"/>
                <w:sz w:val="16"/>
                <w:szCs w:val="16"/>
              </w:rPr>
            </w:pPr>
          </w:p>
        </w:tc>
        <w:tc>
          <w:tcPr>
            <w:tcW w:w="1120" w:type="dxa"/>
            <w:vMerge w:val="continue"/>
            <w:tcBorders>
              <w:top w:val="nil"/>
              <w:left w:val="nil"/>
              <w:bottom w:val="nil"/>
              <w:right w:val="single" w:color="000000" w:sz="4" w:space="0"/>
            </w:tcBorders>
            <w:vAlign w:val="center"/>
          </w:tcPr>
          <w:p w14:paraId="60ABE676">
            <w:pPr>
              <w:widowControl/>
              <w:jc w:val="left"/>
              <w:rPr>
                <w:rFonts w:ascii="宋体" w:hAnsi="宋体"/>
                <w:color w:val="000000"/>
                <w:kern w:val="0"/>
                <w:sz w:val="16"/>
                <w:szCs w:val="16"/>
              </w:rPr>
            </w:pPr>
          </w:p>
        </w:tc>
        <w:tc>
          <w:tcPr>
            <w:tcW w:w="1100" w:type="dxa"/>
            <w:gridSpan w:val="2"/>
            <w:tcBorders>
              <w:top w:val="single" w:color="000000" w:sz="4" w:space="0"/>
              <w:left w:val="nil"/>
              <w:bottom w:val="single" w:color="000000" w:sz="4" w:space="0"/>
              <w:right w:val="single" w:color="000000" w:sz="4" w:space="0"/>
            </w:tcBorders>
            <w:shd w:val="clear" w:color="auto" w:fill="auto"/>
            <w:vAlign w:val="center"/>
          </w:tcPr>
          <w:p w14:paraId="16D7A6DB">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54684F84">
            <w:pPr>
              <w:widowControl/>
              <w:jc w:val="left"/>
              <w:rPr>
                <w:rFonts w:ascii="宋体" w:hAnsi="宋体"/>
                <w:color w:val="000000"/>
                <w:kern w:val="0"/>
                <w:sz w:val="16"/>
                <w:szCs w:val="16"/>
              </w:rPr>
            </w:pPr>
            <w:r>
              <w:rPr>
                <w:rFonts w:hint="eastAsia" w:ascii="宋体" w:hAnsi="宋体"/>
                <w:color w:val="000000"/>
                <w:kern w:val="0"/>
                <w:sz w:val="16"/>
                <w:szCs w:val="16"/>
              </w:rPr>
              <w:t>适龄儿童国家免疫规划疫苗接种率</w:t>
            </w:r>
          </w:p>
        </w:tc>
        <w:tc>
          <w:tcPr>
            <w:tcW w:w="1080" w:type="dxa"/>
            <w:tcBorders>
              <w:top w:val="nil"/>
              <w:left w:val="nil"/>
              <w:bottom w:val="single" w:color="000000" w:sz="4" w:space="0"/>
              <w:right w:val="single" w:color="000000" w:sz="4" w:space="0"/>
            </w:tcBorders>
            <w:shd w:val="clear" w:color="auto" w:fill="auto"/>
            <w:vAlign w:val="center"/>
          </w:tcPr>
          <w:p w14:paraId="7ADD3178">
            <w:pPr>
              <w:widowControl/>
              <w:jc w:val="center"/>
              <w:rPr>
                <w:color w:val="000000"/>
                <w:kern w:val="0"/>
                <w:sz w:val="16"/>
                <w:szCs w:val="16"/>
              </w:rPr>
            </w:pPr>
            <w:r>
              <w:rPr>
                <w:color w:val="000000"/>
                <w:kern w:val="0"/>
                <w:sz w:val="16"/>
                <w:szCs w:val="16"/>
              </w:rPr>
              <w:t>≥90%</w:t>
            </w:r>
          </w:p>
        </w:tc>
        <w:tc>
          <w:tcPr>
            <w:tcW w:w="1120" w:type="dxa"/>
            <w:tcBorders>
              <w:top w:val="nil"/>
              <w:left w:val="nil"/>
              <w:bottom w:val="single" w:color="000000" w:sz="4" w:space="0"/>
              <w:right w:val="single" w:color="000000" w:sz="4" w:space="0"/>
            </w:tcBorders>
            <w:shd w:val="clear" w:color="auto" w:fill="auto"/>
            <w:vAlign w:val="center"/>
          </w:tcPr>
          <w:p w14:paraId="433DF7E9">
            <w:pPr>
              <w:widowControl/>
              <w:jc w:val="center"/>
              <w:rPr>
                <w:color w:val="000000"/>
                <w:kern w:val="0"/>
                <w:sz w:val="16"/>
                <w:szCs w:val="16"/>
              </w:rPr>
            </w:pPr>
            <w:r>
              <w:rPr>
                <w:color w:val="000000"/>
                <w:kern w:val="0"/>
                <w:sz w:val="16"/>
                <w:szCs w:val="16"/>
              </w:rPr>
              <w:t>90%</w:t>
            </w:r>
          </w:p>
        </w:tc>
        <w:tc>
          <w:tcPr>
            <w:tcW w:w="460" w:type="dxa"/>
            <w:tcBorders>
              <w:top w:val="nil"/>
              <w:left w:val="nil"/>
              <w:bottom w:val="single" w:color="000000" w:sz="4" w:space="0"/>
              <w:right w:val="single" w:color="000000" w:sz="4" w:space="0"/>
            </w:tcBorders>
            <w:shd w:val="clear" w:color="auto" w:fill="auto"/>
            <w:vAlign w:val="center"/>
          </w:tcPr>
          <w:p w14:paraId="02C5239A">
            <w:pPr>
              <w:widowControl/>
              <w:jc w:val="center"/>
              <w:rPr>
                <w:color w:val="000000"/>
                <w:kern w:val="0"/>
                <w:sz w:val="16"/>
                <w:szCs w:val="16"/>
              </w:rPr>
            </w:pPr>
            <w:r>
              <w:rPr>
                <w:color w:val="000000"/>
                <w:kern w:val="0"/>
                <w:sz w:val="16"/>
                <w:szCs w:val="16"/>
              </w:rPr>
              <w:t>20</w:t>
            </w:r>
          </w:p>
        </w:tc>
        <w:tc>
          <w:tcPr>
            <w:tcW w:w="926" w:type="dxa"/>
            <w:tcBorders>
              <w:top w:val="nil"/>
              <w:left w:val="nil"/>
              <w:bottom w:val="single" w:color="000000" w:sz="4" w:space="0"/>
              <w:right w:val="single" w:color="000000" w:sz="4" w:space="0"/>
            </w:tcBorders>
            <w:shd w:val="clear" w:color="auto" w:fill="auto"/>
            <w:vAlign w:val="center"/>
          </w:tcPr>
          <w:p w14:paraId="13B4A99D">
            <w:pPr>
              <w:widowControl/>
              <w:jc w:val="center"/>
              <w:rPr>
                <w:color w:val="000000"/>
                <w:kern w:val="0"/>
                <w:sz w:val="16"/>
                <w:szCs w:val="16"/>
              </w:rPr>
            </w:pPr>
            <w:r>
              <w:rPr>
                <w:color w:val="000000"/>
                <w:kern w:val="0"/>
                <w:sz w:val="16"/>
                <w:szCs w:val="16"/>
              </w:rPr>
              <w:t>20</w:t>
            </w:r>
          </w:p>
        </w:tc>
      </w:tr>
      <w:tr w14:paraId="46453E7D">
        <w:tblPrEx>
          <w:tblCellMar>
            <w:top w:w="0" w:type="dxa"/>
            <w:left w:w="108" w:type="dxa"/>
            <w:bottom w:w="0" w:type="dxa"/>
            <w:right w:w="108" w:type="dxa"/>
          </w:tblCellMar>
        </w:tblPrEx>
        <w:trPr>
          <w:trHeight w:val="559"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6F5659F2">
            <w:pPr>
              <w:widowControl/>
              <w:jc w:val="left"/>
              <w:rPr>
                <w:rFonts w:ascii="宋体" w:hAnsi="宋体"/>
                <w:color w:val="000000"/>
                <w:kern w:val="0"/>
                <w:sz w:val="16"/>
                <w:szCs w:val="16"/>
              </w:rPr>
            </w:pPr>
          </w:p>
        </w:tc>
        <w:tc>
          <w:tcPr>
            <w:tcW w:w="1120" w:type="dxa"/>
            <w:vMerge w:val="continue"/>
            <w:tcBorders>
              <w:top w:val="nil"/>
              <w:left w:val="nil"/>
              <w:bottom w:val="nil"/>
              <w:right w:val="single" w:color="000000" w:sz="4" w:space="0"/>
            </w:tcBorders>
            <w:vAlign w:val="center"/>
          </w:tcPr>
          <w:p w14:paraId="656EB724">
            <w:pPr>
              <w:widowControl/>
              <w:jc w:val="left"/>
              <w:rPr>
                <w:rFonts w:ascii="宋体" w:hAnsi="宋体"/>
                <w:color w:val="000000"/>
                <w:kern w:val="0"/>
                <w:sz w:val="16"/>
                <w:szCs w:val="16"/>
              </w:rPr>
            </w:pPr>
          </w:p>
        </w:tc>
        <w:tc>
          <w:tcPr>
            <w:tcW w:w="1100" w:type="dxa"/>
            <w:gridSpan w:val="2"/>
            <w:tcBorders>
              <w:top w:val="nil"/>
              <w:left w:val="nil"/>
              <w:bottom w:val="single" w:color="000000" w:sz="4" w:space="0"/>
              <w:right w:val="single" w:color="000000" w:sz="4" w:space="0"/>
            </w:tcBorders>
            <w:shd w:val="clear" w:color="auto" w:fill="auto"/>
            <w:vAlign w:val="center"/>
          </w:tcPr>
          <w:p w14:paraId="655C3DF7">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4883BB1A">
            <w:pPr>
              <w:widowControl/>
              <w:jc w:val="left"/>
              <w:rPr>
                <w:rFonts w:ascii="宋体" w:hAnsi="宋体"/>
                <w:color w:val="000000"/>
                <w:kern w:val="0"/>
                <w:sz w:val="16"/>
                <w:szCs w:val="16"/>
              </w:rPr>
            </w:pPr>
            <w:r>
              <w:rPr>
                <w:rFonts w:hint="eastAsia" w:ascii="宋体" w:hAnsi="宋体"/>
                <w:color w:val="000000"/>
                <w:kern w:val="0"/>
                <w:sz w:val="16"/>
                <w:szCs w:val="16"/>
              </w:rPr>
              <w:t>基本公共卫生服务运行经费项目按时完成效率</w:t>
            </w:r>
          </w:p>
        </w:tc>
        <w:tc>
          <w:tcPr>
            <w:tcW w:w="1080" w:type="dxa"/>
            <w:tcBorders>
              <w:top w:val="nil"/>
              <w:left w:val="nil"/>
              <w:bottom w:val="single" w:color="000000" w:sz="4" w:space="0"/>
              <w:right w:val="single" w:color="000000" w:sz="4" w:space="0"/>
            </w:tcBorders>
            <w:shd w:val="clear" w:color="auto" w:fill="auto"/>
            <w:vAlign w:val="center"/>
          </w:tcPr>
          <w:p w14:paraId="5A924A11">
            <w:pPr>
              <w:widowControl/>
              <w:jc w:val="center"/>
              <w:rPr>
                <w:color w:val="000000"/>
                <w:kern w:val="0"/>
                <w:sz w:val="16"/>
                <w:szCs w:val="16"/>
              </w:rPr>
            </w:pPr>
            <w:r>
              <w:rPr>
                <w:color w:val="000000"/>
                <w:kern w:val="0"/>
                <w:sz w:val="16"/>
                <w:szCs w:val="16"/>
              </w:rPr>
              <w:t>≥90%</w:t>
            </w:r>
          </w:p>
        </w:tc>
        <w:tc>
          <w:tcPr>
            <w:tcW w:w="1120" w:type="dxa"/>
            <w:tcBorders>
              <w:top w:val="nil"/>
              <w:left w:val="nil"/>
              <w:bottom w:val="single" w:color="000000" w:sz="4" w:space="0"/>
              <w:right w:val="single" w:color="000000" w:sz="4" w:space="0"/>
            </w:tcBorders>
            <w:shd w:val="clear" w:color="auto" w:fill="auto"/>
            <w:vAlign w:val="center"/>
          </w:tcPr>
          <w:p w14:paraId="13984473">
            <w:pPr>
              <w:widowControl/>
              <w:jc w:val="center"/>
              <w:rPr>
                <w:color w:val="000000"/>
                <w:kern w:val="0"/>
                <w:sz w:val="16"/>
                <w:szCs w:val="16"/>
              </w:rPr>
            </w:pPr>
            <w:r>
              <w:rPr>
                <w:color w:val="000000"/>
                <w:kern w:val="0"/>
                <w:sz w:val="16"/>
                <w:szCs w:val="16"/>
              </w:rPr>
              <w:t>90%</w:t>
            </w:r>
          </w:p>
        </w:tc>
        <w:tc>
          <w:tcPr>
            <w:tcW w:w="460" w:type="dxa"/>
            <w:tcBorders>
              <w:top w:val="nil"/>
              <w:left w:val="nil"/>
              <w:bottom w:val="single" w:color="000000" w:sz="4" w:space="0"/>
              <w:right w:val="single" w:color="000000" w:sz="4" w:space="0"/>
            </w:tcBorders>
            <w:shd w:val="clear" w:color="auto" w:fill="auto"/>
            <w:vAlign w:val="center"/>
          </w:tcPr>
          <w:p w14:paraId="631E7809">
            <w:pPr>
              <w:widowControl/>
              <w:jc w:val="center"/>
              <w:rPr>
                <w:color w:val="000000"/>
                <w:kern w:val="0"/>
                <w:sz w:val="16"/>
                <w:szCs w:val="16"/>
              </w:rPr>
            </w:pPr>
            <w:r>
              <w:rPr>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390F84A8">
            <w:pPr>
              <w:widowControl/>
              <w:jc w:val="center"/>
              <w:rPr>
                <w:color w:val="000000"/>
                <w:kern w:val="0"/>
                <w:sz w:val="16"/>
                <w:szCs w:val="16"/>
              </w:rPr>
            </w:pPr>
            <w:r>
              <w:rPr>
                <w:color w:val="000000"/>
                <w:kern w:val="0"/>
                <w:sz w:val="16"/>
                <w:szCs w:val="16"/>
              </w:rPr>
              <w:t>10</w:t>
            </w:r>
          </w:p>
        </w:tc>
      </w:tr>
      <w:tr w14:paraId="34876A07">
        <w:tblPrEx>
          <w:tblCellMar>
            <w:top w:w="0" w:type="dxa"/>
            <w:left w:w="108" w:type="dxa"/>
            <w:bottom w:w="0" w:type="dxa"/>
            <w:right w:w="108" w:type="dxa"/>
          </w:tblCellMar>
        </w:tblPrEx>
        <w:trPr>
          <w:trHeight w:val="497"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29CC40FF">
            <w:pPr>
              <w:widowControl/>
              <w:jc w:val="left"/>
              <w:rPr>
                <w:rFonts w:ascii="宋体" w:hAnsi="宋体"/>
                <w:color w:val="000000"/>
                <w:kern w:val="0"/>
                <w:sz w:val="16"/>
                <w:szCs w:val="16"/>
              </w:rPr>
            </w:pPr>
          </w:p>
        </w:tc>
        <w:tc>
          <w:tcPr>
            <w:tcW w:w="1120" w:type="dxa"/>
            <w:vMerge w:val="continue"/>
            <w:tcBorders>
              <w:top w:val="nil"/>
              <w:left w:val="nil"/>
              <w:bottom w:val="nil"/>
              <w:right w:val="single" w:color="000000" w:sz="4" w:space="0"/>
            </w:tcBorders>
            <w:vAlign w:val="center"/>
          </w:tcPr>
          <w:p w14:paraId="2A93DC6B">
            <w:pPr>
              <w:widowControl/>
              <w:jc w:val="left"/>
              <w:rPr>
                <w:rFonts w:ascii="宋体" w:hAnsi="宋体"/>
                <w:color w:val="000000"/>
                <w:kern w:val="0"/>
                <w:sz w:val="16"/>
                <w:szCs w:val="16"/>
              </w:rPr>
            </w:pPr>
          </w:p>
        </w:tc>
        <w:tc>
          <w:tcPr>
            <w:tcW w:w="1100" w:type="dxa"/>
            <w:gridSpan w:val="2"/>
            <w:tcBorders>
              <w:top w:val="nil"/>
              <w:left w:val="nil"/>
              <w:bottom w:val="single" w:color="000000" w:sz="4" w:space="0"/>
              <w:right w:val="single" w:color="000000" w:sz="4" w:space="0"/>
            </w:tcBorders>
            <w:shd w:val="clear" w:color="auto" w:fill="auto"/>
            <w:vAlign w:val="center"/>
          </w:tcPr>
          <w:p w14:paraId="30C73D4C">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2DC4A105">
            <w:pPr>
              <w:widowControl/>
              <w:jc w:val="left"/>
              <w:rPr>
                <w:rFonts w:ascii="宋体" w:hAnsi="宋体"/>
                <w:color w:val="000000"/>
                <w:kern w:val="0"/>
                <w:sz w:val="16"/>
                <w:szCs w:val="16"/>
              </w:rPr>
            </w:pPr>
            <w:r>
              <w:rPr>
                <w:rFonts w:hint="eastAsia" w:ascii="宋体" w:hAnsi="宋体"/>
                <w:color w:val="000000"/>
                <w:kern w:val="0"/>
                <w:sz w:val="16"/>
                <w:szCs w:val="16"/>
              </w:rPr>
              <w:t>按照规定文件进行款项拨付</w:t>
            </w:r>
          </w:p>
        </w:tc>
        <w:tc>
          <w:tcPr>
            <w:tcW w:w="1080" w:type="dxa"/>
            <w:tcBorders>
              <w:top w:val="nil"/>
              <w:left w:val="nil"/>
              <w:bottom w:val="single" w:color="000000" w:sz="4" w:space="0"/>
              <w:right w:val="single" w:color="000000" w:sz="4" w:space="0"/>
            </w:tcBorders>
            <w:shd w:val="clear" w:color="auto" w:fill="auto"/>
            <w:vAlign w:val="center"/>
          </w:tcPr>
          <w:p w14:paraId="2EDE9B3B">
            <w:pPr>
              <w:widowControl/>
              <w:jc w:val="center"/>
              <w:rPr>
                <w:rFonts w:ascii="宋体" w:hAnsi="宋体"/>
                <w:color w:val="000000"/>
                <w:kern w:val="0"/>
                <w:sz w:val="16"/>
                <w:szCs w:val="16"/>
              </w:rPr>
            </w:pPr>
            <w:r>
              <w:rPr>
                <w:rFonts w:hint="eastAsia" w:ascii="宋体" w:hAnsi="宋体"/>
                <w:color w:val="000000"/>
                <w:kern w:val="0"/>
                <w:sz w:val="16"/>
                <w:szCs w:val="16"/>
              </w:rPr>
              <w:t>是</w:t>
            </w:r>
            <w:r>
              <w:rPr>
                <w:color w:val="000000"/>
                <w:kern w:val="0"/>
                <w:sz w:val="16"/>
                <w:szCs w:val="16"/>
              </w:rPr>
              <w:t>/</w:t>
            </w:r>
            <w:r>
              <w:rPr>
                <w:rFonts w:hint="eastAsia" w:ascii="宋体" w:hAnsi="宋体"/>
                <w:color w:val="000000"/>
                <w:kern w:val="0"/>
                <w:sz w:val="16"/>
                <w:szCs w:val="16"/>
              </w:rPr>
              <w:t>否</w:t>
            </w:r>
          </w:p>
        </w:tc>
        <w:tc>
          <w:tcPr>
            <w:tcW w:w="1120" w:type="dxa"/>
            <w:tcBorders>
              <w:top w:val="nil"/>
              <w:left w:val="nil"/>
              <w:bottom w:val="single" w:color="000000" w:sz="4" w:space="0"/>
              <w:right w:val="single" w:color="000000" w:sz="4" w:space="0"/>
            </w:tcBorders>
            <w:shd w:val="clear" w:color="auto" w:fill="auto"/>
            <w:vAlign w:val="center"/>
          </w:tcPr>
          <w:p w14:paraId="0848F9AD">
            <w:pPr>
              <w:widowControl/>
              <w:jc w:val="center"/>
              <w:rPr>
                <w:rFonts w:ascii="宋体" w:hAnsi="宋体"/>
                <w:color w:val="000000"/>
                <w:kern w:val="0"/>
                <w:sz w:val="16"/>
                <w:szCs w:val="16"/>
              </w:rPr>
            </w:pPr>
            <w:r>
              <w:rPr>
                <w:rFonts w:hint="eastAsia" w:ascii="宋体" w:hAnsi="宋体"/>
                <w:color w:val="000000"/>
                <w:kern w:val="0"/>
                <w:sz w:val="16"/>
                <w:szCs w:val="16"/>
              </w:rPr>
              <w:t>是</w:t>
            </w:r>
          </w:p>
        </w:tc>
        <w:tc>
          <w:tcPr>
            <w:tcW w:w="460" w:type="dxa"/>
            <w:tcBorders>
              <w:top w:val="nil"/>
              <w:left w:val="nil"/>
              <w:bottom w:val="single" w:color="000000" w:sz="4" w:space="0"/>
              <w:right w:val="single" w:color="000000" w:sz="4" w:space="0"/>
            </w:tcBorders>
            <w:shd w:val="clear" w:color="auto" w:fill="auto"/>
            <w:vAlign w:val="center"/>
          </w:tcPr>
          <w:p w14:paraId="4172AD83">
            <w:pPr>
              <w:widowControl/>
              <w:jc w:val="center"/>
              <w:rPr>
                <w:color w:val="000000"/>
                <w:kern w:val="0"/>
                <w:sz w:val="16"/>
                <w:szCs w:val="16"/>
              </w:rPr>
            </w:pPr>
            <w:r>
              <w:rPr>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1DA20D0B">
            <w:pPr>
              <w:widowControl/>
              <w:jc w:val="center"/>
              <w:rPr>
                <w:color w:val="000000"/>
                <w:kern w:val="0"/>
                <w:sz w:val="16"/>
                <w:szCs w:val="16"/>
              </w:rPr>
            </w:pPr>
            <w:r>
              <w:rPr>
                <w:color w:val="000000"/>
                <w:kern w:val="0"/>
                <w:sz w:val="16"/>
                <w:szCs w:val="16"/>
              </w:rPr>
              <w:t>6</w:t>
            </w:r>
          </w:p>
        </w:tc>
      </w:tr>
      <w:tr w14:paraId="0AB4268E">
        <w:tblPrEx>
          <w:tblCellMar>
            <w:top w:w="0" w:type="dxa"/>
            <w:left w:w="108" w:type="dxa"/>
            <w:bottom w:w="0" w:type="dxa"/>
            <w:right w:w="108" w:type="dxa"/>
          </w:tblCellMar>
        </w:tblPrEx>
        <w:trPr>
          <w:trHeight w:val="419"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0C69FFC1">
            <w:pPr>
              <w:widowControl/>
              <w:jc w:val="left"/>
              <w:rPr>
                <w:rFonts w:ascii="宋体" w:hAnsi="宋体"/>
                <w:color w:val="000000"/>
                <w:kern w:val="0"/>
                <w:sz w:val="16"/>
                <w:szCs w:val="16"/>
              </w:rPr>
            </w:pPr>
          </w:p>
        </w:tc>
        <w:tc>
          <w:tcPr>
            <w:tcW w:w="1120" w:type="dxa"/>
            <w:vMerge w:val="restart"/>
            <w:tcBorders>
              <w:top w:val="single" w:color="000000" w:sz="4" w:space="0"/>
              <w:left w:val="nil"/>
              <w:bottom w:val="nil"/>
              <w:right w:val="single" w:color="000000" w:sz="4" w:space="0"/>
            </w:tcBorders>
            <w:shd w:val="clear" w:color="auto" w:fill="auto"/>
            <w:vAlign w:val="center"/>
          </w:tcPr>
          <w:p w14:paraId="6C40B8E3">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100" w:type="dxa"/>
            <w:gridSpan w:val="2"/>
            <w:tcBorders>
              <w:top w:val="nil"/>
              <w:left w:val="nil"/>
              <w:bottom w:val="single" w:color="000000" w:sz="4" w:space="0"/>
              <w:right w:val="single" w:color="000000" w:sz="4" w:space="0"/>
            </w:tcBorders>
            <w:shd w:val="clear" w:color="auto" w:fill="auto"/>
            <w:vAlign w:val="center"/>
          </w:tcPr>
          <w:p w14:paraId="4EAEF0FD">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77D21EB3">
            <w:pPr>
              <w:widowControl/>
              <w:jc w:val="left"/>
              <w:rPr>
                <w:rFonts w:ascii="宋体" w:hAnsi="宋体"/>
                <w:color w:val="000000"/>
                <w:kern w:val="0"/>
                <w:sz w:val="16"/>
                <w:szCs w:val="16"/>
              </w:rPr>
            </w:pPr>
            <w:r>
              <w:rPr>
                <w:rFonts w:hint="eastAsia" w:ascii="宋体" w:hAnsi="宋体"/>
                <w:color w:val="000000"/>
                <w:kern w:val="0"/>
                <w:sz w:val="16"/>
                <w:szCs w:val="16"/>
              </w:rPr>
              <w:t>减轻基层医疗机构经济负担</w:t>
            </w:r>
          </w:p>
        </w:tc>
        <w:tc>
          <w:tcPr>
            <w:tcW w:w="1080" w:type="dxa"/>
            <w:tcBorders>
              <w:top w:val="nil"/>
              <w:left w:val="nil"/>
              <w:bottom w:val="single" w:color="000000" w:sz="4" w:space="0"/>
              <w:right w:val="single" w:color="000000" w:sz="4" w:space="0"/>
            </w:tcBorders>
            <w:shd w:val="clear" w:color="auto" w:fill="auto"/>
            <w:vAlign w:val="center"/>
          </w:tcPr>
          <w:p w14:paraId="249D224E">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1120" w:type="dxa"/>
            <w:tcBorders>
              <w:top w:val="nil"/>
              <w:left w:val="nil"/>
              <w:bottom w:val="single" w:color="000000" w:sz="4" w:space="0"/>
              <w:right w:val="single" w:color="000000" w:sz="4" w:space="0"/>
            </w:tcBorders>
            <w:shd w:val="clear" w:color="auto" w:fill="auto"/>
            <w:vAlign w:val="center"/>
          </w:tcPr>
          <w:p w14:paraId="20CAA320">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460" w:type="dxa"/>
            <w:tcBorders>
              <w:top w:val="nil"/>
              <w:left w:val="nil"/>
              <w:bottom w:val="single" w:color="000000" w:sz="4" w:space="0"/>
              <w:right w:val="single" w:color="000000" w:sz="4" w:space="0"/>
            </w:tcBorders>
            <w:shd w:val="clear" w:color="auto" w:fill="auto"/>
            <w:vAlign w:val="center"/>
          </w:tcPr>
          <w:p w14:paraId="24DB2BD2">
            <w:pPr>
              <w:widowControl/>
              <w:jc w:val="center"/>
              <w:rPr>
                <w:color w:val="000000"/>
                <w:kern w:val="0"/>
                <w:sz w:val="16"/>
                <w:szCs w:val="16"/>
              </w:rPr>
            </w:pPr>
            <w:r>
              <w:rPr>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5CA462FE">
            <w:pPr>
              <w:widowControl/>
              <w:jc w:val="center"/>
              <w:rPr>
                <w:color w:val="000000"/>
                <w:kern w:val="0"/>
                <w:sz w:val="16"/>
                <w:szCs w:val="16"/>
              </w:rPr>
            </w:pPr>
            <w:r>
              <w:rPr>
                <w:color w:val="000000"/>
                <w:kern w:val="0"/>
                <w:sz w:val="16"/>
                <w:szCs w:val="16"/>
              </w:rPr>
              <w:t>7</w:t>
            </w:r>
          </w:p>
        </w:tc>
      </w:tr>
      <w:tr w14:paraId="5FCC5841">
        <w:tblPrEx>
          <w:tblCellMar>
            <w:top w:w="0" w:type="dxa"/>
            <w:left w:w="108" w:type="dxa"/>
            <w:bottom w:w="0" w:type="dxa"/>
            <w:right w:w="108" w:type="dxa"/>
          </w:tblCellMar>
        </w:tblPrEx>
        <w:trPr>
          <w:trHeight w:val="642"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19678C70">
            <w:pPr>
              <w:widowControl/>
              <w:jc w:val="left"/>
              <w:rPr>
                <w:rFonts w:ascii="宋体" w:hAnsi="宋体"/>
                <w:color w:val="000000"/>
                <w:kern w:val="0"/>
                <w:sz w:val="16"/>
                <w:szCs w:val="16"/>
              </w:rPr>
            </w:pPr>
          </w:p>
        </w:tc>
        <w:tc>
          <w:tcPr>
            <w:tcW w:w="1120" w:type="dxa"/>
            <w:vMerge w:val="continue"/>
            <w:tcBorders>
              <w:top w:val="single" w:color="000000" w:sz="4" w:space="0"/>
              <w:left w:val="nil"/>
              <w:bottom w:val="nil"/>
              <w:right w:val="single" w:color="000000" w:sz="4" w:space="0"/>
            </w:tcBorders>
            <w:vAlign w:val="center"/>
          </w:tcPr>
          <w:p w14:paraId="6141FB08">
            <w:pPr>
              <w:widowControl/>
              <w:jc w:val="left"/>
              <w:rPr>
                <w:rFonts w:ascii="宋体" w:hAnsi="宋体"/>
                <w:color w:val="000000"/>
                <w:kern w:val="0"/>
                <w:sz w:val="16"/>
                <w:szCs w:val="16"/>
              </w:rPr>
            </w:pPr>
          </w:p>
        </w:tc>
        <w:tc>
          <w:tcPr>
            <w:tcW w:w="1100" w:type="dxa"/>
            <w:gridSpan w:val="2"/>
            <w:tcBorders>
              <w:top w:val="nil"/>
              <w:left w:val="nil"/>
              <w:bottom w:val="single" w:color="000000" w:sz="4" w:space="0"/>
              <w:right w:val="single" w:color="000000" w:sz="4" w:space="0"/>
            </w:tcBorders>
            <w:shd w:val="clear" w:color="auto" w:fill="auto"/>
            <w:vAlign w:val="center"/>
          </w:tcPr>
          <w:p w14:paraId="2C4C4427">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4BCED69B">
            <w:pPr>
              <w:widowControl/>
              <w:jc w:val="left"/>
              <w:rPr>
                <w:rFonts w:ascii="宋体" w:hAnsi="宋体"/>
                <w:color w:val="000000"/>
                <w:kern w:val="0"/>
                <w:sz w:val="16"/>
                <w:szCs w:val="16"/>
              </w:rPr>
            </w:pPr>
            <w:r>
              <w:rPr>
                <w:rFonts w:hint="eastAsia" w:ascii="宋体" w:hAnsi="宋体"/>
                <w:color w:val="000000"/>
                <w:kern w:val="0"/>
                <w:sz w:val="16"/>
                <w:szCs w:val="16"/>
              </w:rPr>
              <w:t>提高公共卫生服务和突发公共卫生事件应急能力</w:t>
            </w:r>
          </w:p>
        </w:tc>
        <w:tc>
          <w:tcPr>
            <w:tcW w:w="1080" w:type="dxa"/>
            <w:tcBorders>
              <w:top w:val="nil"/>
              <w:left w:val="nil"/>
              <w:bottom w:val="single" w:color="000000" w:sz="4" w:space="0"/>
              <w:right w:val="single" w:color="000000" w:sz="4" w:space="0"/>
            </w:tcBorders>
            <w:shd w:val="clear" w:color="auto" w:fill="auto"/>
            <w:vAlign w:val="center"/>
          </w:tcPr>
          <w:p w14:paraId="1C4C98FB">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1120" w:type="dxa"/>
            <w:tcBorders>
              <w:top w:val="nil"/>
              <w:left w:val="nil"/>
              <w:bottom w:val="single" w:color="000000" w:sz="4" w:space="0"/>
              <w:right w:val="single" w:color="000000" w:sz="4" w:space="0"/>
            </w:tcBorders>
            <w:shd w:val="clear" w:color="auto" w:fill="auto"/>
            <w:vAlign w:val="center"/>
          </w:tcPr>
          <w:p w14:paraId="00819E0E">
            <w:pPr>
              <w:widowControl/>
              <w:jc w:val="center"/>
              <w:rPr>
                <w:rFonts w:ascii="宋体" w:hAnsi="宋体"/>
                <w:color w:val="000000"/>
                <w:kern w:val="0"/>
                <w:sz w:val="16"/>
                <w:szCs w:val="16"/>
              </w:rPr>
            </w:pPr>
            <w:r>
              <w:rPr>
                <w:rFonts w:hint="eastAsia" w:ascii="宋体" w:hAnsi="宋体"/>
                <w:color w:val="000000"/>
                <w:kern w:val="0"/>
                <w:sz w:val="16"/>
                <w:szCs w:val="16"/>
              </w:rPr>
              <w:t>效果明显</w:t>
            </w:r>
          </w:p>
        </w:tc>
        <w:tc>
          <w:tcPr>
            <w:tcW w:w="460" w:type="dxa"/>
            <w:tcBorders>
              <w:top w:val="nil"/>
              <w:left w:val="nil"/>
              <w:bottom w:val="single" w:color="000000" w:sz="4" w:space="0"/>
              <w:right w:val="single" w:color="000000" w:sz="4" w:space="0"/>
            </w:tcBorders>
            <w:shd w:val="clear" w:color="auto" w:fill="auto"/>
            <w:vAlign w:val="center"/>
          </w:tcPr>
          <w:p w14:paraId="05ACB941">
            <w:pPr>
              <w:widowControl/>
              <w:jc w:val="center"/>
              <w:rPr>
                <w:color w:val="000000"/>
                <w:kern w:val="0"/>
                <w:sz w:val="16"/>
                <w:szCs w:val="16"/>
              </w:rPr>
            </w:pPr>
            <w:r>
              <w:rPr>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6395F5A9">
            <w:pPr>
              <w:widowControl/>
              <w:jc w:val="center"/>
              <w:rPr>
                <w:color w:val="000000"/>
                <w:kern w:val="0"/>
                <w:sz w:val="16"/>
                <w:szCs w:val="16"/>
              </w:rPr>
            </w:pPr>
            <w:r>
              <w:rPr>
                <w:color w:val="000000"/>
                <w:kern w:val="0"/>
                <w:sz w:val="16"/>
                <w:szCs w:val="16"/>
              </w:rPr>
              <w:t>7</w:t>
            </w:r>
          </w:p>
        </w:tc>
      </w:tr>
      <w:tr w14:paraId="22AE669D">
        <w:tblPrEx>
          <w:tblCellMar>
            <w:top w:w="0" w:type="dxa"/>
            <w:left w:w="108" w:type="dxa"/>
            <w:bottom w:w="0" w:type="dxa"/>
            <w:right w:w="108" w:type="dxa"/>
          </w:tblCellMar>
        </w:tblPrEx>
        <w:trPr>
          <w:trHeight w:val="321"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3B24D35F">
            <w:pPr>
              <w:widowControl/>
              <w:jc w:val="left"/>
              <w:rPr>
                <w:rFonts w:ascii="宋体" w:hAnsi="宋体"/>
                <w:color w:val="000000"/>
                <w:kern w:val="0"/>
                <w:sz w:val="16"/>
                <w:szCs w:val="16"/>
              </w:rPr>
            </w:pPr>
          </w:p>
        </w:tc>
        <w:tc>
          <w:tcPr>
            <w:tcW w:w="1120" w:type="dxa"/>
            <w:vMerge w:val="continue"/>
            <w:tcBorders>
              <w:top w:val="single" w:color="000000" w:sz="4" w:space="0"/>
              <w:left w:val="nil"/>
              <w:bottom w:val="nil"/>
              <w:right w:val="single" w:color="000000" w:sz="4" w:space="0"/>
            </w:tcBorders>
            <w:vAlign w:val="center"/>
          </w:tcPr>
          <w:p w14:paraId="37EFB8FC">
            <w:pPr>
              <w:widowControl/>
              <w:jc w:val="left"/>
              <w:rPr>
                <w:rFonts w:ascii="宋体" w:hAnsi="宋体"/>
                <w:color w:val="000000"/>
                <w:kern w:val="0"/>
                <w:sz w:val="16"/>
                <w:szCs w:val="16"/>
              </w:rPr>
            </w:pPr>
          </w:p>
        </w:tc>
        <w:tc>
          <w:tcPr>
            <w:tcW w:w="1100" w:type="dxa"/>
            <w:gridSpan w:val="2"/>
            <w:tcBorders>
              <w:top w:val="nil"/>
              <w:left w:val="nil"/>
              <w:bottom w:val="single" w:color="000000" w:sz="4" w:space="0"/>
              <w:right w:val="single" w:color="000000" w:sz="4" w:space="0"/>
            </w:tcBorders>
            <w:shd w:val="clear" w:color="auto" w:fill="auto"/>
            <w:vAlign w:val="center"/>
          </w:tcPr>
          <w:p w14:paraId="277220AA">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0617EE76">
            <w:pPr>
              <w:widowControl/>
              <w:jc w:val="left"/>
              <w:rPr>
                <w:rFonts w:ascii="宋体" w:hAnsi="宋体"/>
                <w:color w:val="000000"/>
                <w:kern w:val="0"/>
                <w:sz w:val="16"/>
                <w:szCs w:val="16"/>
              </w:rPr>
            </w:pPr>
            <w:r>
              <w:rPr>
                <w:rFonts w:hint="eastAsia" w:ascii="宋体" w:hAnsi="宋体"/>
                <w:color w:val="000000"/>
                <w:kern w:val="0"/>
                <w:sz w:val="16"/>
                <w:szCs w:val="16"/>
              </w:rPr>
              <w:t>绿色办公无污染</w:t>
            </w:r>
          </w:p>
        </w:tc>
        <w:tc>
          <w:tcPr>
            <w:tcW w:w="1080" w:type="dxa"/>
            <w:tcBorders>
              <w:top w:val="nil"/>
              <w:left w:val="nil"/>
              <w:bottom w:val="single" w:color="000000" w:sz="4" w:space="0"/>
              <w:right w:val="single" w:color="000000" w:sz="4" w:space="0"/>
            </w:tcBorders>
            <w:shd w:val="clear" w:color="auto" w:fill="auto"/>
            <w:vAlign w:val="center"/>
          </w:tcPr>
          <w:p w14:paraId="596364AD">
            <w:pPr>
              <w:widowControl/>
              <w:jc w:val="center"/>
              <w:rPr>
                <w:rFonts w:ascii="宋体" w:hAnsi="宋体"/>
                <w:color w:val="000000"/>
                <w:kern w:val="0"/>
                <w:sz w:val="16"/>
                <w:szCs w:val="16"/>
              </w:rPr>
            </w:pPr>
            <w:r>
              <w:rPr>
                <w:rFonts w:hint="eastAsia" w:ascii="宋体" w:hAnsi="宋体"/>
                <w:color w:val="000000"/>
                <w:kern w:val="0"/>
                <w:sz w:val="16"/>
                <w:szCs w:val="16"/>
              </w:rPr>
              <w:t>是/否</w:t>
            </w:r>
          </w:p>
        </w:tc>
        <w:tc>
          <w:tcPr>
            <w:tcW w:w="1120" w:type="dxa"/>
            <w:tcBorders>
              <w:top w:val="nil"/>
              <w:left w:val="nil"/>
              <w:bottom w:val="single" w:color="000000" w:sz="4" w:space="0"/>
              <w:right w:val="single" w:color="000000" w:sz="4" w:space="0"/>
            </w:tcBorders>
            <w:shd w:val="clear" w:color="auto" w:fill="auto"/>
            <w:vAlign w:val="center"/>
          </w:tcPr>
          <w:p w14:paraId="4FC28A90">
            <w:pPr>
              <w:widowControl/>
              <w:jc w:val="center"/>
              <w:rPr>
                <w:rFonts w:ascii="宋体" w:hAnsi="宋体"/>
                <w:color w:val="000000"/>
                <w:kern w:val="0"/>
                <w:sz w:val="16"/>
                <w:szCs w:val="16"/>
              </w:rPr>
            </w:pPr>
            <w:r>
              <w:rPr>
                <w:rFonts w:hint="eastAsia" w:ascii="宋体" w:hAnsi="宋体"/>
                <w:color w:val="000000"/>
                <w:kern w:val="0"/>
                <w:sz w:val="16"/>
                <w:szCs w:val="16"/>
              </w:rPr>
              <w:t>是</w:t>
            </w:r>
          </w:p>
        </w:tc>
        <w:tc>
          <w:tcPr>
            <w:tcW w:w="460" w:type="dxa"/>
            <w:tcBorders>
              <w:top w:val="nil"/>
              <w:left w:val="nil"/>
              <w:bottom w:val="single" w:color="000000" w:sz="4" w:space="0"/>
              <w:right w:val="single" w:color="000000" w:sz="4" w:space="0"/>
            </w:tcBorders>
            <w:shd w:val="clear" w:color="auto" w:fill="auto"/>
            <w:vAlign w:val="center"/>
          </w:tcPr>
          <w:p w14:paraId="2AB51039">
            <w:pPr>
              <w:widowControl/>
              <w:jc w:val="center"/>
              <w:rPr>
                <w:color w:val="000000"/>
                <w:kern w:val="0"/>
                <w:sz w:val="16"/>
                <w:szCs w:val="16"/>
              </w:rPr>
            </w:pPr>
            <w:r>
              <w:rPr>
                <w:color w:val="000000"/>
                <w:kern w:val="0"/>
                <w:sz w:val="16"/>
                <w:szCs w:val="16"/>
              </w:rPr>
              <w:t>5</w:t>
            </w:r>
          </w:p>
        </w:tc>
        <w:tc>
          <w:tcPr>
            <w:tcW w:w="926" w:type="dxa"/>
            <w:tcBorders>
              <w:top w:val="nil"/>
              <w:left w:val="nil"/>
              <w:bottom w:val="single" w:color="000000" w:sz="4" w:space="0"/>
              <w:right w:val="single" w:color="000000" w:sz="4" w:space="0"/>
            </w:tcBorders>
            <w:shd w:val="clear" w:color="auto" w:fill="auto"/>
            <w:vAlign w:val="center"/>
          </w:tcPr>
          <w:p w14:paraId="72411520">
            <w:pPr>
              <w:widowControl/>
              <w:jc w:val="center"/>
              <w:rPr>
                <w:color w:val="000000"/>
                <w:kern w:val="0"/>
                <w:sz w:val="16"/>
                <w:szCs w:val="16"/>
              </w:rPr>
            </w:pPr>
            <w:r>
              <w:rPr>
                <w:color w:val="000000"/>
                <w:kern w:val="0"/>
                <w:sz w:val="16"/>
                <w:szCs w:val="16"/>
              </w:rPr>
              <w:t>5</w:t>
            </w:r>
          </w:p>
        </w:tc>
      </w:tr>
      <w:tr w14:paraId="0C1E0FC9">
        <w:tblPrEx>
          <w:tblCellMar>
            <w:top w:w="0" w:type="dxa"/>
            <w:left w:w="108" w:type="dxa"/>
            <w:bottom w:w="0" w:type="dxa"/>
            <w:right w:w="108" w:type="dxa"/>
          </w:tblCellMar>
        </w:tblPrEx>
        <w:trPr>
          <w:trHeight w:val="642"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6D7D99CD">
            <w:pPr>
              <w:widowControl/>
              <w:jc w:val="left"/>
              <w:rPr>
                <w:rFonts w:ascii="宋体" w:hAnsi="宋体"/>
                <w:color w:val="000000"/>
                <w:kern w:val="0"/>
                <w:sz w:val="16"/>
                <w:szCs w:val="16"/>
              </w:rPr>
            </w:pPr>
          </w:p>
        </w:tc>
        <w:tc>
          <w:tcPr>
            <w:tcW w:w="1120" w:type="dxa"/>
            <w:vMerge w:val="continue"/>
            <w:tcBorders>
              <w:top w:val="single" w:color="000000" w:sz="4" w:space="0"/>
              <w:left w:val="nil"/>
              <w:bottom w:val="nil"/>
              <w:right w:val="single" w:color="000000" w:sz="4" w:space="0"/>
            </w:tcBorders>
            <w:vAlign w:val="center"/>
          </w:tcPr>
          <w:p w14:paraId="602D4F70">
            <w:pPr>
              <w:widowControl/>
              <w:jc w:val="left"/>
              <w:rPr>
                <w:rFonts w:ascii="宋体" w:hAnsi="宋体"/>
                <w:color w:val="000000"/>
                <w:kern w:val="0"/>
                <w:sz w:val="16"/>
                <w:szCs w:val="16"/>
              </w:rPr>
            </w:pPr>
          </w:p>
        </w:tc>
        <w:tc>
          <w:tcPr>
            <w:tcW w:w="1100" w:type="dxa"/>
            <w:gridSpan w:val="2"/>
            <w:tcBorders>
              <w:top w:val="nil"/>
              <w:left w:val="nil"/>
              <w:bottom w:val="single" w:color="000000" w:sz="4" w:space="0"/>
              <w:right w:val="single" w:color="000000" w:sz="4" w:space="0"/>
            </w:tcBorders>
            <w:shd w:val="clear" w:color="auto" w:fill="auto"/>
            <w:vAlign w:val="center"/>
          </w:tcPr>
          <w:p w14:paraId="76FF8673">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1644" w:type="dxa"/>
            <w:gridSpan w:val="2"/>
            <w:tcBorders>
              <w:top w:val="single" w:color="000000" w:sz="4" w:space="0"/>
              <w:left w:val="nil"/>
              <w:bottom w:val="single" w:color="000000" w:sz="4" w:space="0"/>
              <w:right w:val="single" w:color="000000" w:sz="4" w:space="0"/>
            </w:tcBorders>
            <w:shd w:val="clear" w:color="auto" w:fill="auto"/>
            <w:vAlign w:val="center"/>
          </w:tcPr>
          <w:p w14:paraId="2D581184">
            <w:pPr>
              <w:widowControl/>
              <w:jc w:val="left"/>
              <w:rPr>
                <w:rFonts w:ascii="宋体" w:hAnsi="宋体"/>
                <w:color w:val="000000"/>
                <w:kern w:val="0"/>
                <w:sz w:val="16"/>
                <w:szCs w:val="16"/>
              </w:rPr>
            </w:pPr>
            <w:r>
              <w:rPr>
                <w:rFonts w:hint="eastAsia" w:ascii="宋体" w:hAnsi="宋体"/>
                <w:color w:val="000000"/>
                <w:kern w:val="0"/>
                <w:sz w:val="16"/>
                <w:szCs w:val="16"/>
              </w:rPr>
              <w:t>持续保障基本公共卫生服务水平</w:t>
            </w:r>
          </w:p>
        </w:tc>
        <w:tc>
          <w:tcPr>
            <w:tcW w:w="1080" w:type="dxa"/>
            <w:tcBorders>
              <w:top w:val="nil"/>
              <w:left w:val="nil"/>
              <w:bottom w:val="single" w:color="000000" w:sz="4" w:space="0"/>
              <w:right w:val="single" w:color="000000" w:sz="4" w:space="0"/>
            </w:tcBorders>
            <w:shd w:val="clear" w:color="auto" w:fill="auto"/>
            <w:vAlign w:val="center"/>
          </w:tcPr>
          <w:p w14:paraId="6B59F2B2">
            <w:pPr>
              <w:widowControl/>
              <w:jc w:val="center"/>
              <w:rPr>
                <w:rFonts w:ascii="宋体" w:hAnsi="宋体"/>
                <w:color w:val="000000"/>
                <w:kern w:val="0"/>
                <w:sz w:val="16"/>
                <w:szCs w:val="16"/>
              </w:rPr>
            </w:pPr>
            <w:r>
              <w:rPr>
                <w:rFonts w:hint="eastAsia" w:ascii="宋体" w:hAnsi="宋体"/>
                <w:color w:val="000000"/>
                <w:kern w:val="0"/>
                <w:sz w:val="16"/>
                <w:szCs w:val="16"/>
              </w:rPr>
              <w:t>=1年</w:t>
            </w:r>
          </w:p>
        </w:tc>
        <w:tc>
          <w:tcPr>
            <w:tcW w:w="1120" w:type="dxa"/>
            <w:tcBorders>
              <w:top w:val="nil"/>
              <w:left w:val="nil"/>
              <w:bottom w:val="single" w:color="000000" w:sz="4" w:space="0"/>
              <w:right w:val="single" w:color="000000" w:sz="4" w:space="0"/>
            </w:tcBorders>
            <w:shd w:val="clear" w:color="auto" w:fill="auto"/>
            <w:vAlign w:val="center"/>
          </w:tcPr>
          <w:p w14:paraId="7A512A48">
            <w:pPr>
              <w:widowControl/>
              <w:jc w:val="center"/>
              <w:rPr>
                <w:rFonts w:ascii="宋体" w:hAnsi="宋体"/>
                <w:color w:val="000000"/>
                <w:kern w:val="0"/>
                <w:sz w:val="16"/>
                <w:szCs w:val="16"/>
              </w:rPr>
            </w:pPr>
            <w:r>
              <w:rPr>
                <w:rFonts w:hint="eastAsia" w:ascii="宋体" w:hAnsi="宋体"/>
                <w:color w:val="000000"/>
                <w:kern w:val="0"/>
                <w:sz w:val="16"/>
                <w:szCs w:val="16"/>
              </w:rPr>
              <w:t>1年</w:t>
            </w:r>
          </w:p>
        </w:tc>
        <w:tc>
          <w:tcPr>
            <w:tcW w:w="460" w:type="dxa"/>
            <w:tcBorders>
              <w:top w:val="nil"/>
              <w:left w:val="nil"/>
              <w:bottom w:val="single" w:color="000000" w:sz="4" w:space="0"/>
              <w:right w:val="single" w:color="000000" w:sz="4" w:space="0"/>
            </w:tcBorders>
            <w:shd w:val="clear" w:color="auto" w:fill="auto"/>
            <w:vAlign w:val="center"/>
          </w:tcPr>
          <w:p w14:paraId="6E535A19">
            <w:pPr>
              <w:widowControl/>
              <w:jc w:val="center"/>
              <w:rPr>
                <w:color w:val="000000"/>
                <w:kern w:val="0"/>
                <w:sz w:val="16"/>
                <w:szCs w:val="16"/>
              </w:rPr>
            </w:pPr>
            <w:r>
              <w:rPr>
                <w:color w:val="000000"/>
                <w:kern w:val="0"/>
                <w:sz w:val="16"/>
                <w:szCs w:val="16"/>
              </w:rPr>
              <w:t>5</w:t>
            </w:r>
          </w:p>
        </w:tc>
        <w:tc>
          <w:tcPr>
            <w:tcW w:w="926" w:type="dxa"/>
            <w:tcBorders>
              <w:top w:val="nil"/>
              <w:left w:val="nil"/>
              <w:bottom w:val="single" w:color="000000" w:sz="4" w:space="0"/>
              <w:right w:val="single" w:color="000000" w:sz="4" w:space="0"/>
            </w:tcBorders>
            <w:shd w:val="clear" w:color="auto" w:fill="auto"/>
            <w:vAlign w:val="center"/>
          </w:tcPr>
          <w:p w14:paraId="1A82844A">
            <w:pPr>
              <w:widowControl/>
              <w:jc w:val="center"/>
              <w:rPr>
                <w:color w:val="000000"/>
                <w:kern w:val="0"/>
                <w:sz w:val="16"/>
                <w:szCs w:val="16"/>
              </w:rPr>
            </w:pPr>
            <w:r>
              <w:rPr>
                <w:color w:val="000000"/>
                <w:kern w:val="0"/>
                <w:sz w:val="16"/>
                <w:szCs w:val="16"/>
              </w:rPr>
              <w:t>5</w:t>
            </w:r>
          </w:p>
        </w:tc>
      </w:tr>
      <w:tr w14:paraId="33B2FA78">
        <w:tblPrEx>
          <w:tblCellMar>
            <w:top w:w="0" w:type="dxa"/>
            <w:left w:w="108" w:type="dxa"/>
            <w:bottom w:w="0" w:type="dxa"/>
            <w:right w:w="108" w:type="dxa"/>
          </w:tblCellMar>
        </w:tblPrEx>
        <w:trPr>
          <w:trHeight w:val="379"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0012D26F">
            <w:pPr>
              <w:widowControl/>
              <w:jc w:val="left"/>
              <w:rPr>
                <w:rFonts w:ascii="宋体" w:hAnsi="宋体"/>
                <w:color w:val="000000"/>
                <w:kern w:val="0"/>
                <w:sz w:val="16"/>
                <w:szCs w:val="16"/>
              </w:rPr>
            </w:pP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31EF0595">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100" w:type="dxa"/>
            <w:gridSpan w:val="2"/>
            <w:tcBorders>
              <w:top w:val="nil"/>
              <w:left w:val="nil"/>
              <w:bottom w:val="single" w:color="000000" w:sz="4" w:space="0"/>
              <w:right w:val="single" w:color="000000" w:sz="4" w:space="0"/>
            </w:tcBorders>
            <w:shd w:val="clear" w:color="auto" w:fill="auto"/>
            <w:vAlign w:val="center"/>
          </w:tcPr>
          <w:p w14:paraId="6D87706D">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1644" w:type="dxa"/>
            <w:gridSpan w:val="2"/>
            <w:tcBorders>
              <w:top w:val="single" w:color="000000" w:sz="4" w:space="0"/>
              <w:left w:val="nil"/>
              <w:bottom w:val="nil"/>
              <w:right w:val="single" w:color="000000" w:sz="4" w:space="0"/>
            </w:tcBorders>
            <w:shd w:val="clear" w:color="auto" w:fill="auto"/>
            <w:vAlign w:val="center"/>
          </w:tcPr>
          <w:p w14:paraId="00383C4F">
            <w:pPr>
              <w:widowControl/>
              <w:jc w:val="left"/>
              <w:rPr>
                <w:rFonts w:ascii="宋体" w:hAnsi="宋体"/>
                <w:color w:val="000000"/>
                <w:kern w:val="0"/>
                <w:sz w:val="16"/>
                <w:szCs w:val="16"/>
              </w:rPr>
            </w:pPr>
            <w:r>
              <w:rPr>
                <w:rFonts w:hint="eastAsia" w:ascii="宋体" w:hAnsi="宋体"/>
                <w:color w:val="000000"/>
                <w:kern w:val="0"/>
                <w:sz w:val="16"/>
                <w:szCs w:val="16"/>
              </w:rPr>
              <w:t>职工满意度</w:t>
            </w:r>
          </w:p>
        </w:tc>
        <w:tc>
          <w:tcPr>
            <w:tcW w:w="1080" w:type="dxa"/>
            <w:tcBorders>
              <w:top w:val="nil"/>
              <w:left w:val="nil"/>
              <w:bottom w:val="single" w:color="000000" w:sz="4" w:space="0"/>
              <w:right w:val="single" w:color="000000" w:sz="4" w:space="0"/>
            </w:tcBorders>
            <w:shd w:val="clear" w:color="auto" w:fill="auto"/>
            <w:vAlign w:val="center"/>
          </w:tcPr>
          <w:p w14:paraId="4F1B78A3">
            <w:pPr>
              <w:widowControl/>
              <w:jc w:val="center"/>
              <w:rPr>
                <w:color w:val="000000"/>
                <w:kern w:val="0"/>
                <w:sz w:val="16"/>
                <w:szCs w:val="16"/>
              </w:rPr>
            </w:pPr>
            <w:r>
              <w:rPr>
                <w:color w:val="000000"/>
                <w:kern w:val="0"/>
                <w:sz w:val="16"/>
                <w:szCs w:val="16"/>
              </w:rPr>
              <w:t>≥90%</w:t>
            </w:r>
          </w:p>
        </w:tc>
        <w:tc>
          <w:tcPr>
            <w:tcW w:w="1120" w:type="dxa"/>
            <w:tcBorders>
              <w:top w:val="nil"/>
              <w:left w:val="nil"/>
              <w:bottom w:val="single" w:color="000000" w:sz="4" w:space="0"/>
              <w:right w:val="single" w:color="000000" w:sz="4" w:space="0"/>
            </w:tcBorders>
            <w:shd w:val="clear" w:color="auto" w:fill="auto"/>
            <w:vAlign w:val="center"/>
          </w:tcPr>
          <w:p w14:paraId="2B3286BA">
            <w:pPr>
              <w:widowControl/>
              <w:jc w:val="center"/>
              <w:rPr>
                <w:color w:val="000000"/>
                <w:kern w:val="0"/>
                <w:sz w:val="16"/>
                <w:szCs w:val="16"/>
              </w:rPr>
            </w:pPr>
            <w:r>
              <w:rPr>
                <w:color w:val="000000"/>
                <w:kern w:val="0"/>
                <w:sz w:val="16"/>
                <w:szCs w:val="16"/>
              </w:rPr>
              <w:t>90%</w:t>
            </w:r>
          </w:p>
        </w:tc>
        <w:tc>
          <w:tcPr>
            <w:tcW w:w="460" w:type="dxa"/>
            <w:tcBorders>
              <w:top w:val="nil"/>
              <w:left w:val="nil"/>
              <w:bottom w:val="single" w:color="000000" w:sz="4" w:space="0"/>
              <w:right w:val="single" w:color="000000" w:sz="4" w:space="0"/>
            </w:tcBorders>
            <w:shd w:val="clear" w:color="auto" w:fill="auto"/>
            <w:vAlign w:val="center"/>
          </w:tcPr>
          <w:p w14:paraId="1D2A9989">
            <w:pPr>
              <w:widowControl/>
              <w:jc w:val="center"/>
              <w:rPr>
                <w:color w:val="000000"/>
                <w:kern w:val="0"/>
                <w:sz w:val="16"/>
                <w:szCs w:val="16"/>
              </w:rPr>
            </w:pPr>
            <w:r>
              <w:rPr>
                <w:color w:val="000000"/>
                <w:kern w:val="0"/>
                <w:sz w:val="16"/>
                <w:szCs w:val="16"/>
              </w:rPr>
              <w:t>10</w:t>
            </w:r>
          </w:p>
        </w:tc>
        <w:tc>
          <w:tcPr>
            <w:tcW w:w="926" w:type="dxa"/>
            <w:tcBorders>
              <w:top w:val="nil"/>
              <w:left w:val="nil"/>
              <w:bottom w:val="single" w:color="000000" w:sz="4" w:space="0"/>
              <w:right w:val="single" w:color="000000" w:sz="4" w:space="0"/>
            </w:tcBorders>
            <w:shd w:val="clear" w:color="auto" w:fill="auto"/>
            <w:vAlign w:val="center"/>
          </w:tcPr>
          <w:p w14:paraId="45829EDB">
            <w:pPr>
              <w:widowControl/>
              <w:jc w:val="center"/>
              <w:rPr>
                <w:color w:val="000000"/>
                <w:kern w:val="0"/>
                <w:sz w:val="16"/>
                <w:szCs w:val="16"/>
              </w:rPr>
            </w:pPr>
            <w:r>
              <w:rPr>
                <w:color w:val="000000"/>
                <w:kern w:val="0"/>
                <w:sz w:val="16"/>
                <w:szCs w:val="16"/>
              </w:rPr>
              <w:t>10</w:t>
            </w:r>
          </w:p>
        </w:tc>
      </w:tr>
      <w:tr w14:paraId="787A1342">
        <w:tblPrEx>
          <w:tblCellMar>
            <w:top w:w="0" w:type="dxa"/>
            <w:left w:w="108" w:type="dxa"/>
            <w:bottom w:w="0" w:type="dxa"/>
            <w:right w:w="108" w:type="dxa"/>
          </w:tblCellMar>
        </w:tblPrEx>
        <w:trPr>
          <w:trHeight w:val="642"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02185092">
            <w:pPr>
              <w:widowControl/>
              <w:jc w:val="left"/>
              <w:rPr>
                <w:rFonts w:ascii="宋体" w:hAnsi="宋体"/>
                <w:color w:val="000000"/>
                <w:kern w:val="0"/>
                <w:sz w:val="16"/>
                <w:szCs w:val="16"/>
              </w:rPr>
            </w:pPr>
          </w:p>
        </w:tc>
        <w:tc>
          <w:tcPr>
            <w:tcW w:w="1120" w:type="dxa"/>
            <w:tcBorders>
              <w:top w:val="single" w:color="auto" w:sz="4" w:space="0"/>
              <w:left w:val="nil"/>
              <w:bottom w:val="nil"/>
              <w:right w:val="single" w:color="auto" w:sz="4" w:space="0"/>
            </w:tcBorders>
            <w:shd w:val="clear" w:color="auto" w:fill="auto"/>
            <w:vAlign w:val="center"/>
          </w:tcPr>
          <w:p w14:paraId="511BC691">
            <w:pPr>
              <w:widowControl/>
              <w:jc w:val="center"/>
              <w:rPr>
                <w:rFonts w:ascii="宋体" w:hAnsi="宋体"/>
                <w:kern w:val="0"/>
                <w:sz w:val="16"/>
                <w:szCs w:val="16"/>
              </w:rPr>
            </w:pPr>
            <w:r>
              <w:rPr>
                <w:rFonts w:hint="eastAsia" w:ascii="宋体" w:hAnsi="宋体"/>
                <w:kern w:val="0"/>
                <w:sz w:val="16"/>
                <w:szCs w:val="16"/>
              </w:rPr>
              <w:t>预算执行率（10）</w:t>
            </w:r>
          </w:p>
        </w:tc>
        <w:tc>
          <w:tcPr>
            <w:tcW w:w="1100" w:type="dxa"/>
            <w:gridSpan w:val="2"/>
            <w:tcBorders>
              <w:top w:val="single" w:color="auto" w:sz="4" w:space="0"/>
              <w:left w:val="nil"/>
              <w:bottom w:val="nil"/>
              <w:right w:val="single" w:color="auto" w:sz="4" w:space="0"/>
            </w:tcBorders>
            <w:shd w:val="clear" w:color="auto" w:fill="auto"/>
            <w:vAlign w:val="center"/>
          </w:tcPr>
          <w:p w14:paraId="49FA3804">
            <w:pPr>
              <w:widowControl/>
              <w:jc w:val="center"/>
              <w:rPr>
                <w:rFonts w:ascii="宋体" w:hAnsi="宋体"/>
                <w:kern w:val="0"/>
                <w:sz w:val="16"/>
                <w:szCs w:val="16"/>
              </w:rPr>
            </w:pPr>
            <w:r>
              <w:rPr>
                <w:rFonts w:hint="eastAsia" w:ascii="宋体" w:hAnsi="宋体"/>
                <w:kern w:val="0"/>
                <w:sz w:val="16"/>
                <w:szCs w:val="16"/>
              </w:rPr>
              <w:t>预算执行率</w:t>
            </w:r>
          </w:p>
        </w:tc>
        <w:tc>
          <w:tcPr>
            <w:tcW w:w="1644" w:type="dxa"/>
            <w:gridSpan w:val="2"/>
            <w:tcBorders>
              <w:top w:val="single" w:color="auto" w:sz="4" w:space="0"/>
              <w:left w:val="nil"/>
              <w:bottom w:val="nil"/>
              <w:right w:val="single" w:color="000000" w:sz="4" w:space="0"/>
            </w:tcBorders>
            <w:shd w:val="clear" w:color="auto" w:fill="auto"/>
            <w:vAlign w:val="center"/>
          </w:tcPr>
          <w:p w14:paraId="542912A6">
            <w:pPr>
              <w:widowControl/>
              <w:jc w:val="left"/>
              <w:rPr>
                <w:rFonts w:ascii="宋体" w:hAnsi="宋体"/>
                <w:kern w:val="0"/>
                <w:sz w:val="16"/>
                <w:szCs w:val="16"/>
              </w:rPr>
            </w:pPr>
            <w:r>
              <w:rPr>
                <w:rFonts w:hint="eastAsia" w:ascii="宋体" w:hAnsi="宋体"/>
                <w:kern w:val="0"/>
                <w:sz w:val="16"/>
                <w:szCs w:val="16"/>
              </w:rPr>
              <w:t>100%完成</w:t>
            </w:r>
          </w:p>
        </w:tc>
        <w:tc>
          <w:tcPr>
            <w:tcW w:w="1080" w:type="dxa"/>
            <w:tcBorders>
              <w:top w:val="single" w:color="auto" w:sz="4" w:space="0"/>
              <w:left w:val="nil"/>
              <w:bottom w:val="nil"/>
              <w:right w:val="single" w:color="auto" w:sz="4" w:space="0"/>
            </w:tcBorders>
            <w:shd w:val="clear" w:color="auto" w:fill="auto"/>
            <w:vAlign w:val="center"/>
          </w:tcPr>
          <w:p w14:paraId="72BE9C1B">
            <w:pPr>
              <w:widowControl/>
              <w:jc w:val="center"/>
              <w:rPr>
                <w:kern w:val="0"/>
                <w:sz w:val="16"/>
                <w:szCs w:val="16"/>
              </w:rPr>
            </w:pPr>
            <w:r>
              <w:rPr>
                <w:kern w:val="0"/>
                <w:sz w:val="16"/>
                <w:szCs w:val="16"/>
              </w:rPr>
              <w:t>100%</w:t>
            </w:r>
          </w:p>
        </w:tc>
        <w:tc>
          <w:tcPr>
            <w:tcW w:w="1120" w:type="dxa"/>
            <w:tcBorders>
              <w:top w:val="single" w:color="auto" w:sz="4" w:space="0"/>
              <w:left w:val="nil"/>
              <w:bottom w:val="nil"/>
              <w:right w:val="single" w:color="auto" w:sz="4" w:space="0"/>
            </w:tcBorders>
            <w:shd w:val="clear" w:color="auto" w:fill="auto"/>
            <w:vAlign w:val="center"/>
          </w:tcPr>
          <w:p w14:paraId="263AF489">
            <w:pPr>
              <w:widowControl/>
              <w:jc w:val="center"/>
              <w:rPr>
                <w:kern w:val="0"/>
                <w:sz w:val="16"/>
                <w:szCs w:val="16"/>
              </w:rPr>
            </w:pPr>
            <w:r>
              <w:rPr>
                <w:kern w:val="0"/>
                <w:sz w:val="16"/>
                <w:szCs w:val="16"/>
              </w:rPr>
              <w:t>53.42%</w:t>
            </w:r>
          </w:p>
        </w:tc>
        <w:tc>
          <w:tcPr>
            <w:tcW w:w="460" w:type="dxa"/>
            <w:tcBorders>
              <w:top w:val="single" w:color="auto" w:sz="4" w:space="0"/>
              <w:left w:val="nil"/>
              <w:bottom w:val="nil"/>
              <w:right w:val="single" w:color="auto" w:sz="4" w:space="0"/>
            </w:tcBorders>
            <w:shd w:val="clear" w:color="auto" w:fill="auto"/>
            <w:vAlign w:val="center"/>
          </w:tcPr>
          <w:p w14:paraId="6EC0909D">
            <w:pPr>
              <w:widowControl/>
              <w:jc w:val="center"/>
              <w:rPr>
                <w:kern w:val="0"/>
                <w:sz w:val="16"/>
                <w:szCs w:val="16"/>
              </w:rPr>
            </w:pPr>
            <w:r>
              <w:rPr>
                <w:kern w:val="0"/>
                <w:sz w:val="16"/>
                <w:szCs w:val="16"/>
              </w:rPr>
              <w:t>10</w:t>
            </w:r>
          </w:p>
        </w:tc>
        <w:tc>
          <w:tcPr>
            <w:tcW w:w="926" w:type="dxa"/>
            <w:tcBorders>
              <w:top w:val="single" w:color="auto" w:sz="4" w:space="0"/>
              <w:left w:val="nil"/>
              <w:bottom w:val="single" w:color="auto" w:sz="4" w:space="0"/>
              <w:right w:val="single" w:color="auto" w:sz="4" w:space="0"/>
            </w:tcBorders>
            <w:shd w:val="clear" w:color="auto" w:fill="auto"/>
            <w:vAlign w:val="center"/>
          </w:tcPr>
          <w:p w14:paraId="68EE0D6D">
            <w:pPr>
              <w:widowControl/>
              <w:jc w:val="center"/>
              <w:rPr>
                <w:kern w:val="0"/>
                <w:sz w:val="16"/>
                <w:szCs w:val="16"/>
              </w:rPr>
            </w:pPr>
            <w:r>
              <w:rPr>
                <w:kern w:val="0"/>
                <w:sz w:val="16"/>
                <w:szCs w:val="16"/>
              </w:rPr>
              <w:t>10</w:t>
            </w:r>
          </w:p>
        </w:tc>
      </w:tr>
      <w:tr w14:paraId="36A8123C">
        <w:tblPrEx>
          <w:tblCellMar>
            <w:top w:w="0" w:type="dxa"/>
            <w:left w:w="108" w:type="dxa"/>
            <w:bottom w:w="0" w:type="dxa"/>
            <w:right w:w="108" w:type="dxa"/>
          </w:tblCellMar>
        </w:tblPrEx>
        <w:trPr>
          <w:trHeight w:val="270"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5448D7E1">
            <w:pPr>
              <w:widowControl/>
              <w:jc w:val="left"/>
              <w:rPr>
                <w:rFonts w:ascii="宋体" w:hAnsi="宋体"/>
                <w:color w:val="000000"/>
                <w:kern w:val="0"/>
                <w:sz w:val="16"/>
                <w:szCs w:val="16"/>
              </w:rPr>
            </w:pPr>
          </w:p>
        </w:tc>
        <w:tc>
          <w:tcPr>
            <w:tcW w:w="6524" w:type="dxa"/>
            <w:gridSpan w:val="8"/>
            <w:tcBorders>
              <w:top w:val="single" w:color="000000" w:sz="4" w:space="0"/>
              <w:left w:val="nil"/>
              <w:bottom w:val="single" w:color="000000" w:sz="4" w:space="0"/>
              <w:right w:val="single" w:color="000000" w:sz="4" w:space="0"/>
            </w:tcBorders>
            <w:shd w:val="clear" w:color="auto" w:fill="auto"/>
            <w:vAlign w:val="center"/>
          </w:tcPr>
          <w:p w14:paraId="2BF62C40">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926" w:type="dxa"/>
            <w:tcBorders>
              <w:top w:val="nil"/>
              <w:left w:val="nil"/>
              <w:bottom w:val="single" w:color="auto" w:sz="4" w:space="0"/>
              <w:right w:val="single" w:color="auto" w:sz="4" w:space="0"/>
            </w:tcBorders>
            <w:shd w:val="clear" w:color="auto" w:fill="auto"/>
            <w:vAlign w:val="center"/>
          </w:tcPr>
          <w:p w14:paraId="11AC7F5C">
            <w:pPr>
              <w:widowControl/>
              <w:jc w:val="center"/>
              <w:rPr>
                <w:color w:val="000000"/>
                <w:kern w:val="0"/>
                <w:sz w:val="16"/>
                <w:szCs w:val="16"/>
              </w:rPr>
            </w:pPr>
            <w:r>
              <w:rPr>
                <w:color w:val="000000"/>
                <w:kern w:val="0"/>
                <w:sz w:val="16"/>
                <w:szCs w:val="16"/>
              </w:rPr>
              <w:t>90</w:t>
            </w:r>
          </w:p>
        </w:tc>
      </w:tr>
      <w:tr w14:paraId="26DC6AEC">
        <w:tblPrEx>
          <w:tblCellMar>
            <w:top w:w="0" w:type="dxa"/>
            <w:left w:w="108" w:type="dxa"/>
            <w:bottom w:w="0" w:type="dxa"/>
            <w:right w:w="108" w:type="dxa"/>
          </w:tblCellMar>
        </w:tblPrEx>
        <w:trPr>
          <w:trHeight w:val="270" w:hRule="atLeast"/>
        </w:trPr>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0FD2DDC4">
            <w:pPr>
              <w:widowControl/>
              <w:jc w:val="left"/>
              <w:rPr>
                <w:rFonts w:ascii="宋体" w:hAnsi="宋体"/>
                <w:color w:val="000000"/>
                <w:kern w:val="0"/>
                <w:sz w:val="16"/>
                <w:szCs w:val="16"/>
              </w:rPr>
            </w:pPr>
          </w:p>
        </w:tc>
        <w:tc>
          <w:tcPr>
            <w:tcW w:w="6524" w:type="dxa"/>
            <w:gridSpan w:val="8"/>
            <w:tcBorders>
              <w:top w:val="single" w:color="000000" w:sz="4" w:space="0"/>
              <w:left w:val="nil"/>
              <w:bottom w:val="single" w:color="000000" w:sz="4" w:space="0"/>
              <w:right w:val="single" w:color="000000" w:sz="4" w:space="0"/>
            </w:tcBorders>
            <w:shd w:val="clear" w:color="auto" w:fill="auto"/>
            <w:vAlign w:val="center"/>
          </w:tcPr>
          <w:p w14:paraId="11153028">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926" w:type="dxa"/>
            <w:tcBorders>
              <w:top w:val="nil"/>
              <w:left w:val="nil"/>
              <w:bottom w:val="single" w:color="000000" w:sz="4" w:space="0"/>
              <w:right w:val="single" w:color="auto" w:sz="4" w:space="0"/>
            </w:tcBorders>
            <w:shd w:val="clear" w:color="auto" w:fill="auto"/>
            <w:vAlign w:val="center"/>
          </w:tcPr>
          <w:p w14:paraId="4596DD3F">
            <w:pPr>
              <w:widowControl/>
              <w:jc w:val="center"/>
              <w:rPr>
                <w:rFonts w:ascii="宋体" w:hAnsi="宋体"/>
                <w:color w:val="000000"/>
                <w:kern w:val="0"/>
                <w:sz w:val="16"/>
                <w:szCs w:val="16"/>
              </w:rPr>
            </w:pPr>
            <w:r>
              <w:rPr>
                <w:rFonts w:hint="eastAsia" w:ascii="宋体" w:hAnsi="宋体"/>
                <w:color w:val="000000"/>
                <w:kern w:val="0"/>
                <w:sz w:val="16"/>
                <w:szCs w:val="16"/>
              </w:rPr>
              <w:t>优</w:t>
            </w:r>
          </w:p>
        </w:tc>
      </w:tr>
      <w:tr w14:paraId="7AA7AB09">
        <w:tblPrEx>
          <w:tblCellMar>
            <w:top w:w="0" w:type="dxa"/>
            <w:left w:w="108" w:type="dxa"/>
            <w:bottom w:w="0" w:type="dxa"/>
            <w:right w:w="108" w:type="dxa"/>
          </w:tblCellMar>
        </w:tblPrEx>
        <w:trPr>
          <w:trHeight w:val="1723" w:hRule="atLeast"/>
        </w:trPr>
        <w:tc>
          <w:tcPr>
            <w:tcW w:w="1630" w:type="dxa"/>
            <w:tcBorders>
              <w:top w:val="nil"/>
              <w:left w:val="single" w:color="000000" w:sz="4" w:space="0"/>
              <w:bottom w:val="single" w:color="000000" w:sz="4" w:space="0"/>
              <w:right w:val="single" w:color="000000" w:sz="4" w:space="0"/>
            </w:tcBorders>
            <w:shd w:val="clear" w:color="auto" w:fill="auto"/>
            <w:vAlign w:val="center"/>
          </w:tcPr>
          <w:p w14:paraId="0463E918">
            <w:pPr>
              <w:widowControl/>
              <w:jc w:val="left"/>
              <w:rPr>
                <w:rFonts w:ascii="宋体" w:hAnsi="宋体"/>
                <w:color w:val="000000"/>
                <w:kern w:val="0"/>
                <w:sz w:val="16"/>
                <w:szCs w:val="16"/>
              </w:rPr>
            </w:pPr>
            <w:r>
              <w:rPr>
                <w:rFonts w:hint="eastAsia" w:ascii="宋体" w:hAnsi="宋体"/>
                <w:color w:val="000000"/>
                <w:kern w:val="0"/>
                <w:sz w:val="16"/>
                <w:szCs w:val="16"/>
              </w:rPr>
              <w:t>五、</w:t>
            </w:r>
            <w:r>
              <w:rPr>
                <w:color w:val="000000"/>
                <w:kern w:val="0"/>
                <w:sz w:val="16"/>
                <w:szCs w:val="16"/>
              </w:rPr>
              <w:t> </w:t>
            </w:r>
            <w:r>
              <w:rPr>
                <w:rFonts w:hint="eastAsia" w:ascii="宋体" w:hAnsi="宋体"/>
                <w:color w:val="000000"/>
                <w:kern w:val="0"/>
                <w:sz w:val="16"/>
                <w:szCs w:val="16"/>
              </w:rPr>
              <w:t>存在问题、原因及下一步整改措施</w:t>
            </w:r>
          </w:p>
        </w:tc>
        <w:tc>
          <w:tcPr>
            <w:tcW w:w="7450" w:type="dxa"/>
            <w:gridSpan w:val="9"/>
            <w:tcBorders>
              <w:top w:val="nil"/>
              <w:left w:val="nil"/>
              <w:bottom w:val="single" w:color="000000" w:sz="4" w:space="0"/>
              <w:right w:val="single" w:color="000000" w:sz="4" w:space="0"/>
            </w:tcBorders>
            <w:shd w:val="clear" w:color="auto" w:fill="auto"/>
            <w:vAlign w:val="center"/>
          </w:tcPr>
          <w:p w14:paraId="5FA7EC68">
            <w:pPr>
              <w:widowControl/>
              <w:jc w:val="left"/>
              <w:rPr>
                <w:rFonts w:hint="eastAsia" w:ascii="宋体" w:hAnsi="宋体" w:eastAsia="宋体"/>
                <w:color w:val="000000"/>
                <w:kern w:val="0"/>
                <w:sz w:val="16"/>
                <w:szCs w:val="16"/>
                <w:lang w:eastAsia="zh-CN"/>
              </w:rPr>
            </w:pPr>
            <w:r>
              <w:rPr>
                <w:rFonts w:hint="eastAsia" w:ascii="宋体" w:hAnsi="宋体"/>
                <w:color w:val="000000"/>
                <w:kern w:val="0"/>
                <w:sz w:val="16"/>
                <w:szCs w:val="16"/>
              </w:rPr>
              <w:t>存在问题①公共卫生人员编制严重不足。按照省核定的人员编制，我县乡镇卫生院普遍空编，人员缺口较大。妇幼保健、儿童保健等公共卫生服务人员短缺，难以满足工作需要。</w:t>
            </w:r>
          </w:p>
          <w:p w14:paraId="1DE491F9">
            <w:pPr>
              <w:widowControl/>
              <w:jc w:val="left"/>
              <w:rPr>
                <w:rFonts w:hint="eastAsia" w:ascii="宋体" w:hAnsi="宋体" w:eastAsia="宋体"/>
                <w:color w:val="000000"/>
                <w:kern w:val="0"/>
                <w:sz w:val="16"/>
                <w:szCs w:val="16"/>
                <w:lang w:eastAsia="zh-CN"/>
              </w:rPr>
            </w:pPr>
            <w:r>
              <w:rPr>
                <w:rFonts w:hint="eastAsia" w:ascii="宋体" w:hAnsi="宋体"/>
                <w:color w:val="000000"/>
                <w:kern w:val="0"/>
                <w:sz w:val="16"/>
                <w:szCs w:val="16"/>
              </w:rPr>
              <w:t>②基层卫生人员相关专业培训不足，继续教育滞后，部分从业人员综合素质偏低，责任心不强，履职不到位，难以高质量做好基本公共卫生服务工作。    整改措施：1.不断完善公卫人力资源的建设.</w:t>
            </w:r>
          </w:p>
          <w:p w14:paraId="3D5FFD48">
            <w:pPr>
              <w:widowControl/>
              <w:jc w:val="left"/>
              <w:rPr>
                <w:rFonts w:hint="eastAsia" w:ascii="宋体" w:hAnsi="宋体" w:eastAsia="宋体"/>
                <w:color w:val="000000"/>
                <w:kern w:val="0"/>
                <w:sz w:val="16"/>
                <w:szCs w:val="16"/>
                <w:lang w:eastAsia="zh-CN"/>
              </w:rPr>
            </w:pPr>
            <w:r>
              <w:rPr>
                <w:rFonts w:hint="eastAsia" w:ascii="宋体" w:hAnsi="宋体"/>
                <w:color w:val="000000"/>
                <w:kern w:val="0"/>
                <w:sz w:val="16"/>
                <w:szCs w:val="16"/>
              </w:rPr>
              <w:t>2.投入资金,完善公共卫生各专线所缺设备.</w:t>
            </w:r>
          </w:p>
          <w:p w14:paraId="7A161E99">
            <w:pPr>
              <w:widowControl/>
              <w:jc w:val="left"/>
              <w:rPr>
                <w:rFonts w:ascii="宋体" w:hAnsi="宋体"/>
                <w:color w:val="000000"/>
                <w:kern w:val="0"/>
                <w:sz w:val="16"/>
                <w:szCs w:val="16"/>
              </w:rPr>
            </w:pPr>
            <w:r>
              <w:rPr>
                <w:rFonts w:hint="eastAsia" w:ascii="宋体" w:hAnsi="宋体"/>
                <w:color w:val="000000"/>
                <w:kern w:val="0"/>
                <w:sz w:val="16"/>
                <w:szCs w:val="16"/>
              </w:rPr>
              <w:t>3.与门诊、网络化工作联动，把建立辖区居民健康档案工作、更新居民资料作为中心工作的重点，明确责任分工，细化工作措施，确保居民健康档案信息及时更新。</w:t>
            </w:r>
          </w:p>
        </w:tc>
      </w:tr>
      <w:tr w14:paraId="5B31DEE2">
        <w:tblPrEx>
          <w:tblCellMar>
            <w:top w:w="0" w:type="dxa"/>
            <w:left w:w="108" w:type="dxa"/>
            <w:bottom w:w="0" w:type="dxa"/>
            <w:right w:w="108" w:type="dxa"/>
          </w:tblCellMar>
        </w:tblPrEx>
        <w:trPr>
          <w:trHeight w:val="270" w:hRule="atLeast"/>
        </w:trPr>
        <w:tc>
          <w:tcPr>
            <w:tcW w:w="1630" w:type="dxa"/>
            <w:tcBorders>
              <w:top w:val="nil"/>
              <w:left w:val="nil"/>
              <w:bottom w:val="nil"/>
              <w:right w:val="nil"/>
            </w:tcBorders>
            <w:shd w:val="clear" w:color="auto" w:fill="auto"/>
            <w:noWrap/>
            <w:vAlign w:val="center"/>
          </w:tcPr>
          <w:p w14:paraId="3F7D7CCF">
            <w:pPr>
              <w:widowControl/>
              <w:jc w:val="left"/>
              <w:rPr>
                <w:rFonts w:ascii="宋体" w:hAnsi="宋体"/>
                <w:color w:val="000000"/>
                <w:kern w:val="0"/>
                <w:sz w:val="16"/>
                <w:szCs w:val="16"/>
              </w:rPr>
            </w:pPr>
            <w:r>
              <w:rPr>
                <w:rFonts w:hint="eastAsia" w:ascii="宋体" w:hAnsi="宋体"/>
                <w:color w:val="000000"/>
                <w:kern w:val="0"/>
                <w:sz w:val="16"/>
                <w:szCs w:val="16"/>
              </w:rPr>
              <w:t>评价组人员（姓名）：</w:t>
            </w:r>
          </w:p>
        </w:tc>
        <w:tc>
          <w:tcPr>
            <w:tcW w:w="2220" w:type="dxa"/>
            <w:gridSpan w:val="3"/>
            <w:tcBorders>
              <w:top w:val="single" w:color="000000" w:sz="4" w:space="0"/>
              <w:left w:val="nil"/>
              <w:bottom w:val="nil"/>
              <w:right w:val="nil"/>
            </w:tcBorders>
            <w:shd w:val="clear" w:color="auto" w:fill="auto"/>
            <w:noWrap/>
            <w:vAlign w:val="center"/>
          </w:tcPr>
          <w:p w14:paraId="21F5E54A">
            <w:pPr>
              <w:widowControl/>
              <w:jc w:val="left"/>
              <w:rPr>
                <w:rFonts w:ascii="宋体" w:hAnsi="宋体"/>
                <w:color w:val="000000"/>
                <w:kern w:val="0"/>
                <w:sz w:val="16"/>
                <w:szCs w:val="16"/>
              </w:rPr>
            </w:pPr>
            <w:r>
              <w:rPr>
                <w:rFonts w:hint="eastAsia" w:ascii="宋体" w:hAnsi="宋体"/>
                <w:color w:val="000000"/>
                <w:kern w:val="0"/>
                <w:sz w:val="16"/>
                <w:szCs w:val="16"/>
              </w:rPr>
              <w:t>王瑞勇 杨海军 梁天坤</w:t>
            </w:r>
          </w:p>
        </w:tc>
        <w:tc>
          <w:tcPr>
            <w:tcW w:w="760" w:type="dxa"/>
            <w:tcBorders>
              <w:top w:val="nil"/>
              <w:left w:val="nil"/>
              <w:bottom w:val="nil"/>
              <w:right w:val="nil"/>
            </w:tcBorders>
            <w:shd w:val="clear" w:color="auto" w:fill="auto"/>
            <w:noWrap/>
            <w:vAlign w:val="center"/>
          </w:tcPr>
          <w:p w14:paraId="785069A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884" w:type="dxa"/>
            <w:tcBorders>
              <w:top w:val="nil"/>
              <w:left w:val="nil"/>
              <w:bottom w:val="nil"/>
              <w:right w:val="nil"/>
            </w:tcBorders>
            <w:shd w:val="clear" w:color="auto" w:fill="auto"/>
            <w:noWrap/>
            <w:vAlign w:val="center"/>
          </w:tcPr>
          <w:p w14:paraId="7F2278B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80" w:type="dxa"/>
            <w:tcBorders>
              <w:top w:val="nil"/>
              <w:left w:val="nil"/>
              <w:bottom w:val="nil"/>
              <w:right w:val="nil"/>
            </w:tcBorders>
            <w:shd w:val="clear" w:color="auto" w:fill="auto"/>
            <w:noWrap/>
            <w:vAlign w:val="center"/>
          </w:tcPr>
          <w:p w14:paraId="237D0B1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20" w:type="dxa"/>
            <w:tcBorders>
              <w:top w:val="nil"/>
              <w:left w:val="nil"/>
              <w:bottom w:val="nil"/>
              <w:right w:val="nil"/>
            </w:tcBorders>
            <w:shd w:val="clear" w:color="auto" w:fill="auto"/>
            <w:noWrap/>
            <w:vAlign w:val="center"/>
          </w:tcPr>
          <w:p w14:paraId="1940E2E3">
            <w:pPr>
              <w:widowControl/>
              <w:jc w:val="left"/>
              <w:rPr>
                <w:rFonts w:ascii="宋体" w:hAnsi="宋体"/>
                <w:color w:val="000000"/>
                <w:kern w:val="0"/>
                <w:sz w:val="16"/>
                <w:szCs w:val="16"/>
              </w:rPr>
            </w:pPr>
            <w:r>
              <w:rPr>
                <w:rFonts w:hint="eastAsia" w:ascii="宋体" w:hAnsi="宋体"/>
                <w:color w:val="000000"/>
                <w:kern w:val="0"/>
                <w:sz w:val="16"/>
                <w:szCs w:val="16"/>
              </w:rPr>
              <w:t>联系电话：</w:t>
            </w:r>
          </w:p>
        </w:tc>
        <w:tc>
          <w:tcPr>
            <w:tcW w:w="1386" w:type="dxa"/>
            <w:gridSpan w:val="2"/>
            <w:tcBorders>
              <w:top w:val="nil"/>
              <w:left w:val="nil"/>
              <w:bottom w:val="nil"/>
              <w:right w:val="nil"/>
            </w:tcBorders>
            <w:shd w:val="clear" w:color="auto" w:fill="auto"/>
            <w:noWrap/>
            <w:vAlign w:val="center"/>
          </w:tcPr>
          <w:p w14:paraId="1403C523">
            <w:pPr>
              <w:widowControl/>
              <w:jc w:val="left"/>
              <w:rPr>
                <w:rFonts w:ascii="宋体" w:hAnsi="宋体"/>
                <w:color w:val="000000"/>
                <w:kern w:val="0"/>
                <w:sz w:val="16"/>
                <w:szCs w:val="16"/>
              </w:rPr>
            </w:pPr>
            <w:r>
              <w:rPr>
                <w:rFonts w:hint="eastAsia" w:ascii="宋体" w:hAnsi="宋体"/>
                <w:color w:val="000000"/>
                <w:kern w:val="0"/>
                <w:sz w:val="16"/>
                <w:szCs w:val="16"/>
              </w:rPr>
              <w:t>5860506</w:t>
            </w:r>
          </w:p>
        </w:tc>
      </w:tr>
    </w:tbl>
    <w:p w14:paraId="3E68B23F">
      <w:pPr>
        <w:widowControl/>
        <w:adjustRightInd w:val="0"/>
        <w:snapToGrid w:val="0"/>
        <w:spacing w:line="348" w:lineRule="auto"/>
        <w:rPr>
          <w:rFonts w:ascii="仿宋_GB2312" w:hAnsi="宋体" w:eastAsia="仿宋_GB2312"/>
          <w:color w:val="000000"/>
          <w:kern w:val="0"/>
          <w:sz w:val="32"/>
          <w:szCs w:val="32"/>
        </w:rPr>
      </w:pPr>
    </w:p>
    <w:p w14:paraId="21009148">
      <w:pPr>
        <w:adjustRightInd w:val="0"/>
        <w:snapToGrid w:val="0"/>
        <w:spacing w:line="580" w:lineRule="exact"/>
        <w:ind w:left="420" w:leftChars="200" w:firstLine="321" w:firstLineChars="1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tbl>
      <w:tblPr>
        <w:tblStyle w:val="5"/>
        <w:tblW w:w="9513" w:type="dxa"/>
        <w:tblInd w:w="93" w:type="dxa"/>
        <w:tblLayout w:type="autofit"/>
        <w:tblCellMar>
          <w:top w:w="0" w:type="dxa"/>
          <w:left w:w="108" w:type="dxa"/>
          <w:bottom w:w="0" w:type="dxa"/>
          <w:right w:w="108" w:type="dxa"/>
        </w:tblCellMar>
      </w:tblPr>
      <w:tblGrid>
        <w:gridCol w:w="9513"/>
      </w:tblGrid>
      <w:tr w14:paraId="00E284C5">
        <w:tblPrEx>
          <w:tblCellMar>
            <w:top w:w="0" w:type="dxa"/>
            <w:left w:w="108" w:type="dxa"/>
            <w:bottom w:w="0" w:type="dxa"/>
            <w:right w:w="108" w:type="dxa"/>
          </w:tblCellMar>
        </w:tblPrEx>
        <w:trPr>
          <w:trHeight w:val="540" w:hRule="atLeast"/>
        </w:trPr>
        <w:tc>
          <w:tcPr>
            <w:tcW w:w="9513" w:type="dxa"/>
            <w:tcBorders>
              <w:top w:val="nil"/>
              <w:left w:val="nil"/>
              <w:bottom w:val="nil"/>
              <w:right w:val="nil"/>
            </w:tcBorders>
            <w:shd w:val="clear" w:color="auto" w:fill="auto"/>
            <w:noWrap/>
            <w:vAlign w:val="bottom"/>
          </w:tcPr>
          <w:p w14:paraId="705EAB79">
            <w:pPr>
              <w:widowControl/>
              <w:ind w:firstLine="560" w:firstLineChars="200"/>
              <w:rPr>
                <w:rFonts w:ascii="宋体" w:hAnsi="宋体" w:cs="Arial"/>
                <w:color w:val="000000"/>
                <w:kern w:val="0"/>
                <w:sz w:val="28"/>
                <w:szCs w:val="28"/>
              </w:rPr>
            </w:pPr>
            <w:r>
              <w:rPr>
                <w:rFonts w:hint="eastAsia" w:ascii="宋体" w:hAnsi="宋体" w:cs="Arial"/>
                <w:color w:val="000000"/>
                <w:kern w:val="0"/>
                <w:sz w:val="28"/>
                <w:szCs w:val="28"/>
              </w:rPr>
              <w:t>基本完成本年预算，很好执行项目安排,总体评分78.5分。</w:t>
            </w:r>
          </w:p>
        </w:tc>
      </w:tr>
    </w:tbl>
    <w:p w14:paraId="3DA9CB26">
      <w:pPr>
        <w:adjustRightInd w:val="0"/>
        <w:snapToGrid w:val="0"/>
        <w:spacing w:line="580" w:lineRule="exact"/>
        <w:ind w:left="420" w:leftChars="200" w:firstLine="320" w:firstLineChars="100"/>
        <w:rPr>
          <w:rFonts w:hint="eastAsia" w:ascii="仿宋_GB2312" w:hAnsi="仿宋_GB2312" w:eastAsia="仿宋" w:cs="仿宋_GB2312"/>
          <w:sz w:val="32"/>
          <w:szCs w:val="32"/>
        </w:rPr>
      </w:pPr>
      <w:r>
        <w:rPr>
          <w:rFonts w:hint="eastAsia" w:ascii="黑体" w:eastAsia="黑体" w:cs="Times New Roman"/>
          <w:sz w:val="32"/>
          <w:szCs w:val="32"/>
        </w:rPr>
        <w:t>七、机关运行经费情况</w:t>
      </w:r>
    </w:p>
    <w:p w14:paraId="2EDA30B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76.10</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减少11.03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降低12.7</w:t>
      </w:r>
      <w:r>
        <w:rPr>
          <w:rFonts w:hint="eastAsia" w:ascii="仿宋_GB2312" w:hAnsi="Times New Roman" w:eastAsia="仿宋" w:cs="DengXian-Regular"/>
          <w:sz w:val="32"/>
          <w:szCs w:val="32"/>
        </w:rPr>
        <w:t>0%。主要原因是本着厉行节约要</w:t>
      </w:r>
    </w:p>
    <w:p w14:paraId="5941F2C3">
      <w:pPr>
        <w:adjustRightInd w:val="0"/>
        <w:snapToGrid w:val="0"/>
        <w:spacing w:line="580" w:lineRule="exact"/>
        <w:rPr>
          <w:rFonts w:ascii="仿宋_GB2312" w:hAnsi="Times New Roman" w:eastAsia="仿宋" w:cs="DengXian-Regular"/>
          <w:sz w:val="32"/>
          <w:szCs w:val="32"/>
        </w:rPr>
      </w:pPr>
      <w:r>
        <w:rPr>
          <w:rFonts w:hint="eastAsia" w:ascii="仿宋_GB2312" w:hAnsi="Times New Roman" w:eastAsia="仿宋" w:cs="DengXian-Regular"/>
          <w:sz w:val="32"/>
          <w:szCs w:val="32"/>
        </w:rPr>
        <w:t>求，严格管理，按照能压就压，能减就减的原则控制一般性支出。</w:t>
      </w:r>
    </w:p>
    <w:p w14:paraId="55529294">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384EDE62">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1005.72</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政府采购货物支出0.00万元、政府采购工程支出1005.72万元、政府采购服务支出0.00万元。授予中小企业合同金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w:t>
      </w:r>
      <w:r>
        <w:rPr>
          <w:rFonts w:hint="eastAsia" w:ascii="仿宋_GB2312" w:hAnsi="仿宋_GB2312" w:eastAsia="仿宋" w:cs="仿宋_GB2312"/>
          <w:color w:val="000000"/>
          <w:kern w:val="0"/>
          <w:sz w:val="32"/>
          <w:szCs w:val="32"/>
        </w:rPr>
        <w:t>0</w:t>
      </w:r>
      <w:r>
        <w:rPr>
          <w:rFonts w:ascii="仿宋_GB2312" w:hAnsi="仿宋_GB2312" w:eastAsia="仿宋" w:cs="仿宋_GB2312"/>
          <w:color w:val="000000"/>
          <w:kern w:val="0"/>
          <w:sz w:val="32"/>
          <w:szCs w:val="32"/>
        </w:rPr>
        <w:t>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w:t>
      </w:r>
      <w:r>
        <w:rPr>
          <w:rFonts w:hint="eastAsia" w:ascii="仿宋_GB2312" w:hAnsi="仿宋_GB2312" w:eastAsia="仿宋" w:cs="仿宋_GB2312"/>
          <w:color w:val="000000"/>
          <w:kern w:val="0"/>
          <w:sz w:val="32"/>
          <w:szCs w:val="32"/>
        </w:rPr>
        <w:t>0</w:t>
      </w:r>
      <w:r>
        <w:rPr>
          <w:rFonts w:ascii="仿宋_GB2312" w:hAnsi="仿宋_GB2312" w:eastAsia="仿宋" w:cs="仿宋_GB2312"/>
          <w:color w:val="000000"/>
          <w:kern w:val="0"/>
          <w:sz w:val="32"/>
          <w:szCs w:val="32"/>
        </w:rPr>
        <w:t>0%。</w:t>
      </w:r>
    </w:p>
    <w:p w14:paraId="104CA3CE">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242901B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88</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增加17</w:t>
      </w:r>
      <w:r>
        <w:rPr>
          <w:rFonts w:hint="eastAsia" w:ascii="仿宋_GB2312" w:hAnsi="Times New Roman" w:eastAsia="仿宋" w:cs="DengXian-Regular"/>
          <w:sz w:val="32"/>
          <w:szCs w:val="32"/>
        </w:rPr>
        <w:t>辆，主要是负压救护车的增加。其中，副部（省）级及以上领导用车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2</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30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55</w:t>
      </w:r>
      <w:r>
        <w:rPr>
          <w:rFonts w:hint="eastAsia" w:ascii="仿宋_GB2312" w:hAnsi="Times New Roman" w:eastAsia="仿宋" w:cs="DengXian-Regular"/>
          <w:sz w:val="32"/>
          <w:szCs w:val="32"/>
        </w:rPr>
        <w:t>辆。其他用车主要是救护车。</w:t>
      </w:r>
    </w:p>
    <w:p w14:paraId="09175983">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17</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减少</w:t>
      </w:r>
      <w:r>
        <w:t xml:space="preserve"> </w:t>
      </w:r>
      <w:r>
        <w:rPr>
          <w:rFonts w:ascii="仿宋_GB2312" w:hAnsi="Times New Roman" w:eastAsia="仿宋" w:cs="DengXian-Regular"/>
          <w:sz w:val="32"/>
          <w:szCs w:val="32"/>
        </w:rPr>
        <w:t>1</w:t>
      </w:r>
      <w:r>
        <w:rPr>
          <w:rFonts w:hint="eastAsia" w:ascii="仿宋_GB2312" w:hAnsi="Times New Roman" w:eastAsia="仿宋" w:cs="DengXian-Regular"/>
          <w:sz w:val="32"/>
          <w:szCs w:val="32"/>
        </w:rPr>
        <w:t>套，主要是妇幼保健院2020年误把救护车填到50万以上的通用设备中，2021年改正；单位价值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61</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增加</w:t>
      </w:r>
      <w:r>
        <w:t xml:space="preserve"> </w:t>
      </w:r>
      <w:r>
        <w:rPr>
          <w:rFonts w:ascii="仿宋_GB2312" w:hAnsi="Times New Roman" w:eastAsia="仿宋" w:cs="DengXian-Regular"/>
          <w:sz w:val="32"/>
          <w:szCs w:val="32"/>
        </w:rPr>
        <w:t>5</w:t>
      </w:r>
      <w:r>
        <w:rPr>
          <w:rFonts w:hint="eastAsia" w:ascii="仿宋_GB2312" w:hAnsi="Times New Roman" w:eastAsia="仿宋" w:cs="DengXian-Regular"/>
          <w:sz w:val="32"/>
          <w:szCs w:val="32"/>
        </w:rPr>
        <w:t>套，主要是县人民医院增加了腹腔镜系统、医用方舱设备、大型c型臂管球、光相干断层扫描仪、智能采血管理系统。</w:t>
      </w:r>
    </w:p>
    <w:p w14:paraId="2EEE4D81">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72B0D72B">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1.本部门2021年度国有资本经营预算经费无收支及结转结余情况, 故公开09表以空表列示。</w:t>
      </w:r>
    </w:p>
    <w:p w14:paraId="7E90931C">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454E6702">
      <w:pPr>
        <w:widowControl/>
        <w:spacing w:line="580" w:lineRule="exact"/>
        <w:ind w:firstLine="883" w:firstLineChars="200"/>
        <w:jc w:val="left"/>
        <w:rPr>
          <w:rFonts w:ascii="宋体" w:hAnsi="宋体" w:cs="MS-UIGothic,Bold"/>
          <w:b/>
          <w:bCs/>
          <w:kern w:val="0"/>
          <w:sz w:val="44"/>
          <w:szCs w:val="44"/>
        </w:rPr>
      </w:pPr>
    </w:p>
    <w:p w14:paraId="5285C874">
      <w:pPr>
        <w:widowControl/>
        <w:jc w:val="left"/>
        <w:rPr>
          <w:rFonts w:ascii="黑体" w:hAnsi="黑体" w:eastAsia="黑体" w:cs="黑体"/>
          <w:color w:val="000000"/>
          <w:sz w:val="44"/>
          <w:szCs w:val="44"/>
        </w:rPr>
      </w:pPr>
    </w:p>
    <w:p w14:paraId="67D3EB33">
      <w:pPr>
        <w:widowControl/>
        <w:jc w:val="center"/>
        <w:rPr>
          <w:rFonts w:ascii="黑体" w:hAnsi="黑体" w:eastAsia="黑体" w:cs="黑体"/>
          <w:color w:val="000000"/>
          <w:sz w:val="44"/>
          <w:szCs w:val="44"/>
        </w:rPr>
      </w:pPr>
    </w:p>
    <w:p w14:paraId="4EC0F6A5">
      <w:pPr>
        <w:widowControl/>
        <w:jc w:val="center"/>
        <w:rPr>
          <w:rFonts w:ascii="黑体" w:hAnsi="黑体" w:eastAsia="黑体" w:cs="黑体"/>
          <w:color w:val="000000"/>
          <w:sz w:val="44"/>
          <w:szCs w:val="44"/>
        </w:rPr>
      </w:pPr>
    </w:p>
    <w:p w14:paraId="283DE8C4">
      <w:pPr>
        <w:widowControl/>
        <w:jc w:val="center"/>
        <w:rPr>
          <w:rFonts w:ascii="黑体" w:hAnsi="黑体" w:eastAsia="黑体" w:cs="黑体"/>
          <w:color w:val="000000"/>
          <w:sz w:val="44"/>
          <w:szCs w:val="44"/>
        </w:rPr>
      </w:pPr>
    </w:p>
    <w:p w14:paraId="4045EB32">
      <w:pPr>
        <w:widowControl/>
        <w:jc w:val="center"/>
        <w:rPr>
          <w:rFonts w:ascii="黑体" w:hAnsi="黑体" w:eastAsia="黑体" w:cs="黑体"/>
          <w:color w:val="000000"/>
          <w:sz w:val="44"/>
          <w:szCs w:val="44"/>
        </w:rPr>
      </w:pPr>
    </w:p>
    <w:p w14:paraId="54E92789">
      <w:pPr>
        <w:widowControl/>
        <w:jc w:val="center"/>
        <w:rPr>
          <w:rFonts w:ascii="黑体" w:hAnsi="黑体" w:eastAsia="黑体" w:cs="黑体"/>
          <w:color w:val="000000"/>
          <w:sz w:val="44"/>
          <w:szCs w:val="44"/>
        </w:rPr>
      </w:pPr>
    </w:p>
    <w:p w14:paraId="156D0F88">
      <w:pPr>
        <w:widowControl/>
        <w:jc w:val="center"/>
        <w:rPr>
          <w:rFonts w:ascii="黑体" w:hAnsi="黑体" w:eastAsia="黑体" w:cs="黑体"/>
          <w:color w:val="000000"/>
          <w:sz w:val="44"/>
          <w:szCs w:val="44"/>
        </w:rPr>
      </w:pPr>
    </w:p>
    <w:p w14:paraId="0C452825">
      <w:pPr>
        <w:widowControl/>
        <w:jc w:val="center"/>
        <w:rPr>
          <w:rFonts w:ascii="黑体" w:hAnsi="黑体" w:eastAsia="黑体" w:cs="黑体"/>
          <w:color w:val="000000"/>
          <w:sz w:val="44"/>
          <w:szCs w:val="44"/>
        </w:rPr>
      </w:pPr>
    </w:p>
    <w:p w14:paraId="2364D9CB">
      <w:pPr>
        <w:widowControl/>
        <w:jc w:val="center"/>
        <w:rPr>
          <w:rFonts w:ascii="黑体" w:hAnsi="黑体" w:eastAsia="黑体" w:cs="黑体"/>
          <w:color w:val="000000"/>
          <w:sz w:val="44"/>
          <w:szCs w:val="44"/>
        </w:rPr>
      </w:pPr>
    </w:p>
    <w:p w14:paraId="69EE85B8">
      <w:pPr>
        <w:widowControl/>
        <w:jc w:val="center"/>
        <w:rPr>
          <w:rFonts w:ascii="黑体" w:hAnsi="黑体" w:eastAsia="黑体" w:cs="黑体"/>
          <w:color w:val="000000"/>
          <w:sz w:val="44"/>
          <w:szCs w:val="44"/>
        </w:rPr>
      </w:pPr>
    </w:p>
    <w:p w14:paraId="3A450C02">
      <w:pPr>
        <w:widowControl/>
        <w:jc w:val="center"/>
        <w:rPr>
          <w:rFonts w:ascii="黑体" w:hAnsi="黑体" w:eastAsia="黑体" w:cs="黑体"/>
          <w:color w:val="000000"/>
          <w:sz w:val="44"/>
          <w:szCs w:val="44"/>
        </w:rPr>
      </w:pPr>
    </w:p>
    <w:p w14:paraId="4DB76116">
      <w:pPr>
        <w:widowControl/>
        <w:jc w:val="center"/>
        <w:rPr>
          <w:rFonts w:ascii="黑体" w:hAnsi="黑体" w:eastAsia="黑体" w:cs="黑体"/>
          <w:color w:val="000000"/>
          <w:sz w:val="44"/>
          <w:szCs w:val="44"/>
        </w:rPr>
      </w:pPr>
    </w:p>
    <w:p w14:paraId="2CD14026">
      <w:pPr>
        <w:widowControl/>
        <w:jc w:val="center"/>
        <w:rPr>
          <w:rFonts w:ascii="黑体" w:hAnsi="黑体" w:eastAsia="黑体" w:cs="黑体"/>
          <w:color w:val="000000"/>
          <w:sz w:val="44"/>
          <w:szCs w:val="44"/>
        </w:rPr>
      </w:pPr>
    </w:p>
    <w:p w14:paraId="16A15A5F">
      <w:pPr>
        <w:widowControl/>
        <w:jc w:val="center"/>
        <w:rPr>
          <w:rFonts w:ascii="黑体" w:hAnsi="黑体" w:eastAsia="黑体" w:cs="黑体"/>
          <w:color w:val="000000"/>
          <w:sz w:val="44"/>
          <w:szCs w:val="44"/>
        </w:rPr>
      </w:pPr>
    </w:p>
    <w:p w14:paraId="6A340DDE">
      <w:pPr>
        <w:widowControl/>
        <w:jc w:val="center"/>
        <w:rPr>
          <w:rFonts w:ascii="黑体" w:hAnsi="黑体" w:eastAsia="黑体" w:cs="黑体"/>
          <w:color w:val="000000"/>
          <w:sz w:val="44"/>
          <w:szCs w:val="44"/>
        </w:rPr>
      </w:pPr>
    </w:p>
    <w:p w14:paraId="1B450294">
      <w:pPr>
        <w:widowControl/>
        <w:jc w:val="center"/>
        <w:rPr>
          <w:rFonts w:hint="eastAsia" w:ascii="黑体" w:hAnsi="黑体" w:eastAsia="黑体" w:cs="黑体"/>
          <w:color w:val="000000"/>
          <w:sz w:val="44"/>
          <w:szCs w:val="44"/>
        </w:rPr>
      </w:pPr>
    </w:p>
    <w:p w14:paraId="0F5A235D">
      <w:pPr>
        <w:widowControl/>
        <w:jc w:val="center"/>
        <w:rPr>
          <w:rFonts w:hint="eastAsia" w:ascii="黑体" w:hAnsi="黑体" w:eastAsia="黑体" w:cs="黑体"/>
          <w:color w:val="000000"/>
          <w:sz w:val="44"/>
          <w:szCs w:val="44"/>
        </w:rPr>
      </w:pPr>
    </w:p>
    <w:p w14:paraId="5F34C556">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84864" behindDoc="0" locked="0" layoutInCell="1" allowOverlap="1">
            <wp:simplePos x="0" y="0"/>
            <wp:positionH relativeFrom="column">
              <wp:posOffset>762000</wp:posOffset>
            </wp:positionH>
            <wp:positionV relativeFrom="margin">
              <wp:posOffset>-13335</wp:posOffset>
            </wp:positionV>
            <wp:extent cx="650875" cy="638175"/>
            <wp:effectExtent l="19050" t="0" r="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1" cstate="print"/>
                    <a:srcRect/>
                    <a:stretch>
                      <a:fillRect/>
                    </a:stretch>
                  </pic:blipFill>
                  <pic:spPr>
                    <a:xfrm>
                      <a:off x="0" y="0"/>
                      <a:ext cx="650875" cy="638175"/>
                    </a:xfrm>
                    <a:prstGeom prst="rect">
                      <a:avLst/>
                    </a:prstGeom>
                  </pic:spPr>
                </pic:pic>
              </a:graphicData>
            </a:graphic>
          </wp:anchor>
        </w:drawing>
      </w:r>
      <w:r>
        <w:rPr>
          <w:rFonts w:hint="eastAsia" w:ascii="黑体" w:hAnsi="黑体" w:eastAsia="黑体" w:cs="黑体"/>
          <w:color w:val="000000"/>
          <w:sz w:val="44"/>
          <w:szCs w:val="44"/>
        </w:rPr>
        <w:t>第四部分 相关名词解释</w:t>
      </w:r>
    </w:p>
    <w:p w14:paraId="6C008C91">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47FD30FB">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7F535C7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0DE5F75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59F45E0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49C075B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22AF951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6EA1C6F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72CE021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78513DBE">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3F7C48B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4BF8BA6">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11C31CAF">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51AEE07C">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1BF7A05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0C9CD21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720A074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810975F">
      <w:pPr>
        <w:tabs>
          <w:tab w:val="left" w:pos="235"/>
        </w:tabs>
        <w:spacing w:line="560" w:lineRule="exact"/>
        <w:ind w:firstLine="643" w:firstLineChars="200"/>
        <w:jc w:val="left"/>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p w14:paraId="291824E8">
      <w:pPr>
        <w:tabs>
          <w:tab w:val="left" w:pos="235"/>
        </w:tabs>
        <w:spacing w:line="560" w:lineRule="exact"/>
        <w:ind w:firstLine="643" w:firstLineChars="200"/>
        <w:jc w:val="left"/>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 xml:space="preserve">（十八 ）医疗卫生与计划生育支出: </w:t>
      </w:r>
      <w:r>
        <w:rPr>
          <w:rFonts w:hint="eastAsia" w:ascii="仿宋_GB2312" w:hAnsi="宋体" w:eastAsia="仿宋" w:cs="Times New Roman"/>
          <w:color w:val="000000"/>
          <w:kern w:val="0"/>
          <w:sz w:val="32"/>
          <w:szCs w:val="32"/>
        </w:rPr>
        <w:t>:反应医疗卫生与计划生育、中医等管理事务方面的支出。</w:t>
      </w:r>
    </w:p>
    <w:p w14:paraId="3AE48E0B">
      <w:pPr>
        <w:tabs>
          <w:tab w:val="left" w:pos="235"/>
        </w:tabs>
        <w:spacing w:line="560" w:lineRule="exact"/>
        <w:ind w:firstLine="643" w:firstLineChars="200"/>
        <w:jc w:val="left"/>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（十九 ）住房保障支出 （ 类 ） 住房改革支出 （ 款 ） ：</w:t>
      </w:r>
      <w:r>
        <w:rPr>
          <w:rFonts w:hint="eastAsia" w:ascii="仿宋_GB2312" w:hAnsi="宋体" w:eastAsia="仿宋" w:cs="Times New Roman"/>
          <w:color w:val="000000"/>
          <w:kern w:val="0"/>
          <w:sz w:val="32"/>
          <w:szCs w:val="32"/>
        </w:rPr>
        <w:t>住房公积金（项）是按照《住房公积金管理条例》的规定，由单位及其在职职工缴存的长期住房储金。该项政策始于上世纪九十年代中期，在全国机关、企事业单位在职职工中普遍实施，最低不低于5%，最高不超过 12%，缴存基数为职工本人上年工资，目前已实施近 20 年时间。目前，我单位和职工的缴存比例为 8%。</w:t>
      </w:r>
    </w:p>
    <w:p w14:paraId="526FE281">
      <w:pPr>
        <w:tabs>
          <w:tab w:val="left" w:pos="235"/>
        </w:tabs>
        <w:spacing w:line="560" w:lineRule="exact"/>
        <w:ind w:firstLine="420" w:firstLineChars="200"/>
        <w:jc w:val="left"/>
      </w:pPr>
    </w:p>
    <w:sectPr>
      <w:pgSz w:w="11906" w:h="16838"/>
      <w:pgMar w:top="1134" w:right="1531" w:bottom="1208" w:left="1531" w:header="0" w:footer="510" w:gutter="0"/>
      <w:pgNumType w:fmt="numberInDash"/>
      <w:cols w:space="425" w:num="1"/>
      <w:vAlign w:val="center"/>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61B29109">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14:paraId="5134069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55D77CE0">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39 -</w:t>
        </w:r>
        <w:r>
          <w:rPr>
            <w:rFonts w:ascii="Batang" w:hAnsi="Batang" w:eastAsia="Batang"/>
            <w:sz w:val="21"/>
            <w:szCs w:val="21"/>
          </w:rPr>
          <w:fldChar w:fldCharType="end"/>
        </w:r>
      </w:p>
    </w:sdtContent>
  </w:sdt>
  <w:p w14:paraId="17DF9887">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06AA07DA">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11 -</w:t>
        </w:r>
        <w:r>
          <w:rPr>
            <w:rFonts w:ascii="Batang" w:hAnsi="Batang" w:eastAsia="Batang"/>
            <w:sz w:val="21"/>
            <w:szCs w:val="21"/>
          </w:rPr>
          <w:fldChar w:fldCharType="end"/>
        </w:r>
      </w:p>
    </w:sdtContent>
  </w:sdt>
  <w:p w14:paraId="5F9C498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14F2">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4A62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1342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MSwiaGRpZCI6ImZhODI4ZDM2ZTA3OTlkOTNiZjA3MjIxNDVhZjY0NzU5IiwidXNlckNvdW50IjoxfQ=="/>
  </w:docVars>
  <w:rsids>
    <w:rsidRoot w:val="00F73F83"/>
    <w:rsid w:val="00002FE6"/>
    <w:rsid w:val="00020055"/>
    <w:rsid w:val="00027377"/>
    <w:rsid w:val="000343A8"/>
    <w:rsid w:val="0004064B"/>
    <w:rsid w:val="00045945"/>
    <w:rsid w:val="00071F7C"/>
    <w:rsid w:val="00084C86"/>
    <w:rsid w:val="00090B7D"/>
    <w:rsid w:val="000A7A9D"/>
    <w:rsid w:val="000B628D"/>
    <w:rsid w:val="000C1F60"/>
    <w:rsid w:val="000D1FD2"/>
    <w:rsid w:val="000E152C"/>
    <w:rsid w:val="000E5C3D"/>
    <w:rsid w:val="00106D6A"/>
    <w:rsid w:val="001407F1"/>
    <w:rsid w:val="00142DF1"/>
    <w:rsid w:val="001749CE"/>
    <w:rsid w:val="00186698"/>
    <w:rsid w:val="001A180D"/>
    <w:rsid w:val="001A1C68"/>
    <w:rsid w:val="001C08F6"/>
    <w:rsid w:val="001D0646"/>
    <w:rsid w:val="001D4A8F"/>
    <w:rsid w:val="001E3E9F"/>
    <w:rsid w:val="0021275C"/>
    <w:rsid w:val="0021622B"/>
    <w:rsid w:val="0022317E"/>
    <w:rsid w:val="00232C16"/>
    <w:rsid w:val="00267837"/>
    <w:rsid w:val="00275C4C"/>
    <w:rsid w:val="00283DAC"/>
    <w:rsid w:val="002A3B6B"/>
    <w:rsid w:val="002C15D2"/>
    <w:rsid w:val="002D03AB"/>
    <w:rsid w:val="002E657E"/>
    <w:rsid w:val="002E7495"/>
    <w:rsid w:val="002F3E25"/>
    <w:rsid w:val="003003D7"/>
    <w:rsid w:val="00310D1E"/>
    <w:rsid w:val="003152B7"/>
    <w:rsid w:val="0032404C"/>
    <w:rsid w:val="003512E0"/>
    <w:rsid w:val="003A0921"/>
    <w:rsid w:val="003A71A6"/>
    <w:rsid w:val="003E7FED"/>
    <w:rsid w:val="003F01D0"/>
    <w:rsid w:val="0040158C"/>
    <w:rsid w:val="004153AB"/>
    <w:rsid w:val="00431BB6"/>
    <w:rsid w:val="00435E51"/>
    <w:rsid w:val="00437142"/>
    <w:rsid w:val="0044343F"/>
    <w:rsid w:val="00444345"/>
    <w:rsid w:val="00456E65"/>
    <w:rsid w:val="004779DD"/>
    <w:rsid w:val="00491411"/>
    <w:rsid w:val="004954B4"/>
    <w:rsid w:val="00496E97"/>
    <w:rsid w:val="004A1033"/>
    <w:rsid w:val="004A1857"/>
    <w:rsid w:val="004A7FD8"/>
    <w:rsid w:val="004B178A"/>
    <w:rsid w:val="004C420F"/>
    <w:rsid w:val="004E4B21"/>
    <w:rsid w:val="004E6115"/>
    <w:rsid w:val="004F7963"/>
    <w:rsid w:val="005079D8"/>
    <w:rsid w:val="0054483B"/>
    <w:rsid w:val="00546B8F"/>
    <w:rsid w:val="00551C9B"/>
    <w:rsid w:val="005645C1"/>
    <w:rsid w:val="00572D3B"/>
    <w:rsid w:val="005772C0"/>
    <w:rsid w:val="005803B8"/>
    <w:rsid w:val="005900FA"/>
    <w:rsid w:val="005A3F94"/>
    <w:rsid w:val="005A47BB"/>
    <w:rsid w:val="005B0298"/>
    <w:rsid w:val="005D23F6"/>
    <w:rsid w:val="005D451A"/>
    <w:rsid w:val="005D4FD8"/>
    <w:rsid w:val="00604C73"/>
    <w:rsid w:val="00624BBA"/>
    <w:rsid w:val="006414E7"/>
    <w:rsid w:val="006537E6"/>
    <w:rsid w:val="0066677D"/>
    <w:rsid w:val="0068212C"/>
    <w:rsid w:val="006A0261"/>
    <w:rsid w:val="006A3C1F"/>
    <w:rsid w:val="00707642"/>
    <w:rsid w:val="00776995"/>
    <w:rsid w:val="00793920"/>
    <w:rsid w:val="00794FD2"/>
    <w:rsid w:val="007977FC"/>
    <w:rsid w:val="007A3B00"/>
    <w:rsid w:val="007A3EBA"/>
    <w:rsid w:val="007A7A0A"/>
    <w:rsid w:val="007B0E64"/>
    <w:rsid w:val="007C22F8"/>
    <w:rsid w:val="007C5136"/>
    <w:rsid w:val="007D393D"/>
    <w:rsid w:val="007D6E48"/>
    <w:rsid w:val="007E0FD9"/>
    <w:rsid w:val="007E473A"/>
    <w:rsid w:val="007F7B0D"/>
    <w:rsid w:val="00814B22"/>
    <w:rsid w:val="00831F2E"/>
    <w:rsid w:val="00856AE4"/>
    <w:rsid w:val="0087739F"/>
    <w:rsid w:val="00890D6E"/>
    <w:rsid w:val="00892D76"/>
    <w:rsid w:val="0089588E"/>
    <w:rsid w:val="00897AF5"/>
    <w:rsid w:val="008A3227"/>
    <w:rsid w:val="008A3A95"/>
    <w:rsid w:val="008B150B"/>
    <w:rsid w:val="008B2C24"/>
    <w:rsid w:val="008D4A9C"/>
    <w:rsid w:val="008F299B"/>
    <w:rsid w:val="00903138"/>
    <w:rsid w:val="00914B84"/>
    <w:rsid w:val="009151A5"/>
    <w:rsid w:val="00925808"/>
    <w:rsid w:val="00926CA4"/>
    <w:rsid w:val="00932DD0"/>
    <w:rsid w:val="00933E84"/>
    <w:rsid w:val="0095463C"/>
    <w:rsid w:val="009603D3"/>
    <w:rsid w:val="00962748"/>
    <w:rsid w:val="0096601A"/>
    <w:rsid w:val="009700E0"/>
    <w:rsid w:val="00977DF8"/>
    <w:rsid w:val="00984401"/>
    <w:rsid w:val="009C6CBF"/>
    <w:rsid w:val="009E285E"/>
    <w:rsid w:val="009E4245"/>
    <w:rsid w:val="00A27817"/>
    <w:rsid w:val="00A31AAA"/>
    <w:rsid w:val="00A34545"/>
    <w:rsid w:val="00A379B7"/>
    <w:rsid w:val="00A56ACB"/>
    <w:rsid w:val="00A5734C"/>
    <w:rsid w:val="00A76C71"/>
    <w:rsid w:val="00AC06DB"/>
    <w:rsid w:val="00AF716B"/>
    <w:rsid w:val="00B00B79"/>
    <w:rsid w:val="00B0650E"/>
    <w:rsid w:val="00B06560"/>
    <w:rsid w:val="00B123CB"/>
    <w:rsid w:val="00B3128E"/>
    <w:rsid w:val="00B34C8D"/>
    <w:rsid w:val="00B3503C"/>
    <w:rsid w:val="00B42AD3"/>
    <w:rsid w:val="00B44973"/>
    <w:rsid w:val="00B507E6"/>
    <w:rsid w:val="00B64AD8"/>
    <w:rsid w:val="00B85367"/>
    <w:rsid w:val="00B936AD"/>
    <w:rsid w:val="00BB2ABC"/>
    <w:rsid w:val="00C14493"/>
    <w:rsid w:val="00C61CFF"/>
    <w:rsid w:val="00C725F1"/>
    <w:rsid w:val="00C72E33"/>
    <w:rsid w:val="00CB1037"/>
    <w:rsid w:val="00CC4FDE"/>
    <w:rsid w:val="00CD03A9"/>
    <w:rsid w:val="00CE4E8F"/>
    <w:rsid w:val="00CE7909"/>
    <w:rsid w:val="00D02E44"/>
    <w:rsid w:val="00D0390D"/>
    <w:rsid w:val="00D21F27"/>
    <w:rsid w:val="00D22241"/>
    <w:rsid w:val="00D34272"/>
    <w:rsid w:val="00D4237E"/>
    <w:rsid w:val="00D434A9"/>
    <w:rsid w:val="00D4463D"/>
    <w:rsid w:val="00D51065"/>
    <w:rsid w:val="00D76ECA"/>
    <w:rsid w:val="00D97DDE"/>
    <w:rsid w:val="00DA48FD"/>
    <w:rsid w:val="00DB3CEE"/>
    <w:rsid w:val="00DD00B3"/>
    <w:rsid w:val="00E068EA"/>
    <w:rsid w:val="00E1386D"/>
    <w:rsid w:val="00E20514"/>
    <w:rsid w:val="00E24A2B"/>
    <w:rsid w:val="00E32A76"/>
    <w:rsid w:val="00E73C82"/>
    <w:rsid w:val="00E7597B"/>
    <w:rsid w:val="00E82D3E"/>
    <w:rsid w:val="00E90B9F"/>
    <w:rsid w:val="00EA0DAC"/>
    <w:rsid w:val="00EA3336"/>
    <w:rsid w:val="00EA5CC4"/>
    <w:rsid w:val="00EA781A"/>
    <w:rsid w:val="00EB0B87"/>
    <w:rsid w:val="00EC0D10"/>
    <w:rsid w:val="00F03B3E"/>
    <w:rsid w:val="00F1340E"/>
    <w:rsid w:val="00F13E91"/>
    <w:rsid w:val="00F51FFA"/>
    <w:rsid w:val="00F65902"/>
    <w:rsid w:val="00F707AD"/>
    <w:rsid w:val="00F7099F"/>
    <w:rsid w:val="00F73F83"/>
    <w:rsid w:val="00F9362C"/>
    <w:rsid w:val="00FA1538"/>
    <w:rsid w:val="00FD4BAC"/>
    <w:rsid w:val="00FD6988"/>
    <w:rsid w:val="00FF23E0"/>
    <w:rsid w:val="00FF3494"/>
    <w:rsid w:val="08F875E0"/>
    <w:rsid w:val="13D318C3"/>
    <w:rsid w:val="33A62DC5"/>
    <w:rsid w:val="430C1F5B"/>
    <w:rsid w:val="4480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qFormat/>
    <w:uiPriority w:val="99"/>
    <w:rPr>
      <w:kern w:val="2"/>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2.png"/><Relationship Id="rId30" Type="http://schemas.openxmlformats.org/officeDocument/2006/relationships/image" Target="media/image21.emf"/><Relationship Id="rId3" Type="http://schemas.openxmlformats.org/officeDocument/2006/relationships/footer" Target="foot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41</Pages>
  <Words>8714</Words>
  <Characters>9865</Characters>
  <Lines>104</Lines>
  <Paragraphs>29</Paragraphs>
  <TotalTime>0</TotalTime>
  <ScaleCrop>false</ScaleCrop>
  <LinksUpToDate>false</LinksUpToDate>
  <CharactersWithSpaces>9966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2022-09-25T16:16:00Z</dcterms:created>
  <dc:creator>王明新TIAD</dc:creator>
  <cp:lastModifiedBy>随缘</cp:lastModifiedBy>
  <dcterms:modified xsi:type="dcterms:W3CDTF">2025-07-29T08:32:25Z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v1.0_mb_S7ajbG3IpAnL1wSthNCxfw==</vt:lpwstr>
  </property>
  <property fmtid="{D5CDD505-2E9C-101B-9397-08002B2CF9AE}" pid="4" name="ICV">
    <vt:lpwstr>1515CEFC20754C3380B382230295B456</vt:lpwstr>
  </property>
  <property fmtid="{D5CDD505-2E9C-101B-9397-08002B2CF9AE}" pid="5" name="KSOTemplateDocerSaveRecord">
    <vt:lpwstr>eyJoZGlkIjoiZGZlMDY1ZDNmOWY2YWY5MDA2NTQ1NjBhMzIwYjlmYzQiLCJ1c2VySWQiOiI5NTgzNTkyODkifQ==</vt:lpwstr>
  </property>
</Properties>
</file>