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6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44"/>
        <w:gridCol w:w="850"/>
        <w:gridCol w:w="1134"/>
        <w:gridCol w:w="3118"/>
        <w:gridCol w:w="1134"/>
        <w:gridCol w:w="964"/>
        <w:gridCol w:w="3968"/>
        <w:gridCol w:w="3402"/>
        <w:gridCol w:w="567"/>
      </w:tblGrid>
      <w:tr w14:paraId="206C6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tblHeader/>
        </w:trPr>
        <w:tc>
          <w:tcPr>
            <w:tcW w:w="544" w:type="dxa"/>
            <w:tcBorders>
              <w:tl2br w:val="nil"/>
              <w:tr2bl w:val="nil"/>
            </w:tcBorders>
            <w:shd w:val="clear" w:color="auto" w:fill="auto"/>
            <w:tcMar>
              <w:left w:w="0" w:type="dxa"/>
              <w:right w:w="0" w:type="dxa"/>
            </w:tcMar>
            <w:vAlign w:val="center"/>
          </w:tcPr>
          <w:p w14:paraId="1B4B2DFF">
            <w:pPr>
              <w:keepNext w:val="0"/>
              <w:keepLines w:val="0"/>
              <w:widowControl/>
              <w:suppressLineNumbers w:val="0"/>
              <w:jc w:val="center"/>
              <w:textAlignment w:val="center"/>
              <w:rPr>
                <w:rFonts w:ascii="黑体" w:eastAsia="黑体" w:cs="黑体"/>
                <w:i w:val="0"/>
                <w:color w:val="000000" w:themeColor="text1"/>
                <w:sz w:val="24"/>
                <w:szCs w:val="24"/>
                <w:u w:val="none"/>
                <w14:textFill>
                  <w14:solidFill>
                    <w14:schemeClr w14:val="tx1"/>
                  </w14:solidFill>
                </w14:textFill>
              </w:rPr>
            </w:pPr>
            <w:r>
              <w:rPr>
                <w:rFonts w:hint="eastAsia" w:ascii="黑体" w:eastAsia="黑体" w:cs="黑体"/>
                <w:i w:val="0"/>
                <w:color w:val="000000" w:themeColor="text1"/>
                <w:kern w:val="0"/>
                <w:sz w:val="24"/>
                <w:szCs w:val="24"/>
                <w:u w:val="none"/>
                <w:lang w:val="en-US" w:eastAsia="zh-CN"/>
                <w14:textFill>
                  <w14:solidFill>
                    <w14:schemeClr w14:val="tx1"/>
                  </w14:solidFill>
                </w14:textFill>
              </w:rPr>
              <w:t>序号</w:t>
            </w:r>
          </w:p>
        </w:tc>
        <w:tc>
          <w:tcPr>
            <w:tcW w:w="850" w:type="dxa"/>
            <w:tcBorders>
              <w:tl2br w:val="nil"/>
              <w:tr2bl w:val="nil"/>
            </w:tcBorders>
            <w:shd w:val="clear" w:color="auto" w:fill="auto"/>
            <w:vAlign w:val="center"/>
          </w:tcPr>
          <w:p w14:paraId="3B4C0B1C">
            <w:pPr>
              <w:keepNext w:val="0"/>
              <w:keepLines w:val="0"/>
              <w:widowControl/>
              <w:suppressLineNumbers w:val="0"/>
              <w:jc w:val="center"/>
              <w:textAlignment w:val="center"/>
              <w:rPr>
                <w:rFonts w:hint="eastAsia" w:ascii="黑体" w:eastAsia="黑体" w:cs="黑体"/>
                <w:i w:val="0"/>
                <w:color w:val="000000" w:themeColor="text1"/>
                <w:sz w:val="24"/>
                <w:szCs w:val="24"/>
                <w:u w:val="none"/>
                <w14:textFill>
                  <w14:solidFill>
                    <w14:schemeClr w14:val="tx1"/>
                  </w14:solidFill>
                </w14:textFill>
              </w:rPr>
            </w:pPr>
            <w:r>
              <w:rPr>
                <w:rFonts w:hint="eastAsia" w:ascii="黑体" w:eastAsia="黑体" w:cs="黑体"/>
                <w:i w:val="0"/>
                <w:color w:val="000000" w:themeColor="text1"/>
                <w:kern w:val="0"/>
                <w:sz w:val="24"/>
                <w:szCs w:val="24"/>
                <w:u w:val="none"/>
                <w:lang w:val="en-US" w:eastAsia="zh-CN"/>
                <w14:textFill>
                  <w14:solidFill>
                    <w14:schemeClr w14:val="tx1"/>
                  </w14:solidFill>
                </w14:textFill>
              </w:rPr>
              <w:t>权力</w:t>
            </w:r>
            <w:r>
              <w:rPr>
                <w:rFonts w:hint="eastAsia" w:ascii="黑体" w:eastAsia="黑体" w:cs="黑体"/>
                <w:i w:val="0"/>
                <w:color w:val="000000" w:themeColor="text1"/>
                <w:kern w:val="0"/>
                <w:sz w:val="24"/>
                <w:szCs w:val="24"/>
                <w:u w:val="none"/>
                <w:lang w:val="en-US" w:eastAsia="zh-CN"/>
                <w14:textFill>
                  <w14:solidFill>
                    <w14:schemeClr w14:val="tx1"/>
                  </w14:solidFill>
                </w14:textFill>
              </w:rPr>
              <w:br w:type="textWrapping"/>
            </w:r>
            <w:r>
              <w:rPr>
                <w:rFonts w:hint="eastAsia" w:ascii="黑体" w:eastAsia="黑体" w:cs="黑体"/>
                <w:i w:val="0"/>
                <w:color w:val="000000" w:themeColor="text1"/>
                <w:kern w:val="0"/>
                <w:sz w:val="24"/>
                <w:szCs w:val="24"/>
                <w:u w:val="none"/>
                <w:lang w:val="en-US" w:eastAsia="zh-CN"/>
                <w14:textFill>
                  <w14:solidFill>
                    <w14:schemeClr w14:val="tx1"/>
                  </w14:solidFill>
                </w14:textFill>
              </w:rPr>
              <w:t>类型</w:t>
            </w:r>
          </w:p>
        </w:tc>
        <w:tc>
          <w:tcPr>
            <w:tcW w:w="1134" w:type="dxa"/>
            <w:tcBorders>
              <w:tl2br w:val="nil"/>
              <w:tr2bl w:val="nil"/>
            </w:tcBorders>
            <w:shd w:val="clear" w:color="auto" w:fill="auto"/>
            <w:vAlign w:val="center"/>
          </w:tcPr>
          <w:p w14:paraId="57815F6D">
            <w:pPr>
              <w:keepNext w:val="0"/>
              <w:keepLines w:val="0"/>
              <w:widowControl/>
              <w:suppressLineNumbers w:val="0"/>
              <w:jc w:val="center"/>
              <w:textAlignment w:val="center"/>
              <w:rPr>
                <w:rFonts w:hint="eastAsia" w:ascii="黑体" w:eastAsia="黑体" w:cs="黑体"/>
                <w:i w:val="0"/>
                <w:color w:val="000000" w:themeColor="text1"/>
                <w:sz w:val="24"/>
                <w:szCs w:val="24"/>
                <w:u w:val="none"/>
                <w14:textFill>
                  <w14:solidFill>
                    <w14:schemeClr w14:val="tx1"/>
                  </w14:solidFill>
                </w14:textFill>
              </w:rPr>
            </w:pPr>
            <w:r>
              <w:rPr>
                <w:rFonts w:hint="eastAsia" w:ascii="黑体" w:eastAsia="黑体" w:cs="黑体"/>
                <w:i w:val="0"/>
                <w:color w:val="000000" w:themeColor="text1"/>
                <w:kern w:val="0"/>
                <w:sz w:val="24"/>
                <w:szCs w:val="24"/>
                <w:u w:val="none"/>
                <w:lang w:val="en-US" w:eastAsia="zh-CN"/>
                <w14:textFill>
                  <w14:solidFill>
                    <w14:schemeClr w14:val="tx1"/>
                  </w14:solidFill>
                </w14:textFill>
              </w:rPr>
              <w:t>权力</w:t>
            </w:r>
            <w:r>
              <w:rPr>
                <w:rFonts w:hint="eastAsia" w:ascii="黑体" w:eastAsia="黑体" w:cs="黑体"/>
                <w:i w:val="0"/>
                <w:color w:val="000000" w:themeColor="text1"/>
                <w:kern w:val="0"/>
                <w:sz w:val="24"/>
                <w:szCs w:val="24"/>
                <w:u w:val="none"/>
                <w:lang w:val="en-US" w:eastAsia="zh-CN"/>
                <w14:textFill>
                  <w14:solidFill>
                    <w14:schemeClr w14:val="tx1"/>
                  </w14:solidFill>
                </w14:textFill>
              </w:rPr>
              <w:br w:type="textWrapping"/>
            </w:r>
            <w:r>
              <w:rPr>
                <w:rFonts w:hint="eastAsia" w:ascii="黑体" w:eastAsia="黑体" w:cs="黑体"/>
                <w:i w:val="0"/>
                <w:color w:val="000000" w:themeColor="text1"/>
                <w:kern w:val="0"/>
                <w:sz w:val="24"/>
                <w:szCs w:val="24"/>
                <w:u w:val="none"/>
                <w:lang w:val="en-US" w:eastAsia="zh-CN"/>
                <w14:textFill>
                  <w14:solidFill>
                    <w14:schemeClr w14:val="tx1"/>
                  </w14:solidFill>
                </w14:textFill>
              </w:rPr>
              <w:t>事项</w:t>
            </w:r>
          </w:p>
        </w:tc>
        <w:tc>
          <w:tcPr>
            <w:tcW w:w="3118" w:type="dxa"/>
            <w:tcBorders>
              <w:tl2br w:val="nil"/>
              <w:tr2bl w:val="nil"/>
            </w:tcBorders>
            <w:shd w:val="clear" w:color="auto" w:fill="auto"/>
            <w:vAlign w:val="center"/>
          </w:tcPr>
          <w:p w14:paraId="59E27928">
            <w:pPr>
              <w:keepNext w:val="0"/>
              <w:keepLines w:val="0"/>
              <w:widowControl/>
              <w:suppressLineNumbers w:val="0"/>
              <w:jc w:val="center"/>
              <w:textAlignment w:val="center"/>
              <w:rPr>
                <w:rFonts w:hint="eastAsia" w:ascii="黑体" w:eastAsia="黑体" w:cs="黑体"/>
                <w:i w:val="0"/>
                <w:color w:val="000000" w:themeColor="text1"/>
                <w:sz w:val="24"/>
                <w:szCs w:val="24"/>
                <w:u w:val="none"/>
                <w14:textFill>
                  <w14:solidFill>
                    <w14:schemeClr w14:val="tx1"/>
                  </w14:solidFill>
                </w14:textFill>
              </w:rPr>
            </w:pPr>
            <w:r>
              <w:rPr>
                <w:rFonts w:hint="eastAsia" w:ascii="黑体" w:eastAsia="黑体" w:cs="黑体"/>
                <w:i w:val="0"/>
                <w:color w:val="000000" w:themeColor="text1"/>
                <w:kern w:val="0"/>
                <w:sz w:val="24"/>
                <w:szCs w:val="24"/>
                <w:u w:val="none"/>
                <w:lang w:val="en-US" w:eastAsia="zh-CN"/>
                <w14:textFill>
                  <w14:solidFill>
                    <w14:schemeClr w14:val="tx1"/>
                  </w14:solidFill>
                </w14:textFill>
              </w:rPr>
              <w:t>实施依据</w:t>
            </w:r>
          </w:p>
        </w:tc>
        <w:tc>
          <w:tcPr>
            <w:tcW w:w="1134" w:type="dxa"/>
            <w:tcBorders>
              <w:tl2br w:val="nil"/>
              <w:tr2bl w:val="nil"/>
            </w:tcBorders>
            <w:shd w:val="clear" w:color="auto" w:fill="auto"/>
            <w:tcMar>
              <w:top w:w="0" w:type="dxa"/>
              <w:left w:w="0" w:type="dxa"/>
              <w:bottom w:w="0" w:type="dxa"/>
              <w:right w:w="0" w:type="dxa"/>
            </w:tcMar>
            <w:vAlign w:val="center"/>
          </w:tcPr>
          <w:p w14:paraId="43501DE3">
            <w:pPr>
              <w:keepNext w:val="0"/>
              <w:keepLines w:val="0"/>
              <w:widowControl/>
              <w:suppressLineNumbers w:val="0"/>
              <w:jc w:val="center"/>
              <w:textAlignment w:val="center"/>
              <w:rPr>
                <w:rFonts w:hint="eastAsia" w:ascii="黑体" w:eastAsia="黑体" w:cs="黑体"/>
                <w:i w:val="0"/>
                <w:color w:val="000000" w:themeColor="text1"/>
                <w:spacing w:val="0"/>
                <w:kern w:val="0"/>
                <w:sz w:val="24"/>
                <w:szCs w:val="24"/>
                <w:u w:val="none"/>
                <w:lang w:val="en-US" w:eastAsia="zh-CN"/>
                <w14:textFill>
                  <w14:solidFill>
                    <w14:schemeClr w14:val="tx1"/>
                  </w14:solidFill>
                </w14:textFill>
              </w:rPr>
            </w:pPr>
            <w:r>
              <w:rPr>
                <w:rFonts w:hint="eastAsia" w:ascii="黑体" w:eastAsia="黑体" w:cs="黑体"/>
                <w:i w:val="0"/>
                <w:color w:val="000000" w:themeColor="text1"/>
                <w:spacing w:val="0"/>
                <w:kern w:val="0"/>
                <w:sz w:val="24"/>
                <w:szCs w:val="24"/>
                <w:u w:val="none"/>
                <w:lang w:val="en-US" w:eastAsia="zh-CN"/>
                <w14:textFill>
                  <w14:solidFill>
                    <w14:schemeClr w14:val="tx1"/>
                  </w14:solidFill>
                </w14:textFill>
              </w:rPr>
              <w:t>省级</w:t>
            </w:r>
          </w:p>
          <w:p w14:paraId="24868CC8">
            <w:pPr>
              <w:keepNext w:val="0"/>
              <w:keepLines w:val="0"/>
              <w:widowControl/>
              <w:suppressLineNumbers w:val="0"/>
              <w:jc w:val="center"/>
              <w:textAlignment w:val="center"/>
              <w:rPr>
                <w:rFonts w:hint="eastAsia" w:ascii="黑体" w:eastAsia="黑体" w:cs="黑体"/>
                <w:i w:val="0"/>
                <w:color w:val="000000" w:themeColor="text1"/>
                <w:spacing w:val="-20"/>
                <w:sz w:val="24"/>
                <w:szCs w:val="24"/>
                <w:u w:val="none"/>
                <w14:textFill>
                  <w14:solidFill>
                    <w14:schemeClr w14:val="tx1"/>
                  </w14:solidFill>
                </w14:textFill>
              </w:rPr>
            </w:pPr>
            <w:r>
              <w:rPr>
                <w:rFonts w:hint="eastAsia" w:ascii="黑体" w:eastAsia="黑体" w:cs="黑体"/>
                <w:i w:val="0"/>
                <w:color w:val="000000" w:themeColor="text1"/>
                <w:spacing w:val="0"/>
                <w:kern w:val="0"/>
                <w:sz w:val="24"/>
                <w:szCs w:val="24"/>
                <w:u w:val="none"/>
                <w:lang w:val="en-US" w:eastAsia="zh-CN"/>
                <w14:textFill>
                  <w14:solidFill>
                    <w14:schemeClr w14:val="tx1"/>
                  </w14:solidFill>
                </w14:textFill>
              </w:rPr>
              <w:t>主管部门</w:t>
            </w:r>
          </w:p>
        </w:tc>
        <w:tc>
          <w:tcPr>
            <w:tcW w:w="964" w:type="dxa"/>
            <w:tcBorders>
              <w:tl2br w:val="nil"/>
              <w:tr2bl w:val="nil"/>
            </w:tcBorders>
            <w:shd w:val="clear" w:color="auto" w:fill="auto"/>
            <w:vAlign w:val="center"/>
          </w:tcPr>
          <w:p w14:paraId="68A5FA5A">
            <w:pPr>
              <w:keepNext w:val="0"/>
              <w:keepLines w:val="0"/>
              <w:widowControl/>
              <w:suppressLineNumbers w:val="0"/>
              <w:jc w:val="center"/>
              <w:textAlignment w:val="center"/>
              <w:rPr>
                <w:rFonts w:hint="eastAsia" w:ascii="黑体" w:eastAsia="黑体" w:cs="黑体"/>
                <w:i w:val="0"/>
                <w:color w:val="000000" w:themeColor="text1"/>
                <w:kern w:val="0"/>
                <w:sz w:val="24"/>
                <w:szCs w:val="24"/>
                <w:u w:val="none"/>
                <w:lang w:val="en-US" w:eastAsia="zh-CN"/>
                <w14:textFill>
                  <w14:solidFill>
                    <w14:schemeClr w14:val="tx1"/>
                  </w14:solidFill>
                </w14:textFill>
              </w:rPr>
            </w:pPr>
            <w:r>
              <w:rPr>
                <w:rFonts w:hint="eastAsia" w:ascii="黑体" w:eastAsia="黑体" w:cs="黑体"/>
                <w:i w:val="0"/>
                <w:color w:val="000000" w:themeColor="text1"/>
                <w:kern w:val="0"/>
                <w:sz w:val="24"/>
                <w:szCs w:val="24"/>
                <w:u w:val="none"/>
                <w:lang w:val="en-US" w:eastAsia="zh-CN"/>
                <w14:textFill>
                  <w14:solidFill>
                    <w14:schemeClr w14:val="tx1"/>
                  </w14:solidFill>
                </w14:textFill>
              </w:rPr>
              <w:t>实施</w:t>
            </w:r>
          </w:p>
          <w:p w14:paraId="162C0589">
            <w:pPr>
              <w:keepNext w:val="0"/>
              <w:keepLines w:val="0"/>
              <w:widowControl/>
              <w:suppressLineNumbers w:val="0"/>
              <w:jc w:val="center"/>
              <w:textAlignment w:val="center"/>
              <w:rPr>
                <w:rFonts w:hint="eastAsia" w:ascii="黑体" w:eastAsia="黑体" w:cs="黑体"/>
                <w:i w:val="0"/>
                <w:color w:val="000000" w:themeColor="text1"/>
                <w:sz w:val="24"/>
                <w:szCs w:val="24"/>
                <w:u w:val="none"/>
                <w14:textFill>
                  <w14:solidFill>
                    <w14:schemeClr w14:val="tx1"/>
                  </w14:solidFill>
                </w14:textFill>
              </w:rPr>
            </w:pPr>
            <w:r>
              <w:rPr>
                <w:rFonts w:hint="eastAsia" w:ascii="黑体" w:eastAsia="黑体" w:cs="黑体"/>
                <w:i w:val="0"/>
                <w:color w:val="000000" w:themeColor="text1"/>
                <w:kern w:val="0"/>
                <w:sz w:val="24"/>
                <w:szCs w:val="24"/>
                <w:u w:val="none"/>
                <w:lang w:val="en-US" w:eastAsia="zh-CN"/>
                <w14:textFill>
                  <w14:solidFill>
                    <w14:schemeClr w14:val="tx1"/>
                  </w14:solidFill>
                </w14:textFill>
              </w:rPr>
              <w:t>层级</w:t>
            </w:r>
          </w:p>
        </w:tc>
        <w:tc>
          <w:tcPr>
            <w:tcW w:w="3968" w:type="dxa"/>
            <w:tcBorders>
              <w:tl2br w:val="nil"/>
              <w:tr2bl w:val="nil"/>
            </w:tcBorders>
            <w:shd w:val="clear" w:color="auto" w:fill="auto"/>
            <w:vAlign w:val="center"/>
          </w:tcPr>
          <w:p w14:paraId="5D64B9A4">
            <w:pPr>
              <w:keepNext w:val="0"/>
              <w:keepLines w:val="0"/>
              <w:widowControl/>
              <w:suppressLineNumbers w:val="0"/>
              <w:jc w:val="center"/>
              <w:textAlignment w:val="center"/>
              <w:rPr>
                <w:rFonts w:hint="eastAsia" w:ascii="黑体" w:eastAsia="黑体" w:cs="黑体"/>
                <w:i w:val="0"/>
                <w:color w:val="000000" w:themeColor="text1"/>
                <w:sz w:val="24"/>
                <w:szCs w:val="24"/>
                <w:u w:val="none"/>
                <w14:textFill>
                  <w14:solidFill>
                    <w14:schemeClr w14:val="tx1"/>
                  </w14:solidFill>
                </w14:textFill>
              </w:rPr>
            </w:pPr>
            <w:r>
              <w:rPr>
                <w:rFonts w:hint="eastAsia" w:ascii="黑体" w:eastAsia="黑体" w:cs="黑体"/>
                <w:i w:val="0"/>
                <w:color w:val="000000" w:themeColor="text1"/>
                <w:kern w:val="0"/>
                <w:sz w:val="24"/>
                <w:szCs w:val="24"/>
                <w:u w:val="none"/>
                <w:lang w:val="en-US" w:eastAsia="zh-CN"/>
                <w14:textFill>
                  <w14:solidFill>
                    <w14:schemeClr w14:val="tx1"/>
                  </w14:solidFill>
                </w14:textFill>
              </w:rPr>
              <w:t>责任事项</w:t>
            </w:r>
          </w:p>
        </w:tc>
        <w:tc>
          <w:tcPr>
            <w:tcW w:w="3402" w:type="dxa"/>
            <w:tcBorders>
              <w:tl2br w:val="nil"/>
              <w:tr2bl w:val="nil"/>
            </w:tcBorders>
            <w:shd w:val="clear" w:color="auto" w:fill="auto"/>
            <w:vAlign w:val="center"/>
          </w:tcPr>
          <w:p w14:paraId="780853DC">
            <w:pPr>
              <w:keepNext w:val="0"/>
              <w:keepLines w:val="0"/>
              <w:widowControl/>
              <w:suppressLineNumbers w:val="0"/>
              <w:jc w:val="center"/>
              <w:textAlignment w:val="center"/>
              <w:rPr>
                <w:rFonts w:hint="eastAsia" w:ascii="黑体" w:eastAsia="黑体" w:cs="黑体"/>
                <w:i w:val="0"/>
                <w:color w:val="000000" w:themeColor="text1"/>
                <w:sz w:val="24"/>
                <w:szCs w:val="24"/>
                <w:u w:val="none"/>
                <w14:textFill>
                  <w14:solidFill>
                    <w14:schemeClr w14:val="tx1"/>
                  </w14:solidFill>
                </w14:textFill>
              </w:rPr>
            </w:pPr>
            <w:r>
              <w:rPr>
                <w:rFonts w:hint="eastAsia" w:ascii="黑体" w:eastAsia="黑体" w:cs="黑体"/>
                <w:i w:val="0"/>
                <w:color w:val="000000" w:themeColor="text1"/>
                <w:kern w:val="0"/>
                <w:sz w:val="24"/>
                <w:szCs w:val="24"/>
                <w:u w:val="none"/>
                <w:lang w:val="en-US" w:eastAsia="zh-CN"/>
                <w14:textFill>
                  <w14:solidFill>
                    <w14:schemeClr w14:val="tx1"/>
                  </w14:solidFill>
                </w14:textFill>
              </w:rPr>
              <w:t>追责情形</w:t>
            </w:r>
          </w:p>
        </w:tc>
        <w:tc>
          <w:tcPr>
            <w:tcW w:w="567" w:type="dxa"/>
            <w:tcBorders>
              <w:tl2br w:val="nil"/>
              <w:tr2bl w:val="nil"/>
            </w:tcBorders>
            <w:shd w:val="clear" w:color="auto" w:fill="auto"/>
            <w:vAlign w:val="center"/>
          </w:tcPr>
          <w:p w14:paraId="6277E1CD">
            <w:pPr>
              <w:keepNext w:val="0"/>
              <w:keepLines w:val="0"/>
              <w:widowControl/>
              <w:suppressLineNumbers w:val="0"/>
              <w:jc w:val="center"/>
              <w:textAlignment w:val="center"/>
              <w:rPr>
                <w:rFonts w:hint="eastAsia" w:ascii="黑体" w:eastAsia="黑体" w:cs="黑体"/>
                <w:i w:val="0"/>
                <w:color w:val="000000" w:themeColor="text1"/>
                <w:sz w:val="24"/>
                <w:szCs w:val="24"/>
                <w:u w:val="none"/>
                <w14:textFill>
                  <w14:solidFill>
                    <w14:schemeClr w14:val="tx1"/>
                  </w14:solidFill>
                </w14:textFill>
              </w:rPr>
            </w:pPr>
            <w:r>
              <w:rPr>
                <w:rFonts w:hint="eastAsia" w:ascii="黑体" w:eastAsia="黑体" w:cs="黑体"/>
                <w:i w:val="0"/>
                <w:color w:val="000000" w:themeColor="text1"/>
                <w:kern w:val="0"/>
                <w:sz w:val="24"/>
                <w:szCs w:val="24"/>
                <w:u w:val="none"/>
                <w:lang w:val="en-US" w:eastAsia="zh-CN"/>
                <w14:textFill>
                  <w14:solidFill>
                    <w14:schemeClr w14:val="tx1"/>
                  </w14:solidFill>
                </w14:textFill>
              </w:rPr>
              <w:t>备注</w:t>
            </w:r>
          </w:p>
        </w:tc>
      </w:tr>
      <w:tr w14:paraId="3F119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49F77D30">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w:t>
            </w:r>
          </w:p>
        </w:tc>
        <w:tc>
          <w:tcPr>
            <w:tcW w:w="850" w:type="dxa"/>
            <w:tcBorders>
              <w:tl2br w:val="nil"/>
              <w:tr2bl w:val="nil"/>
            </w:tcBorders>
            <w:shd w:val="clear" w:color="auto" w:fill="auto"/>
            <w:vAlign w:val="center"/>
          </w:tcPr>
          <w:p w14:paraId="5F0FC029">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行政许可</w:t>
            </w:r>
          </w:p>
        </w:tc>
        <w:tc>
          <w:tcPr>
            <w:tcW w:w="1134" w:type="dxa"/>
            <w:tcBorders>
              <w:tl2br w:val="nil"/>
              <w:tr2bl w:val="nil"/>
            </w:tcBorders>
            <w:shd w:val="clear" w:color="auto" w:fill="auto"/>
            <w:vAlign w:val="center"/>
          </w:tcPr>
          <w:p w14:paraId="75B98FD8">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宗教团体、宗教院校、宗教活动场所接受境外组织和个人捐赠审批</w:t>
            </w:r>
          </w:p>
        </w:tc>
        <w:tc>
          <w:tcPr>
            <w:tcW w:w="3118" w:type="dxa"/>
            <w:tcBorders>
              <w:tl2br w:val="nil"/>
              <w:tr2bl w:val="nil"/>
            </w:tcBorders>
            <w:shd w:val="clear" w:color="auto" w:fill="auto"/>
            <w:vAlign w:val="center"/>
          </w:tcPr>
          <w:p w14:paraId="213D4E33">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 xml:space="preserve">《宗教事务条例》第五十七条 </w:t>
            </w:r>
            <w:r>
              <w:rPr>
                <w:rStyle w:val="4"/>
                <w:rFonts w:hint="eastAsia" w:ascii="仿宋_GB2312" w:eastAsia="仿宋_GB2312" w:cs="仿宋_GB2312"/>
                <w:color w:val="000000" w:themeColor="text1"/>
                <w:sz w:val="18"/>
                <w:szCs w:val="18"/>
                <w:lang w:val="en-US" w:eastAsia="zh-CN"/>
                <w14:textFill>
                  <w14:solidFill>
                    <w14:schemeClr w14:val="tx1"/>
                  </w14:solidFill>
                </w14:textFill>
              </w:rPr>
              <w:t>宗教团体、宗教院校、宗教活动场所不得接受境外组织和个人附带条件的捐赠，接受捐赠金额超过10万元的，应当报县级以上人民政府宗教事务部门审批。</w:t>
            </w:r>
          </w:p>
        </w:tc>
        <w:tc>
          <w:tcPr>
            <w:tcW w:w="1134" w:type="dxa"/>
            <w:tcBorders>
              <w:tl2br w:val="nil"/>
              <w:tr2bl w:val="nil"/>
            </w:tcBorders>
            <w:shd w:val="clear" w:color="auto" w:fill="auto"/>
            <w:tcMar>
              <w:top w:w="0" w:type="dxa"/>
              <w:left w:w="0" w:type="dxa"/>
              <w:bottom w:w="0" w:type="dxa"/>
              <w:right w:w="0" w:type="dxa"/>
            </w:tcMar>
            <w:vAlign w:val="center"/>
          </w:tcPr>
          <w:p w14:paraId="0DF2E24E">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河北省宗教</w:t>
            </w:r>
          </w:p>
          <w:p w14:paraId="3B63053E">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sz w:val="18"/>
                <w:szCs w:val="18"/>
                <w:u w:val="none"/>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事务局</w:t>
            </w:r>
          </w:p>
        </w:tc>
        <w:tc>
          <w:tcPr>
            <w:tcW w:w="964" w:type="dxa"/>
            <w:tcBorders>
              <w:tl2br w:val="nil"/>
              <w:tr2bl w:val="nil"/>
            </w:tcBorders>
            <w:shd w:val="clear" w:color="auto" w:fill="auto"/>
            <w:vAlign w:val="center"/>
          </w:tcPr>
          <w:p w14:paraId="217A2A6D">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市级、县级</w:t>
            </w:r>
          </w:p>
        </w:tc>
        <w:tc>
          <w:tcPr>
            <w:tcW w:w="3968" w:type="dxa"/>
            <w:tcBorders>
              <w:tl2br w:val="nil"/>
              <w:tr2bl w:val="nil"/>
            </w:tcBorders>
            <w:shd w:val="clear" w:color="auto" w:fill="auto"/>
            <w:vAlign w:val="center"/>
          </w:tcPr>
          <w:p w14:paraId="673846B6">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w:t>
            </w:r>
            <w:r>
              <w:rPr>
                <w:rStyle w:val="5"/>
                <w:rFonts w:hint="eastAsia" w:ascii="仿宋_GB2312" w:eastAsia="仿宋_GB2312" w:cs="仿宋_GB2312"/>
                <w:color w:val="000000" w:themeColor="text1"/>
                <w:sz w:val="18"/>
                <w:szCs w:val="18"/>
                <w:lang w:val="en-US" w:eastAsia="zh-CN"/>
                <w14:textFill>
                  <w14:solidFill>
                    <w14:schemeClr w14:val="tx1"/>
                  </w14:solidFill>
                </w14:textFill>
              </w:rPr>
              <w:t>受理责任：公示应当提交的材料，一次性告知补正材料，依法受理或不予受理（不予受理应当告知理由）。</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2.审查责任：按照《宗教事务条例》对书面申请材料进行审查，提出是否同意的审核意见。</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3.决定责任；作出行政许可或者不予行政许可决定，法定告知（不予许可的应当书面告知理由）。</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4.送达责任：准予许可的制发送达许可证，信息公开。</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5.事后监管责任：建立实施监督检查的运行机制和管理制度，开展定期和不定期检查，依法采取相关处置措施。</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6.其他法律法规规章文件规定应履行的责任。</w:t>
            </w:r>
          </w:p>
        </w:tc>
        <w:tc>
          <w:tcPr>
            <w:tcW w:w="3402" w:type="dxa"/>
            <w:tcBorders>
              <w:tl2br w:val="nil"/>
              <w:tr2bl w:val="nil"/>
            </w:tcBorders>
            <w:shd w:val="clear" w:color="auto" w:fill="auto"/>
            <w:vAlign w:val="center"/>
          </w:tcPr>
          <w:p w14:paraId="589F8A68">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不履行或不正确履行行政职责，有下列情形的，行政机关及相关工作人员应承担相应责任：</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1.对符合法定条件的申请不予受理的；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2.对不符合法定条件的申请人准予行政许可或者超越法定职权作出准予行政许可决定的；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3.对符合法定条件的申请人不予行政许可或者不在法定期限内作出准予行政许可决定的；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4.不依法履行监督职责或者监督不力的；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5.在办理审批过程中索取或者收受他人财物或者谋取其他利益的；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6.其他违反法律法规规章文件规定的行为。</w:t>
            </w:r>
          </w:p>
        </w:tc>
        <w:tc>
          <w:tcPr>
            <w:tcW w:w="567" w:type="dxa"/>
            <w:tcBorders>
              <w:tl2br w:val="nil"/>
              <w:tr2bl w:val="nil"/>
            </w:tcBorders>
            <w:shd w:val="clear" w:color="auto" w:fill="auto"/>
            <w:vAlign w:val="center"/>
          </w:tcPr>
          <w:p w14:paraId="53FB8A7E">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r w14:paraId="3AC08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78456D4A">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2</w:t>
            </w:r>
          </w:p>
        </w:tc>
        <w:tc>
          <w:tcPr>
            <w:tcW w:w="850" w:type="dxa"/>
            <w:tcBorders>
              <w:tl2br w:val="nil"/>
              <w:tr2bl w:val="nil"/>
            </w:tcBorders>
            <w:shd w:val="clear" w:color="auto" w:fill="auto"/>
            <w:vAlign w:val="center"/>
          </w:tcPr>
          <w:p w14:paraId="53A7D9CC">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行政许可</w:t>
            </w:r>
          </w:p>
        </w:tc>
        <w:tc>
          <w:tcPr>
            <w:tcW w:w="1134" w:type="dxa"/>
            <w:tcBorders>
              <w:tl2br w:val="nil"/>
              <w:tr2bl w:val="nil"/>
            </w:tcBorders>
            <w:shd w:val="clear" w:color="auto" w:fill="auto"/>
            <w:vAlign w:val="center"/>
          </w:tcPr>
          <w:p w14:paraId="468444DD">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宗教团体成立、变更、注销前审批</w:t>
            </w:r>
          </w:p>
        </w:tc>
        <w:tc>
          <w:tcPr>
            <w:tcW w:w="3118" w:type="dxa"/>
            <w:tcBorders>
              <w:tl2br w:val="nil"/>
              <w:tr2bl w:val="nil"/>
            </w:tcBorders>
            <w:shd w:val="clear" w:color="auto" w:fill="auto"/>
            <w:vAlign w:val="center"/>
          </w:tcPr>
          <w:p w14:paraId="1854C298">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Style w:val="4"/>
                <w:rFonts w:hint="eastAsia" w:ascii="仿宋_GB2312" w:eastAsia="仿宋_GB2312" w:cs="仿宋_GB2312"/>
                <w:color w:val="000000" w:themeColor="text1"/>
                <w:sz w:val="18"/>
                <w:szCs w:val="18"/>
                <w:lang w:val="en-US" w:eastAsia="zh-CN"/>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 xml:space="preserve">1.《宗教事务条例》第七条第一款 </w:t>
            </w:r>
            <w:r>
              <w:rPr>
                <w:rStyle w:val="4"/>
                <w:rFonts w:hint="eastAsia" w:ascii="仿宋_GB2312" w:eastAsia="仿宋_GB2312" w:cs="仿宋_GB2312"/>
                <w:color w:val="000000" w:themeColor="text1"/>
                <w:sz w:val="18"/>
                <w:szCs w:val="18"/>
                <w:lang w:val="en-US" w:eastAsia="zh-CN"/>
                <w14:textFill>
                  <w14:solidFill>
                    <w14:schemeClr w14:val="tx1"/>
                  </w14:solidFill>
                </w14:textFill>
              </w:rPr>
              <w:t>宗教团体的成立、变更和注销，应当依照国家社会团体管理的有关规定办理登记。</w:t>
            </w:r>
          </w:p>
          <w:p w14:paraId="63BB4FC8">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Style w:val="4"/>
                <w:rFonts w:hint="eastAsia" w:ascii="仿宋_GB2312" w:eastAsia="仿宋_GB2312" w:cs="仿宋_GB2312"/>
                <w:color w:val="000000" w:themeColor="text1"/>
                <w:sz w:val="18"/>
                <w:szCs w:val="18"/>
                <w:lang w:val="en-US" w:eastAsia="zh-CN"/>
                <w14:textFill>
                  <w14:solidFill>
                    <w14:schemeClr w14:val="tx1"/>
                  </w14:solidFill>
                </w14:textFill>
              </w:rPr>
              <w:t>2.《社会团体登记管理条例》第九条 成立社会团体，应当经其业务主管单位审查同意，由发起人向登记管理机关申请登记。筹备期间不得开展筹备以外的活动。第十八条第一款 社会团体的登记事项需要变更的，应当自业务主管单位审查同意之日起30日内，向登记管理机关申请变更登记。第十九条 社会团体有下列情形之一的，应当在业务主管单位审查同意后，向登记管理机关申请注销登记：（一）完成社会团体章程规定的宗旨的；（二）自行解散的；（三）分立、合并的；（四）由于其他原因终止的。</w:t>
            </w:r>
          </w:p>
        </w:tc>
        <w:tc>
          <w:tcPr>
            <w:tcW w:w="1134" w:type="dxa"/>
            <w:tcBorders>
              <w:tl2br w:val="nil"/>
              <w:tr2bl w:val="nil"/>
            </w:tcBorders>
            <w:shd w:val="clear" w:color="auto" w:fill="auto"/>
            <w:tcMar>
              <w:top w:w="0" w:type="dxa"/>
              <w:left w:w="0" w:type="dxa"/>
              <w:bottom w:w="0" w:type="dxa"/>
              <w:right w:w="0" w:type="dxa"/>
            </w:tcMar>
            <w:vAlign w:val="center"/>
          </w:tcPr>
          <w:p w14:paraId="0100D71E">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河北省宗教</w:t>
            </w:r>
          </w:p>
          <w:p w14:paraId="5AFE2F69">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sz w:val="18"/>
                <w:szCs w:val="18"/>
                <w:u w:val="none"/>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事务局</w:t>
            </w:r>
          </w:p>
        </w:tc>
        <w:tc>
          <w:tcPr>
            <w:tcW w:w="964" w:type="dxa"/>
            <w:tcBorders>
              <w:tl2br w:val="nil"/>
              <w:tr2bl w:val="nil"/>
            </w:tcBorders>
            <w:shd w:val="clear" w:color="auto" w:fill="auto"/>
            <w:vAlign w:val="center"/>
          </w:tcPr>
          <w:p w14:paraId="1D461AA8">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市级、县级</w:t>
            </w:r>
          </w:p>
        </w:tc>
        <w:tc>
          <w:tcPr>
            <w:tcW w:w="3968" w:type="dxa"/>
            <w:tcBorders>
              <w:tl2br w:val="nil"/>
              <w:tr2bl w:val="nil"/>
            </w:tcBorders>
            <w:shd w:val="clear" w:color="auto" w:fill="auto"/>
            <w:vAlign w:val="center"/>
          </w:tcPr>
          <w:p w14:paraId="5AA94187">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w:t>
            </w:r>
            <w:r>
              <w:rPr>
                <w:rStyle w:val="5"/>
                <w:rFonts w:hint="eastAsia" w:ascii="仿宋_GB2312" w:eastAsia="仿宋_GB2312" w:cs="仿宋_GB2312"/>
                <w:color w:val="000000" w:themeColor="text1"/>
                <w:sz w:val="18"/>
                <w:szCs w:val="18"/>
                <w:lang w:val="en-US" w:eastAsia="zh-CN"/>
                <w14:textFill>
                  <w14:solidFill>
                    <w14:schemeClr w14:val="tx1"/>
                  </w14:solidFill>
                </w14:textFill>
              </w:rPr>
              <w:t>受理责任：公示应当提交的材料，一次性告知补正材料，依法受理或不予受理（不予受理应当告知理由）。</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2.审查责任：按照《宗教事务条例》对书面申请材料进行审查，提出是否同意的审核意见。</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3.决定责任；作出行政许可或者不予行政许可决定，法定告知（不予许可的应当书面告知理由）。</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4.送达责任：准予许可的制发送达许可证，信息公开。</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5.事后监管责任：建立实施监督检查的运行机制和管理制度，开展定期和不定期检查，依法采取相关处置措施。</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6.其他法律法规规章文件规定应履行的责任。</w:t>
            </w:r>
          </w:p>
        </w:tc>
        <w:tc>
          <w:tcPr>
            <w:tcW w:w="3402" w:type="dxa"/>
            <w:tcBorders>
              <w:tl2br w:val="nil"/>
              <w:tr2bl w:val="nil"/>
            </w:tcBorders>
            <w:shd w:val="clear" w:color="auto" w:fill="auto"/>
            <w:vAlign w:val="center"/>
          </w:tcPr>
          <w:p w14:paraId="256303B9">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不履行或不正确履行行政职责，有下列情形的，行政机关及相关工作人员应承担相应责任：</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1.对符合法定条件的申请不予受理的；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2.对不符合法定条件的申请人准予行政许可或者超越法定职权作出准予行政许可决定的；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3.对符合法定条件的申请人不予行政许可或者不在法定期限内作出准予行政许可决定的；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4.不依法履行监督职责或者监督不力的；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5.在办理审批过程中索取或者收受他人财物或者谋取其他利益的；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6.其他违反法律法规规章文件规定的行为。</w:t>
            </w:r>
          </w:p>
        </w:tc>
        <w:tc>
          <w:tcPr>
            <w:tcW w:w="567" w:type="dxa"/>
            <w:tcBorders>
              <w:tl2br w:val="nil"/>
              <w:tr2bl w:val="nil"/>
            </w:tcBorders>
            <w:shd w:val="clear" w:color="auto" w:fill="auto"/>
            <w:vAlign w:val="center"/>
          </w:tcPr>
          <w:p w14:paraId="1DDBA8B6">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r w14:paraId="56C4B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258FC1EB">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sz w:val="18"/>
                <w:szCs w:val="18"/>
                <w:u w:val="none"/>
                <w:lang w:val="en-US" w:eastAsia="zh-CN"/>
                <w14:textFill>
                  <w14:solidFill>
                    <w14:schemeClr w14:val="tx1"/>
                  </w14:solidFill>
                </w14:textFill>
              </w:rPr>
              <w:t>3</w:t>
            </w:r>
          </w:p>
        </w:tc>
        <w:tc>
          <w:tcPr>
            <w:tcW w:w="850" w:type="dxa"/>
            <w:tcBorders>
              <w:tl2br w:val="nil"/>
              <w:tr2bl w:val="nil"/>
            </w:tcBorders>
            <w:shd w:val="clear" w:color="auto" w:fill="auto"/>
            <w:vAlign w:val="center"/>
          </w:tcPr>
          <w:p w14:paraId="6502F14C">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行政许可</w:t>
            </w:r>
          </w:p>
        </w:tc>
        <w:tc>
          <w:tcPr>
            <w:tcW w:w="1134" w:type="dxa"/>
            <w:tcBorders>
              <w:tl2br w:val="nil"/>
              <w:tr2bl w:val="nil"/>
            </w:tcBorders>
            <w:shd w:val="clear" w:color="auto" w:fill="auto"/>
            <w:vAlign w:val="center"/>
          </w:tcPr>
          <w:p w14:paraId="6F843EB7">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清真食品的专用包装物和清真标志的审核</w:t>
            </w:r>
          </w:p>
        </w:tc>
        <w:tc>
          <w:tcPr>
            <w:tcW w:w="3118" w:type="dxa"/>
            <w:tcBorders>
              <w:tl2br w:val="nil"/>
              <w:tr2bl w:val="nil"/>
            </w:tcBorders>
            <w:shd w:val="clear" w:color="auto" w:fill="auto"/>
            <w:vAlign w:val="center"/>
          </w:tcPr>
          <w:p w14:paraId="012718AD">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《河北省清真食品管理条例》第十四条 清真食品的专用包装物和清真标志应当经县级以上人民政府民族事务行政主管部门统一审核后印制。生产经营清真食品的单位和个人不得将清真食品专用包装物用于非清真食品，不得私自转让或出售。</w:t>
            </w:r>
          </w:p>
        </w:tc>
        <w:tc>
          <w:tcPr>
            <w:tcW w:w="1134" w:type="dxa"/>
            <w:tcBorders>
              <w:tl2br w:val="nil"/>
              <w:tr2bl w:val="nil"/>
            </w:tcBorders>
            <w:shd w:val="clear" w:color="auto" w:fill="auto"/>
            <w:tcMar>
              <w:top w:w="0" w:type="dxa"/>
              <w:left w:w="0" w:type="dxa"/>
              <w:bottom w:w="0" w:type="dxa"/>
              <w:right w:w="0" w:type="dxa"/>
            </w:tcMar>
            <w:vAlign w:val="center"/>
          </w:tcPr>
          <w:p w14:paraId="530C3790">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河北省民族事务</w:t>
            </w:r>
          </w:p>
          <w:p w14:paraId="7EADCBE9">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sz w:val="18"/>
                <w:szCs w:val="18"/>
                <w:u w:val="none"/>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委员会</w:t>
            </w:r>
          </w:p>
        </w:tc>
        <w:tc>
          <w:tcPr>
            <w:tcW w:w="964" w:type="dxa"/>
            <w:tcBorders>
              <w:tl2br w:val="nil"/>
              <w:tr2bl w:val="nil"/>
            </w:tcBorders>
            <w:shd w:val="clear" w:color="auto" w:fill="auto"/>
            <w:vAlign w:val="center"/>
          </w:tcPr>
          <w:p w14:paraId="0A004312">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县级</w:t>
            </w:r>
          </w:p>
        </w:tc>
        <w:tc>
          <w:tcPr>
            <w:tcW w:w="3968" w:type="dxa"/>
            <w:tcBorders>
              <w:tl2br w:val="nil"/>
              <w:tr2bl w:val="nil"/>
            </w:tcBorders>
            <w:shd w:val="clear" w:color="auto" w:fill="auto"/>
            <w:vAlign w:val="center"/>
          </w:tcPr>
          <w:p w14:paraId="6C30E59F">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w:t>
            </w:r>
            <w:r>
              <w:rPr>
                <w:rStyle w:val="5"/>
                <w:rFonts w:hint="eastAsia" w:ascii="仿宋_GB2312" w:eastAsia="仿宋_GB2312" w:cs="仿宋_GB2312"/>
                <w:color w:val="000000" w:themeColor="text1"/>
                <w:sz w:val="18"/>
                <w:szCs w:val="18"/>
                <w:lang w:val="en-US" w:eastAsia="zh-CN"/>
                <w14:textFill>
                  <w14:solidFill>
                    <w14:schemeClr w14:val="tx1"/>
                  </w14:solidFill>
                </w14:textFill>
              </w:rPr>
              <w:t>受理责任：公示应当提交的材料，一次性告知补正材料，依法受理或不予受理（不予受理应当告知理由）。</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2.审查责任：按照《河北省清真食品管理条例》对书面申请材料进行审查，提出是否同意的审核意见。</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3.决定责任；作出行政许可或者不予行政许可决定，法定告知（不予许可的应当书面告知理由）。</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4.送达责任：准予许可的制发送达许可证，信息公开。</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5.事后监管责任：建立实施监督检查的运行机制和管理制度，开展定期和不定期检查，依法采取相关处置措施。</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6.其他法律法规规章文件规定应履行的责任。</w:t>
            </w:r>
          </w:p>
        </w:tc>
        <w:tc>
          <w:tcPr>
            <w:tcW w:w="3402" w:type="dxa"/>
            <w:tcBorders>
              <w:tl2br w:val="nil"/>
              <w:tr2bl w:val="nil"/>
            </w:tcBorders>
            <w:shd w:val="clear" w:color="auto" w:fill="auto"/>
            <w:vAlign w:val="center"/>
          </w:tcPr>
          <w:p w14:paraId="3D315BB0">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不履行或不正确履行行政职责，有下列情形的，行政机关及相关工作人员应承担相应责任：</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1.对符合法定条件的申请不予受理的；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2.对不符合法定条件的申请人准予行政许可或者超越法定职权作出准予行政许可决定的；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3.对符合法定条件的申请人不予行政许可或者不在法定期限内作出准予行政许可决定的；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4.不依法履行监督职责或者监督不力的；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5.在办理审批过程中索取或者收受他人财物或者谋取其他利益的；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6.其他违反法律法规规章文件规定的行为。</w:t>
            </w:r>
          </w:p>
        </w:tc>
        <w:tc>
          <w:tcPr>
            <w:tcW w:w="567" w:type="dxa"/>
            <w:tcBorders>
              <w:tl2br w:val="nil"/>
              <w:tr2bl w:val="nil"/>
            </w:tcBorders>
            <w:shd w:val="clear" w:color="auto" w:fill="auto"/>
            <w:vAlign w:val="center"/>
          </w:tcPr>
          <w:p w14:paraId="6236E17E">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r w14:paraId="03737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48C0CCB4">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sz w:val="18"/>
                <w:szCs w:val="18"/>
                <w:u w:val="none"/>
                <w:lang w:val="en-US" w:eastAsia="zh-CN"/>
                <w14:textFill>
                  <w14:solidFill>
                    <w14:schemeClr w14:val="tx1"/>
                  </w14:solidFill>
                </w14:textFill>
              </w:rPr>
              <w:t>4</w:t>
            </w:r>
          </w:p>
        </w:tc>
        <w:tc>
          <w:tcPr>
            <w:tcW w:w="850" w:type="dxa"/>
            <w:tcBorders>
              <w:tl2br w:val="nil"/>
              <w:tr2bl w:val="nil"/>
            </w:tcBorders>
            <w:shd w:val="clear" w:color="auto" w:fill="auto"/>
            <w:vAlign w:val="center"/>
          </w:tcPr>
          <w:p w14:paraId="6EC5821C">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行政许可</w:t>
            </w:r>
          </w:p>
        </w:tc>
        <w:tc>
          <w:tcPr>
            <w:tcW w:w="1134" w:type="dxa"/>
            <w:tcBorders>
              <w:tl2br w:val="nil"/>
              <w:tr2bl w:val="nil"/>
            </w:tcBorders>
            <w:shd w:val="clear" w:color="auto" w:fill="auto"/>
            <w:vAlign w:val="center"/>
          </w:tcPr>
          <w:p w14:paraId="4258BD09">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在宗教活动场所内改建或者新建建筑物审批</w:t>
            </w:r>
          </w:p>
        </w:tc>
        <w:tc>
          <w:tcPr>
            <w:tcW w:w="3118" w:type="dxa"/>
            <w:tcBorders>
              <w:tl2br w:val="nil"/>
              <w:tr2bl w:val="nil"/>
            </w:tcBorders>
            <w:shd w:val="clear" w:color="auto" w:fill="auto"/>
            <w:vAlign w:val="center"/>
          </w:tcPr>
          <w:p w14:paraId="085958B3">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 xml:space="preserve">《宗教事务条例》第三十三条 </w:t>
            </w:r>
            <w:r>
              <w:rPr>
                <w:rStyle w:val="5"/>
                <w:rFonts w:hint="eastAsia" w:ascii="仿宋_GB2312" w:eastAsia="仿宋_GB2312" w:cs="仿宋_GB2312"/>
                <w:color w:val="000000" w:themeColor="text1"/>
                <w:sz w:val="18"/>
                <w:szCs w:val="18"/>
                <w:lang w:val="en-US" w:eastAsia="zh-CN"/>
                <w14:textFill>
                  <w14:solidFill>
                    <w14:schemeClr w14:val="tx1"/>
                  </w14:solidFill>
                </w14:textFill>
              </w:rPr>
              <w:t>在宗教活动场所内改建或者新建建筑物，应当经所在地县级以上地方人民政府宗教事务部门批准后，依法办理规划、建设等手续。</w:t>
            </w:r>
          </w:p>
        </w:tc>
        <w:tc>
          <w:tcPr>
            <w:tcW w:w="1134" w:type="dxa"/>
            <w:tcBorders>
              <w:tl2br w:val="nil"/>
              <w:tr2bl w:val="nil"/>
            </w:tcBorders>
            <w:shd w:val="clear" w:color="auto" w:fill="auto"/>
            <w:tcMar>
              <w:top w:w="0" w:type="dxa"/>
              <w:left w:w="0" w:type="dxa"/>
              <w:bottom w:w="0" w:type="dxa"/>
              <w:right w:w="0" w:type="dxa"/>
            </w:tcMar>
            <w:vAlign w:val="center"/>
          </w:tcPr>
          <w:p w14:paraId="4CB00F5C">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sz w:val="18"/>
                <w:szCs w:val="18"/>
                <w:u w:val="none"/>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河北省宗教局</w:t>
            </w:r>
          </w:p>
        </w:tc>
        <w:tc>
          <w:tcPr>
            <w:tcW w:w="964" w:type="dxa"/>
            <w:tcBorders>
              <w:tl2br w:val="nil"/>
              <w:tr2bl w:val="nil"/>
            </w:tcBorders>
            <w:shd w:val="clear" w:color="auto" w:fill="auto"/>
            <w:vAlign w:val="center"/>
          </w:tcPr>
          <w:p w14:paraId="375267F3">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市级、县级</w:t>
            </w:r>
          </w:p>
        </w:tc>
        <w:tc>
          <w:tcPr>
            <w:tcW w:w="3968" w:type="dxa"/>
            <w:tcBorders>
              <w:tl2br w:val="nil"/>
              <w:tr2bl w:val="nil"/>
            </w:tcBorders>
            <w:shd w:val="clear" w:color="auto" w:fill="auto"/>
            <w:vAlign w:val="center"/>
          </w:tcPr>
          <w:p w14:paraId="7F3E1EC3">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w:t>
            </w:r>
            <w:r>
              <w:rPr>
                <w:rStyle w:val="5"/>
                <w:rFonts w:hint="eastAsia" w:ascii="仿宋_GB2312" w:eastAsia="仿宋_GB2312" w:cs="仿宋_GB2312"/>
                <w:color w:val="000000" w:themeColor="text1"/>
                <w:sz w:val="18"/>
                <w:szCs w:val="18"/>
                <w:lang w:val="en-US" w:eastAsia="zh-CN"/>
                <w14:textFill>
                  <w14:solidFill>
                    <w14:schemeClr w14:val="tx1"/>
                  </w14:solidFill>
                </w14:textFill>
              </w:rPr>
              <w:t>受理责任：公示应当提交的材料，一次性告知补正材料，依法受理或不予受理（不予受理应当告知理由）。</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2.审查责任：按照《宗教事务条例》对书面申请材料进行审查，提出是否同意的审核意见。</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3.决定责任；作出行政许可或者不予行政许可决定，法定告知（不予许可的应当书面告知理由）。</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4.送达责任：准予许可的制发送达许可证，信息公开。</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5.事后监管责任：建立实施监督检查的运行机制和管理制度，开展定期和不定期检查，依法采取相关处置措施。</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6.其他法律法规规章文件规定应履行的责任。</w:t>
            </w:r>
          </w:p>
        </w:tc>
        <w:tc>
          <w:tcPr>
            <w:tcW w:w="3402" w:type="dxa"/>
            <w:tcBorders>
              <w:tl2br w:val="nil"/>
              <w:tr2bl w:val="nil"/>
            </w:tcBorders>
            <w:shd w:val="clear" w:color="auto" w:fill="auto"/>
            <w:vAlign w:val="center"/>
          </w:tcPr>
          <w:p w14:paraId="64E634A0">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不履行或不正确履行行政职责，有下列情形的，行政机关及相关工作人员应承担相应责任：</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1.对符合法定条件的申请不予受理的；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2.对不符合法定条件的申请人准予行政许可或者超越法定职权作出准予行政许可决定的；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3.对符合法定条件的申请人不予行政许可或者不在法定期限内作出准予行政许可决定的；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4.不依法履行监督职责或者监督不力的；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5.在办理审批过程中索取或者收受他人财物或者谋取其他利益的；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6.其他违反法律法规规章文件规定的行为。</w:t>
            </w:r>
          </w:p>
        </w:tc>
        <w:tc>
          <w:tcPr>
            <w:tcW w:w="567" w:type="dxa"/>
            <w:tcBorders>
              <w:tl2br w:val="nil"/>
              <w:tr2bl w:val="nil"/>
            </w:tcBorders>
            <w:shd w:val="clear" w:color="auto" w:fill="auto"/>
            <w:vAlign w:val="center"/>
          </w:tcPr>
          <w:p w14:paraId="731DE814">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r w14:paraId="1DDB3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3EF3170F">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sz w:val="18"/>
                <w:szCs w:val="18"/>
                <w:u w:val="none"/>
                <w:lang w:val="en-US" w:eastAsia="zh-CN"/>
                <w14:textFill>
                  <w14:solidFill>
                    <w14:schemeClr w14:val="tx1"/>
                  </w14:solidFill>
                </w14:textFill>
              </w:rPr>
              <w:t>5</w:t>
            </w:r>
          </w:p>
        </w:tc>
        <w:tc>
          <w:tcPr>
            <w:tcW w:w="850" w:type="dxa"/>
            <w:tcBorders>
              <w:tl2br w:val="nil"/>
              <w:tr2bl w:val="nil"/>
            </w:tcBorders>
            <w:shd w:val="clear" w:color="auto" w:fill="auto"/>
            <w:vAlign w:val="center"/>
          </w:tcPr>
          <w:p w14:paraId="11B00157">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行政许可</w:t>
            </w:r>
          </w:p>
        </w:tc>
        <w:tc>
          <w:tcPr>
            <w:tcW w:w="1134" w:type="dxa"/>
            <w:tcBorders>
              <w:tl2br w:val="nil"/>
              <w:tr2bl w:val="nil"/>
            </w:tcBorders>
            <w:shd w:val="clear" w:color="auto" w:fill="auto"/>
            <w:vAlign w:val="center"/>
          </w:tcPr>
          <w:p w14:paraId="0E46EF54">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宗教活动场所筹备设立审批</w:t>
            </w:r>
          </w:p>
        </w:tc>
        <w:tc>
          <w:tcPr>
            <w:tcW w:w="3118" w:type="dxa"/>
            <w:tcBorders>
              <w:tl2br w:val="nil"/>
              <w:tr2bl w:val="nil"/>
            </w:tcBorders>
            <w:shd w:val="clear" w:color="auto" w:fill="auto"/>
            <w:vAlign w:val="center"/>
          </w:tcPr>
          <w:p w14:paraId="18DA991C">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 xml:space="preserve">《宗教事务条例》第十九、二十、二十一条 </w:t>
            </w:r>
            <w:r>
              <w:rPr>
                <w:rStyle w:val="5"/>
                <w:rFonts w:hint="eastAsia" w:ascii="仿宋_GB2312" w:eastAsia="仿宋_GB2312" w:cs="仿宋_GB2312"/>
                <w:color w:val="000000" w:themeColor="text1"/>
                <w:sz w:val="18"/>
                <w:szCs w:val="18"/>
                <w:lang w:val="en-US" w:eastAsia="zh-CN"/>
                <w14:textFill>
                  <w14:solidFill>
                    <w14:schemeClr w14:val="tx1"/>
                  </w14:solidFill>
                </w14:textFill>
              </w:rPr>
              <w:t>筹备设立宗教活动场所，由宗教团体向拟设立的宗教活动场所所在地的县级人民政府宗教事务部门提出申请。县级人民政府宗教事务部门应当自收到申请之日起30日内提出审核意见，报设区的市级人民政府宗教事务部门。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w:t>
            </w:r>
          </w:p>
        </w:tc>
        <w:tc>
          <w:tcPr>
            <w:tcW w:w="1134" w:type="dxa"/>
            <w:tcBorders>
              <w:tl2br w:val="nil"/>
              <w:tr2bl w:val="nil"/>
            </w:tcBorders>
            <w:shd w:val="clear" w:color="auto" w:fill="auto"/>
            <w:tcMar>
              <w:top w:w="0" w:type="dxa"/>
              <w:left w:w="0" w:type="dxa"/>
              <w:bottom w:w="0" w:type="dxa"/>
              <w:right w:w="0" w:type="dxa"/>
            </w:tcMar>
            <w:vAlign w:val="center"/>
          </w:tcPr>
          <w:p w14:paraId="460638A4">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sz w:val="18"/>
                <w:szCs w:val="18"/>
                <w:u w:val="none"/>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河北省宗教局</w:t>
            </w:r>
          </w:p>
        </w:tc>
        <w:tc>
          <w:tcPr>
            <w:tcW w:w="964" w:type="dxa"/>
            <w:tcBorders>
              <w:tl2br w:val="nil"/>
              <w:tr2bl w:val="nil"/>
            </w:tcBorders>
            <w:shd w:val="clear" w:color="auto" w:fill="auto"/>
            <w:vAlign w:val="center"/>
          </w:tcPr>
          <w:p w14:paraId="5A2DED95">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市级、县级</w:t>
            </w:r>
          </w:p>
        </w:tc>
        <w:tc>
          <w:tcPr>
            <w:tcW w:w="3968" w:type="dxa"/>
            <w:tcBorders>
              <w:tl2br w:val="nil"/>
              <w:tr2bl w:val="nil"/>
            </w:tcBorders>
            <w:shd w:val="clear" w:color="auto" w:fill="auto"/>
            <w:vAlign w:val="center"/>
          </w:tcPr>
          <w:p w14:paraId="64162C03">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w:t>
            </w:r>
            <w:r>
              <w:rPr>
                <w:rStyle w:val="5"/>
                <w:rFonts w:hint="eastAsia" w:ascii="仿宋_GB2312" w:eastAsia="仿宋_GB2312" w:cs="仿宋_GB2312"/>
                <w:color w:val="000000" w:themeColor="text1"/>
                <w:sz w:val="18"/>
                <w:szCs w:val="18"/>
                <w:lang w:val="en-US" w:eastAsia="zh-CN"/>
                <w14:textFill>
                  <w14:solidFill>
                    <w14:schemeClr w14:val="tx1"/>
                  </w14:solidFill>
                </w14:textFill>
              </w:rPr>
              <w:t>受理责任：公示应当提交的材料，一次性告知补正材料，依法受理或不予受理（不予受理应当告知理由）。</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2.审查责任：按照《宗教事务条例》对书面申请材料进行审查，提出是否同意的审核意见。</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3.决定责任；作出行政许可或者不予行政许可决定，法定告知（不予许可的应当书面告知理由）。</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4.送达责任：准予许可的制发送达许可证，信息公开。</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5.事后监管责任：建立实施监督检查的运行机制和管理制度，开展定期和不定期检查，依法采取相关处置措施。</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6.其他法律法规规章文件规定应履行的责任。</w:t>
            </w:r>
          </w:p>
        </w:tc>
        <w:tc>
          <w:tcPr>
            <w:tcW w:w="3402" w:type="dxa"/>
            <w:tcBorders>
              <w:tl2br w:val="nil"/>
              <w:tr2bl w:val="nil"/>
            </w:tcBorders>
            <w:shd w:val="clear" w:color="auto" w:fill="auto"/>
            <w:vAlign w:val="center"/>
          </w:tcPr>
          <w:p w14:paraId="75360B64">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不履行或不正确履行行政职责，有下列情形的，行政机关及相关工作人员应承担相应责任：</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1.对符合法定条件的申请不予受理的；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2.对不符合法定条件的申请人准予行政许可或者超越法定职权作出准予行政许可决定的；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3.对符合法定条件的申请人不予行政许可或者不在法定期限内作出准予行政许可决定的；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4.不依法履行监督职责或者监督不力的；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5.在办理审批过程中索取或者收受他人财物或者谋取其他利益的；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6.其他违反法律法规规章文件规定的行为。</w:t>
            </w:r>
          </w:p>
        </w:tc>
        <w:tc>
          <w:tcPr>
            <w:tcW w:w="567" w:type="dxa"/>
            <w:tcBorders>
              <w:tl2br w:val="nil"/>
              <w:tr2bl w:val="nil"/>
            </w:tcBorders>
            <w:shd w:val="clear" w:color="auto" w:fill="auto"/>
            <w:vAlign w:val="center"/>
          </w:tcPr>
          <w:p w14:paraId="40C965E3">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r w14:paraId="7D8A4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1DC58EBF">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sz w:val="18"/>
                <w:szCs w:val="18"/>
                <w:u w:val="none"/>
                <w:lang w:val="en-US" w:eastAsia="zh-CN"/>
                <w14:textFill>
                  <w14:solidFill>
                    <w14:schemeClr w14:val="tx1"/>
                  </w14:solidFill>
                </w14:textFill>
              </w:rPr>
              <w:t>6</w:t>
            </w:r>
          </w:p>
        </w:tc>
        <w:tc>
          <w:tcPr>
            <w:tcW w:w="850" w:type="dxa"/>
            <w:tcBorders>
              <w:tl2br w:val="nil"/>
              <w:tr2bl w:val="nil"/>
            </w:tcBorders>
            <w:shd w:val="clear" w:color="auto" w:fill="auto"/>
            <w:vAlign w:val="center"/>
          </w:tcPr>
          <w:p w14:paraId="3C392119">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行政许可</w:t>
            </w:r>
          </w:p>
        </w:tc>
        <w:tc>
          <w:tcPr>
            <w:tcW w:w="1134" w:type="dxa"/>
            <w:tcBorders>
              <w:tl2br w:val="nil"/>
              <w:tr2bl w:val="nil"/>
            </w:tcBorders>
            <w:shd w:val="clear" w:color="auto" w:fill="auto"/>
            <w:vAlign w:val="center"/>
          </w:tcPr>
          <w:p w14:paraId="4B059945">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宗教活动场所登记</w:t>
            </w:r>
          </w:p>
        </w:tc>
        <w:tc>
          <w:tcPr>
            <w:tcW w:w="3118" w:type="dxa"/>
            <w:tcBorders>
              <w:tl2br w:val="nil"/>
              <w:tr2bl w:val="nil"/>
            </w:tcBorders>
            <w:shd w:val="clear" w:color="auto" w:fill="auto"/>
            <w:vAlign w:val="center"/>
          </w:tcPr>
          <w:p w14:paraId="1E4372C6">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 xml:space="preserve">《宗教事务条例》第二十二条 </w:t>
            </w:r>
            <w:r>
              <w:rPr>
                <w:rStyle w:val="5"/>
                <w:rFonts w:hint="eastAsia" w:ascii="仿宋_GB2312" w:eastAsia="仿宋_GB2312" w:cs="仿宋_GB2312"/>
                <w:color w:val="000000" w:themeColor="text1"/>
                <w:sz w:val="18"/>
                <w:szCs w:val="18"/>
                <w:lang w:val="en-US" w:eastAsia="zh-CN"/>
                <w14:textFill>
                  <w14:solidFill>
                    <w14:schemeClr w14:val="tx1"/>
                  </w14:solidFill>
                </w14:textFill>
              </w:rPr>
              <w:t>宗教活动场所经批准筹备并建设完工后，应当向所在地的县级人民政府宗教事务部门申请登记。县级人民政府宗教事务部门应当自收到申请之日起30日内对该宗教活动场所的管理组织、规章制度建设等情况进行审核，对符合条件的予以登记，发给《宗教活动场所登记证》。</w:t>
            </w:r>
          </w:p>
        </w:tc>
        <w:tc>
          <w:tcPr>
            <w:tcW w:w="1134" w:type="dxa"/>
            <w:tcBorders>
              <w:tl2br w:val="nil"/>
              <w:tr2bl w:val="nil"/>
            </w:tcBorders>
            <w:shd w:val="clear" w:color="auto" w:fill="auto"/>
            <w:tcMar>
              <w:top w:w="0" w:type="dxa"/>
              <w:left w:w="0" w:type="dxa"/>
              <w:bottom w:w="0" w:type="dxa"/>
              <w:right w:w="0" w:type="dxa"/>
            </w:tcMar>
            <w:vAlign w:val="center"/>
          </w:tcPr>
          <w:p w14:paraId="4615CE28">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sz w:val="18"/>
                <w:szCs w:val="18"/>
                <w:u w:val="none"/>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河北省宗教局</w:t>
            </w:r>
          </w:p>
        </w:tc>
        <w:tc>
          <w:tcPr>
            <w:tcW w:w="964" w:type="dxa"/>
            <w:tcBorders>
              <w:tl2br w:val="nil"/>
              <w:tr2bl w:val="nil"/>
            </w:tcBorders>
            <w:shd w:val="clear" w:color="auto" w:fill="auto"/>
            <w:vAlign w:val="center"/>
          </w:tcPr>
          <w:p w14:paraId="1E76CBC0">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县级</w:t>
            </w:r>
          </w:p>
        </w:tc>
        <w:tc>
          <w:tcPr>
            <w:tcW w:w="3968" w:type="dxa"/>
            <w:tcBorders>
              <w:tl2br w:val="nil"/>
              <w:tr2bl w:val="nil"/>
            </w:tcBorders>
            <w:shd w:val="clear" w:color="auto" w:fill="auto"/>
            <w:vAlign w:val="center"/>
          </w:tcPr>
          <w:p w14:paraId="2999342D">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w:t>
            </w:r>
            <w:r>
              <w:rPr>
                <w:rStyle w:val="5"/>
                <w:rFonts w:hint="eastAsia" w:ascii="仿宋_GB2312" w:eastAsia="仿宋_GB2312" w:cs="仿宋_GB2312"/>
                <w:color w:val="000000" w:themeColor="text1"/>
                <w:sz w:val="18"/>
                <w:szCs w:val="18"/>
                <w:lang w:val="en-US" w:eastAsia="zh-CN"/>
                <w14:textFill>
                  <w14:solidFill>
                    <w14:schemeClr w14:val="tx1"/>
                  </w14:solidFill>
                </w14:textFill>
              </w:rPr>
              <w:t>受理责任：公示应当提交的材料，一次性告知补正材料，依法受理或不予受理（不予受理应当告知理由）。</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2.审查责任：按照《宗教事务条例》对书面申请材料进行审查，提出是否同意的审核意见。</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3.决定责任；作出行政许可或者不予行政许可决定，法定告知（不予许可的应当书面告知理由）。</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4.送达责任：准予许可的制发送达许可证，信息公开。</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5.事后监管责任：建立实施监督检查的运行机制和管理制度，开展定期和不定期检查，依法采取相关处置措施。</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6.其他法律法规规章文件规定应履行的责任。</w:t>
            </w:r>
          </w:p>
        </w:tc>
        <w:tc>
          <w:tcPr>
            <w:tcW w:w="3402" w:type="dxa"/>
            <w:tcBorders>
              <w:tl2br w:val="nil"/>
              <w:tr2bl w:val="nil"/>
            </w:tcBorders>
            <w:shd w:val="clear" w:color="auto" w:fill="auto"/>
            <w:vAlign w:val="center"/>
          </w:tcPr>
          <w:p w14:paraId="474AAB7F">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不履行或不正确履行行政职责，有下列情形的，行政机关及相关工作人员应承担相应责任：</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1.对符合法定条件的申请不予受理的；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2.对不符合法定条件的申请人准予行政许可或者超越法定职权作出准予行政许可决定的；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3.对符合法定条件的申请人不予行政许可或者不在法定期限内作出准予行政许可决定的；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4.不依法履行监督职责或者监督不力的；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5.在办理审批过程中索取或者收受他人财物或者谋取其他利益的；</w:t>
            </w:r>
            <w:r>
              <w:rPr>
                <w:rStyle w:val="5"/>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5"/>
                <w:rFonts w:hint="eastAsia" w:ascii="仿宋_GB2312" w:eastAsia="仿宋_GB2312" w:cs="仿宋_GB2312"/>
                <w:color w:val="000000" w:themeColor="text1"/>
                <w:sz w:val="18"/>
                <w:szCs w:val="18"/>
                <w:lang w:val="en-US" w:eastAsia="zh-CN"/>
                <w14:textFill>
                  <w14:solidFill>
                    <w14:schemeClr w14:val="tx1"/>
                  </w14:solidFill>
                </w14:textFill>
              </w:rPr>
              <w:t>6.其他违反法律法规规章文件规定的行为。</w:t>
            </w:r>
          </w:p>
        </w:tc>
        <w:tc>
          <w:tcPr>
            <w:tcW w:w="567" w:type="dxa"/>
            <w:tcBorders>
              <w:tl2br w:val="nil"/>
              <w:tr2bl w:val="nil"/>
            </w:tcBorders>
            <w:shd w:val="clear" w:color="auto" w:fill="auto"/>
            <w:vAlign w:val="center"/>
          </w:tcPr>
          <w:p w14:paraId="28185521">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r w14:paraId="27DC8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16911D57">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w:t>
            </w:r>
          </w:p>
        </w:tc>
        <w:tc>
          <w:tcPr>
            <w:tcW w:w="850" w:type="dxa"/>
            <w:tcBorders>
              <w:tl2br w:val="nil"/>
              <w:tr2bl w:val="nil"/>
            </w:tcBorders>
            <w:shd w:val="clear" w:color="auto" w:fill="auto"/>
            <w:vAlign w:val="center"/>
          </w:tcPr>
          <w:p w14:paraId="47609191">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行政处罚</w:t>
            </w:r>
          </w:p>
        </w:tc>
        <w:tc>
          <w:tcPr>
            <w:tcW w:w="1134" w:type="dxa"/>
            <w:tcBorders>
              <w:tl2br w:val="nil"/>
              <w:tr2bl w:val="nil"/>
            </w:tcBorders>
            <w:shd w:val="clear" w:color="auto" w:fill="auto"/>
            <w:vAlign w:val="center"/>
          </w:tcPr>
          <w:p w14:paraId="3047B4AE">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对生产经营清真食品的单位和个人未按有清真饮食习惯少数民族的风俗屠宰加工清真牛羊肉、禽肉的行政处罚</w:t>
            </w:r>
          </w:p>
        </w:tc>
        <w:tc>
          <w:tcPr>
            <w:tcW w:w="3118" w:type="dxa"/>
            <w:tcBorders>
              <w:tl2br w:val="nil"/>
              <w:tr2bl w:val="nil"/>
            </w:tcBorders>
            <w:shd w:val="clear" w:color="auto" w:fill="auto"/>
            <w:vAlign w:val="center"/>
          </w:tcPr>
          <w:p w14:paraId="0627A327">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《河北省清真食品管理条例》第十七条  （八）生产经营清真食品的单位和个人未按有清真饮食习惯少数民族的风俗屠宰加工清真牛羊肉、禽肉的，责令限期停业整顿，没收违法所得，并处以一千元以上五千元以下罚款。</w:t>
            </w:r>
          </w:p>
        </w:tc>
        <w:tc>
          <w:tcPr>
            <w:tcW w:w="1134" w:type="dxa"/>
            <w:tcBorders>
              <w:tl2br w:val="nil"/>
              <w:tr2bl w:val="nil"/>
            </w:tcBorders>
            <w:shd w:val="clear" w:color="auto" w:fill="auto"/>
            <w:tcMar>
              <w:top w:w="0" w:type="dxa"/>
              <w:left w:w="0" w:type="dxa"/>
              <w:bottom w:w="0" w:type="dxa"/>
              <w:right w:w="0" w:type="dxa"/>
            </w:tcMar>
            <w:vAlign w:val="center"/>
          </w:tcPr>
          <w:p w14:paraId="6505219A">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河北省民族事务</w:t>
            </w:r>
          </w:p>
          <w:p w14:paraId="02F94372">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sz w:val="18"/>
                <w:szCs w:val="18"/>
                <w:u w:val="none"/>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委员会</w:t>
            </w:r>
          </w:p>
        </w:tc>
        <w:tc>
          <w:tcPr>
            <w:tcW w:w="964" w:type="dxa"/>
            <w:tcBorders>
              <w:tl2br w:val="nil"/>
              <w:tr2bl w:val="nil"/>
            </w:tcBorders>
            <w:shd w:val="clear" w:color="auto" w:fill="auto"/>
            <w:vAlign w:val="center"/>
          </w:tcPr>
          <w:p w14:paraId="259B3356">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市级、县级</w:t>
            </w:r>
            <w:r>
              <w:rPr>
                <w:rFonts w:ascii="仿宋_GB2312" w:eastAsia="仿宋_GB2312" w:cs="仿宋_GB2312"/>
                <w:i w:val="0"/>
                <w:color w:val="000000" w:themeColor="text1"/>
                <w:kern w:val="0"/>
                <w:sz w:val="18"/>
                <w:szCs w:val="18"/>
                <w:u w:val="none"/>
                <w:lang w:val="en-US" w:eastAsia="zh-CN"/>
                <w14:textFill>
                  <w14:solidFill>
                    <w14:schemeClr w14:val="tx1"/>
                  </w14:solidFill>
                </w14:textFill>
              </w:rPr>
              <w:t>、乡级</w:t>
            </w:r>
          </w:p>
        </w:tc>
        <w:tc>
          <w:tcPr>
            <w:tcW w:w="3968" w:type="dxa"/>
            <w:tcBorders>
              <w:tl2br w:val="nil"/>
              <w:tr2bl w:val="nil"/>
            </w:tcBorders>
            <w:shd w:val="clear" w:color="auto" w:fill="auto"/>
            <w:vAlign w:val="center"/>
          </w:tcPr>
          <w:p w14:paraId="0F113D6E">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立案责任：民宗部门在检查中发现或者接到举报有涉及《河北省清真食品管理条例》的违法行为或者交办、上报、移送的此类违法案件，应予以审查，决定是否立案；符合立案条件的，应当在七个工作日内立案。</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2.调查责任：民宗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3.审查责任：民宗部门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4.告知责任：作出行政处罚决定前，应制作《行政处罚告知书》送达当事人，告知违法事实及其享有的陈述、申辩等权利。符合听证规定的，制作并送达《行政处罚听证告知书》。</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5.决定责任：制作行政处罚决定书，载明行政处罚告知、当事人陈述申辩或者听证情况等内容。</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6.送达责任：行政处罚决定书按法律规定的方式送达当事人。</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7.执行责任：依照生效的行政处罚决定，到指定的银行缴纳罚款。</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8.其他法律法规规章文件规定应履行的责任。</w:t>
            </w:r>
          </w:p>
        </w:tc>
        <w:tc>
          <w:tcPr>
            <w:tcW w:w="3402" w:type="dxa"/>
            <w:tcBorders>
              <w:tl2br w:val="nil"/>
              <w:tr2bl w:val="nil"/>
            </w:tcBorders>
            <w:shd w:val="clear" w:color="auto" w:fill="auto"/>
            <w:vAlign w:val="center"/>
          </w:tcPr>
          <w:p w14:paraId="0709F553">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因不履行或不正确履行行政职责，有下列情形的，行政机关及相关工作人员应承担相应责任：</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1.没有法律和事实依据实施行政处罚的；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2.行政处罚显失公正的；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3.执法人员玩忽职守，对应当予以制止和处罚的违法行为不予制止、处罚，致使清真食品生产企业和个人的合法权益遭受损害的；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4.不具备行政执法资格实施行政处罚的；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5.在制止以及查处违法案件中受阻，依照有关规定应当向本级人民政府或者上级行业主管部门报告而未报告的；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6.应当依法移送追究刑事责任，而未依法移送有权机关的；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7.擅自改变行政处罚种类、幅度的；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8.违反法定的行政处罚程序的；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9.符合听证条件、行政管理相对人要求听证，应予组织听证而不组织听证的；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10.在行政处罚过程中发生腐败行为的；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11.其他违反法律法规规章文件规定的行为。</w:t>
            </w:r>
          </w:p>
        </w:tc>
        <w:tc>
          <w:tcPr>
            <w:tcW w:w="567" w:type="dxa"/>
            <w:tcBorders>
              <w:tl2br w:val="nil"/>
              <w:tr2bl w:val="nil"/>
            </w:tcBorders>
            <w:shd w:val="clear" w:color="auto" w:fill="auto"/>
            <w:vAlign w:val="center"/>
          </w:tcPr>
          <w:p w14:paraId="6B94D52F">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r w14:paraId="4E391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46095A38">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2</w:t>
            </w:r>
          </w:p>
        </w:tc>
        <w:tc>
          <w:tcPr>
            <w:tcW w:w="850" w:type="dxa"/>
            <w:tcBorders>
              <w:tl2br w:val="nil"/>
              <w:tr2bl w:val="nil"/>
            </w:tcBorders>
            <w:shd w:val="clear" w:color="auto" w:fill="auto"/>
            <w:vAlign w:val="center"/>
          </w:tcPr>
          <w:p w14:paraId="24E3531A">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行政处罚</w:t>
            </w:r>
          </w:p>
        </w:tc>
        <w:tc>
          <w:tcPr>
            <w:tcW w:w="1134" w:type="dxa"/>
            <w:tcBorders>
              <w:tl2br w:val="nil"/>
              <w:tr2bl w:val="nil"/>
            </w:tcBorders>
            <w:shd w:val="clear" w:color="auto" w:fill="auto"/>
            <w:vAlign w:val="center"/>
          </w:tcPr>
          <w:p w14:paraId="77268A62">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对生产经营清真食品的单位和个人，生产经营有清真饮食习惯少数民族禁食的食品，制售假冒伪劣清真食品的行政处罚</w:t>
            </w:r>
          </w:p>
        </w:tc>
        <w:tc>
          <w:tcPr>
            <w:tcW w:w="3118" w:type="dxa"/>
            <w:tcBorders>
              <w:tl2br w:val="nil"/>
              <w:tr2bl w:val="nil"/>
            </w:tcBorders>
            <w:shd w:val="clear" w:color="auto" w:fill="auto"/>
            <w:vAlign w:val="center"/>
          </w:tcPr>
          <w:p w14:paraId="5B6557E6">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《河北省清真食品管理条例》第十一条 生产经营清真食品的单位和个人，不得生产经营有清真饮食习惯少数民族禁食的食品，不得制售假冒伪劣清真食品。</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第十七条 (六)违反本条例第十一条规定的，责令限期停业整顿，并处以五千元以上一万元以下罚款。</w:t>
            </w:r>
          </w:p>
        </w:tc>
        <w:tc>
          <w:tcPr>
            <w:tcW w:w="1134" w:type="dxa"/>
            <w:tcBorders>
              <w:tl2br w:val="nil"/>
              <w:tr2bl w:val="nil"/>
            </w:tcBorders>
            <w:shd w:val="clear" w:color="auto" w:fill="auto"/>
            <w:tcMar>
              <w:top w:w="0" w:type="dxa"/>
              <w:left w:w="0" w:type="dxa"/>
              <w:bottom w:w="0" w:type="dxa"/>
              <w:right w:w="0" w:type="dxa"/>
            </w:tcMar>
            <w:vAlign w:val="center"/>
          </w:tcPr>
          <w:p w14:paraId="34D12A95">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河北省民族事务</w:t>
            </w:r>
          </w:p>
          <w:p w14:paraId="7FAC592E">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sz w:val="18"/>
                <w:szCs w:val="18"/>
                <w:u w:val="none"/>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委员会</w:t>
            </w:r>
          </w:p>
        </w:tc>
        <w:tc>
          <w:tcPr>
            <w:tcW w:w="964" w:type="dxa"/>
            <w:tcBorders>
              <w:tl2br w:val="nil"/>
              <w:tr2bl w:val="nil"/>
            </w:tcBorders>
            <w:shd w:val="clear" w:color="auto" w:fill="auto"/>
            <w:vAlign w:val="center"/>
          </w:tcPr>
          <w:p w14:paraId="09868F3C">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市级、县级</w:t>
            </w:r>
          </w:p>
        </w:tc>
        <w:tc>
          <w:tcPr>
            <w:tcW w:w="3968" w:type="dxa"/>
            <w:tcBorders>
              <w:tl2br w:val="nil"/>
              <w:tr2bl w:val="nil"/>
            </w:tcBorders>
            <w:shd w:val="clear" w:color="auto" w:fill="auto"/>
            <w:vAlign w:val="center"/>
          </w:tcPr>
          <w:p w14:paraId="49569D0C">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立案责任：民宗部门在检查中发现或者接到举报有涉及《河北省清真食品管理条例》的违法行为或者交办、上报、移送的此类违法案件，应予以审查，决定是否立案；符合立案条件的，应当在七个工作日内立案。</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2.调查责任：民宗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3.审查责任：民宗部门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4.告知责任：作出行政处罚决定前，应制作《行政处罚告知书》送达当事人，告知违法事实及其享有的陈述、申辩等权利。符合听证规定的，制作并送达《行政处罚听证告知书》。</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5.决定责任：制作行政处罚决定书，载明行政处罚告知、当事人陈述申辩或者听证情况等内容。</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6.送达责任：行政处罚决定书按法律规定的方式送达当事人。</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7.执行责任：依照生效的行政处罚决定，到指定的银行缴纳罚款。</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8.其他法律法规规章文件规定应履行的责任。</w:t>
            </w:r>
          </w:p>
        </w:tc>
        <w:tc>
          <w:tcPr>
            <w:tcW w:w="3402" w:type="dxa"/>
            <w:tcBorders>
              <w:tl2br w:val="nil"/>
              <w:tr2bl w:val="nil"/>
            </w:tcBorders>
            <w:shd w:val="clear" w:color="auto" w:fill="auto"/>
            <w:vAlign w:val="center"/>
          </w:tcPr>
          <w:p w14:paraId="58DB0930">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因不履行或不正确履行行政职责，有下列情形的，行政机关及相关工作人员应承担相应责任：</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1.没有法律和事实依据实施行政处罚的；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2.行政处罚显失公正的；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3.执法人员玩忽职守，对应当予以制止和处罚的违法行为不予制止、处罚，致使清真食品生产企业和个人的合法权益遭受损害的；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4.不具备行政执法资格实施行政处罚的；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5.在制止以及查处违法案件中受阻，依照有关规定应当向本级人民政府或者上级行业主管部门报告而未报告的；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6.应当依法移送追究刑事责任，而未依法移送有权机关的；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7.擅自改变行政处罚种类、幅度的；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8.违反法定的行政处罚程序的；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9.符合听证条件、行政管理相对人要求听证，应予组织听证而不组织听证的；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10.在行政处罚过程中发生腐败行为的；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11.其他违反法律法规规章文件规定的行为。</w:t>
            </w:r>
          </w:p>
        </w:tc>
        <w:tc>
          <w:tcPr>
            <w:tcW w:w="567" w:type="dxa"/>
            <w:tcBorders>
              <w:tl2br w:val="nil"/>
              <w:tr2bl w:val="nil"/>
            </w:tcBorders>
            <w:shd w:val="clear" w:color="auto" w:fill="auto"/>
            <w:vAlign w:val="center"/>
          </w:tcPr>
          <w:p w14:paraId="54D70365">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r w14:paraId="74871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143723D3">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3</w:t>
            </w:r>
          </w:p>
        </w:tc>
        <w:tc>
          <w:tcPr>
            <w:tcW w:w="850" w:type="dxa"/>
            <w:tcBorders>
              <w:tl2br w:val="nil"/>
              <w:tr2bl w:val="nil"/>
            </w:tcBorders>
            <w:shd w:val="clear" w:color="auto" w:fill="auto"/>
            <w:vAlign w:val="center"/>
          </w:tcPr>
          <w:p w14:paraId="526F0C08">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行政处罚</w:t>
            </w:r>
          </w:p>
        </w:tc>
        <w:tc>
          <w:tcPr>
            <w:tcW w:w="1134" w:type="dxa"/>
            <w:tcBorders>
              <w:tl2br w:val="nil"/>
              <w:tr2bl w:val="nil"/>
            </w:tcBorders>
            <w:shd w:val="clear" w:color="auto" w:fill="auto"/>
            <w:vAlign w:val="center"/>
          </w:tcPr>
          <w:p w14:paraId="35DAB5AD">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对清真食品的专用包装物和清真标志未经县级以上人民政府民族事务行政主管部门统一审核后印制，逾期不改的行政处罚；对生产经营清真食品的单位和个人将清真食品专用包装物用于非清真食品，私自转让或出售的行政处罚。</w:t>
            </w:r>
          </w:p>
        </w:tc>
        <w:tc>
          <w:tcPr>
            <w:tcW w:w="3118" w:type="dxa"/>
            <w:tcBorders>
              <w:tl2br w:val="nil"/>
              <w:tr2bl w:val="nil"/>
            </w:tcBorders>
            <w:shd w:val="clear" w:color="auto" w:fill="auto"/>
            <w:vAlign w:val="center"/>
          </w:tcPr>
          <w:p w14:paraId="11C7B633">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1.《河北省清真食品管理条例》第十四条 清真食品的专用包装物和清真标志应当经县级以上人民政府民族事务行政主管部门统一审核后印制。生产经营清真食品的单位和个人不得将清真食品专用包装物用于非清真食品，不得私自转让或出售。第十七条 (三)违反本条例第十四条第一款规定的，责令限期改正;逾期不改的，处以五十元以上二百元以下罚款。(四)违反本条例第十四条第二款规定的，没收非法所得，情节较轻的，处以一千元以上三千元以下罚款;情节严重的处三千元以上一万元以下罚款。</w:t>
            </w:r>
          </w:p>
        </w:tc>
        <w:tc>
          <w:tcPr>
            <w:tcW w:w="1134" w:type="dxa"/>
            <w:tcBorders>
              <w:tl2br w:val="nil"/>
              <w:tr2bl w:val="nil"/>
            </w:tcBorders>
            <w:shd w:val="clear" w:color="auto" w:fill="auto"/>
            <w:tcMar>
              <w:top w:w="0" w:type="dxa"/>
              <w:left w:w="0" w:type="dxa"/>
              <w:bottom w:w="0" w:type="dxa"/>
              <w:right w:w="0" w:type="dxa"/>
            </w:tcMar>
            <w:vAlign w:val="center"/>
          </w:tcPr>
          <w:p w14:paraId="5E7A5CDE">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河北省民族事务</w:t>
            </w:r>
          </w:p>
          <w:p w14:paraId="5958DB7B">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sz w:val="18"/>
                <w:szCs w:val="18"/>
                <w:u w:val="none"/>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委员会</w:t>
            </w:r>
          </w:p>
        </w:tc>
        <w:tc>
          <w:tcPr>
            <w:tcW w:w="964" w:type="dxa"/>
            <w:tcBorders>
              <w:tl2br w:val="nil"/>
              <w:tr2bl w:val="nil"/>
            </w:tcBorders>
            <w:shd w:val="clear" w:color="auto" w:fill="auto"/>
            <w:vAlign w:val="center"/>
          </w:tcPr>
          <w:p w14:paraId="144BF15C">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市级、县级</w:t>
            </w:r>
          </w:p>
        </w:tc>
        <w:tc>
          <w:tcPr>
            <w:tcW w:w="3968" w:type="dxa"/>
            <w:tcBorders>
              <w:tl2br w:val="nil"/>
              <w:tr2bl w:val="nil"/>
            </w:tcBorders>
            <w:shd w:val="clear" w:color="auto" w:fill="auto"/>
            <w:vAlign w:val="center"/>
          </w:tcPr>
          <w:p w14:paraId="436E3873">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立案责任：民宗部门在检查中发现或者接到举报有涉及《河北省清真食品管理条例》的违法行为或者交办、上报、移送的此类违法案件，应予以审查，决定是否立案；符合立案条件的，应当在七个工作日内立案。</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2.调查责任：民宗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3.审查责任：民宗部门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4.告知责任：作出行政处罚决定前，应制作《行政处罚告知书》送达当事人，告知违法事实及其享有的陈述、申辩等权利。符合听证规定的，制作并送达《行政处罚听证告知书》。</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5.决定责任：制作行政处罚决定书，载明行政处罚告知、当事人陈述申辩或者听证情况等内容。</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6.送达责任：行政处罚决定书按法律规定的方式送达当事人。</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7.执行责任：依照生效的行政处罚决定，到指定的银行缴纳罚款。</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8.其他法律法规规章文件规定应履行的责任。</w:t>
            </w:r>
          </w:p>
        </w:tc>
        <w:tc>
          <w:tcPr>
            <w:tcW w:w="3402" w:type="dxa"/>
            <w:tcBorders>
              <w:tl2br w:val="nil"/>
              <w:tr2bl w:val="nil"/>
            </w:tcBorders>
            <w:shd w:val="clear" w:color="auto" w:fill="auto"/>
            <w:vAlign w:val="center"/>
          </w:tcPr>
          <w:p w14:paraId="49E6A61E">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因不履行或不正确履行行政职责，有下列情形的，行政机关及相关工作人员应承担相应责任：</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1.没有法律和事实依据实施行政处罚的；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2.行政处罚显失公正的；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3.执法人员玩忽职守，对应当予以制止和处罚的违法行为不予制止、处罚，致使清真食品生产企业和个人的合法权益遭受损害的；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4.不具备行政执法资格实施行政处罚的；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5.在制止以及查处违法案件中受阻，依照有关规定应当向本级人民政府或者上级行业主管部门报告而未报告的；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6.应当依法移送追究刑事责任，而未依法移送有权机关的；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7.擅自改变行政处罚种类、幅度的；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8.违反法定的行政处罚程序的；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9.符合听证条件、行政管理相对人要求听证，应予组织听证而不组织听证的；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10.在行政处罚过程中发生腐败行为的；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11.其他违反法律法规规章文件规定的行为。</w:t>
            </w:r>
          </w:p>
        </w:tc>
        <w:tc>
          <w:tcPr>
            <w:tcW w:w="567" w:type="dxa"/>
            <w:tcBorders>
              <w:tl2br w:val="nil"/>
              <w:tr2bl w:val="nil"/>
            </w:tcBorders>
            <w:shd w:val="clear" w:color="auto" w:fill="auto"/>
            <w:vAlign w:val="center"/>
          </w:tcPr>
          <w:p w14:paraId="47A3300C">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r w14:paraId="37A01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4A3AF5A4">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4</w:t>
            </w:r>
          </w:p>
        </w:tc>
        <w:tc>
          <w:tcPr>
            <w:tcW w:w="850" w:type="dxa"/>
            <w:tcBorders>
              <w:tl2br w:val="nil"/>
              <w:tr2bl w:val="nil"/>
            </w:tcBorders>
            <w:shd w:val="clear" w:color="auto" w:fill="auto"/>
            <w:vAlign w:val="center"/>
          </w:tcPr>
          <w:p w14:paraId="52DC9624">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行政处罚</w:t>
            </w:r>
          </w:p>
        </w:tc>
        <w:tc>
          <w:tcPr>
            <w:tcW w:w="1134" w:type="dxa"/>
            <w:tcBorders>
              <w:tl2br w:val="nil"/>
              <w:tr2bl w:val="nil"/>
            </w:tcBorders>
            <w:shd w:val="clear" w:color="auto" w:fill="auto"/>
            <w:vAlign w:val="center"/>
          </w:tcPr>
          <w:p w14:paraId="1F92137E">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对生产经营清真食品的个人不是有清真饮食习惯的少数民族公民的行政处罚</w:t>
            </w:r>
          </w:p>
        </w:tc>
        <w:tc>
          <w:tcPr>
            <w:tcW w:w="3118" w:type="dxa"/>
            <w:tcBorders>
              <w:tl2br w:val="nil"/>
              <w:tr2bl w:val="nil"/>
            </w:tcBorders>
            <w:shd w:val="clear" w:color="auto" w:fill="auto"/>
            <w:vAlign w:val="center"/>
          </w:tcPr>
          <w:p w14:paraId="1C6FD0F4">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《河北省清真食品管理条例》第七条 生产经营清真食品的个人必须是有清真饮食习惯的少数民族公民。第十七条 (二)违反本条例第七条规定的，责令停业，处以三千元以上五千元以下罚款。</w:t>
            </w:r>
          </w:p>
        </w:tc>
        <w:tc>
          <w:tcPr>
            <w:tcW w:w="1134" w:type="dxa"/>
            <w:tcBorders>
              <w:tl2br w:val="nil"/>
              <w:tr2bl w:val="nil"/>
            </w:tcBorders>
            <w:shd w:val="clear" w:color="auto" w:fill="auto"/>
            <w:tcMar>
              <w:top w:w="0" w:type="dxa"/>
              <w:left w:w="0" w:type="dxa"/>
              <w:bottom w:w="0" w:type="dxa"/>
              <w:right w:w="0" w:type="dxa"/>
            </w:tcMar>
            <w:vAlign w:val="center"/>
          </w:tcPr>
          <w:p w14:paraId="621019C5">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河北省民族事务</w:t>
            </w:r>
          </w:p>
          <w:p w14:paraId="5912DB9B">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sz w:val="18"/>
                <w:szCs w:val="18"/>
                <w:u w:val="none"/>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委员会</w:t>
            </w:r>
          </w:p>
        </w:tc>
        <w:tc>
          <w:tcPr>
            <w:tcW w:w="964" w:type="dxa"/>
            <w:tcBorders>
              <w:tl2br w:val="nil"/>
              <w:tr2bl w:val="nil"/>
            </w:tcBorders>
            <w:shd w:val="clear" w:color="auto" w:fill="auto"/>
            <w:vAlign w:val="center"/>
          </w:tcPr>
          <w:p w14:paraId="5AB5E169">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市级、县级</w:t>
            </w:r>
          </w:p>
        </w:tc>
        <w:tc>
          <w:tcPr>
            <w:tcW w:w="3968" w:type="dxa"/>
            <w:tcBorders>
              <w:tl2br w:val="nil"/>
              <w:tr2bl w:val="nil"/>
            </w:tcBorders>
            <w:shd w:val="clear" w:color="auto" w:fill="auto"/>
            <w:vAlign w:val="center"/>
          </w:tcPr>
          <w:p w14:paraId="4EB64CAC">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立案责任：民宗部门在检查中发现或者接到举报有涉及《河北省清真食品管理条例》的违法行为或者交办、上报、移送的此类违法案件，应予以审查，决定是否立案；符合立案条件的，应当在七个工作日内立案。</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2.调查责任：民宗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3.审查责任：民宗部门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4.告知责任：作出行政处罚决定前，应制作《行政处罚告知书》送达当事人，告知违法事实及其享有的陈述、申辩等权利。符合听证规定的，制作并送达《行政处罚听证告知书》。</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5.决定责任：制作行政处罚决定书，载明行政处罚告知、当事人陈述申辩或者听证情况等内容。</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6.送达责任：行政处罚决定书按法律规定的方式送达当事人。</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7.执行责任：依照生效的行政处罚决定，到指定的银行缴纳罚款。</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8.其他法律法规规章文件规定应履行的责任。</w:t>
            </w:r>
          </w:p>
        </w:tc>
        <w:tc>
          <w:tcPr>
            <w:tcW w:w="3402" w:type="dxa"/>
            <w:tcBorders>
              <w:tl2br w:val="nil"/>
              <w:tr2bl w:val="nil"/>
            </w:tcBorders>
            <w:shd w:val="clear" w:color="auto" w:fill="auto"/>
            <w:vAlign w:val="center"/>
          </w:tcPr>
          <w:p w14:paraId="08038BB8">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因不履行或不正确履行行政职责，有下列情形的，行政机关及相关工作人员应承担相应责任：</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1.没有法律和事实依据实施行政处罚的；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2.行政处罚显失公正的；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3.执法人员玩忽职守，对应当予以制止和处罚的违法行为不予制止、处罚，致使清真食品生产企业和个人的合法权益遭受损害的；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4.不具备行政执法资格实施行政处罚的；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5.在制止以及查处违法案件中受阻，依照有关规定应当向本级人民政府或者上级行业主管部门报告而未报告的；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6.应当依法移送追究刑事责任，而未依法移送有权机关的；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7.擅自改变行政处罚种类、幅度的；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8.违反法定的行政处罚程序的；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9.符合听证条件、行政管理相对人要求听证，应予组织听证而不组织听证的；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10.在行政处罚过程中发生腐败行为的；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11.其他违反法律法规规章文件规定的行为。</w:t>
            </w:r>
          </w:p>
        </w:tc>
        <w:tc>
          <w:tcPr>
            <w:tcW w:w="567" w:type="dxa"/>
            <w:tcBorders>
              <w:tl2br w:val="nil"/>
              <w:tr2bl w:val="nil"/>
            </w:tcBorders>
            <w:shd w:val="clear" w:color="auto" w:fill="auto"/>
            <w:vAlign w:val="center"/>
          </w:tcPr>
          <w:p w14:paraId="4316A196">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r w14:paraId="35112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07597D53">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5</w:t>
            </w:r>
          </w:p>
        </w:tc>
        <w:tc>
          <w:tcPr>
            <w:tcW w:w="850" w:type="dxa"/>
            <w:tcBorders>
              <w:tl2br w:val="nil"/>
              <w:tr2bl w:val="nil"/>
            </w:tcBorders>
            <w:shd w:val="clear" w:color="auto" w:fill="auto"/>
            <w:vAlign w:val="center"/>
          </w:tcPr>
          <w:p w14:paraId="27AA3B1B">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行政处罚</w:t>
            </w:r>
          </w:p>
        </w:tc>
        <w:tc>
          <w:tcPr>
            <w:tcW w:w="1134" w:type="dxa"/>
            <w:tcBorders>
              <w:tl2br w:val="nil"/>
              <w:tr2bl w:val="nil"/>
            </w:tcBorders>
            <w:shd w:val="clear" w:color="auto" w:fill="auto"/>
            <w:vAlign w:val="center"/>
          </w:tcPr>
          <w:p w14:paraId="28DA641E">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对生产经营清真食品单位的字号、食品名称、专用包装物、广告用语或图像，含有清真饮食习惯少数民族忌讳的内容，逾期不改正的行政处罚。</w:t>
            </w:r>
          </w:p>
        </w:tc>
        <w:tc>
          <w:tcPr>
            <w:tcW w:w="3118" w:type="dxa"/>
            <w:tcBorders>
              <w:tl2br w:val="nil"/>
              <w:tr2bl w:val="nil"/>
            </w:tcBorders>
            <w:shd w:val="clear" w:color="auto" w:fill="auto"/>
            <w:vAlign w:val="center"/>
          </w:tcPr>
          <w:p w14:paraId="5E497570">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《河北省清真食品管理条例》第十五条 生产经营清真食品单位的字号、食品名称、专用包装物、广告用语或图像，不得含有</w:t>
            </w:r>
            <w:bookmarkStart w:id="0" w:name="_GoBack"/>
            <w:bookmarkEnd w:id="0"/>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清真饮食习惯少数民族忌讳的内容。第十七条 (七)违反本条例第十五条规定的，责令限期改正;逾期不改的，处以五百元以上一千元以下罚款。</w:t>
            </w:r>
          </w:p>
        </w:tc>
        <w:tc>
          <w:tcPr>
            <w:tcW w:w="1134" w:type="dxa"/>
            <w:tcBorders>
              <w:tl2br w:val="nil"/>
              <w:tr2bl w:val="nil"/>
            </w:tcBorders>
            <w:shd w:val="clear" w:color="auto" w:fill="auto"/>
            <w:tcMar>
              <w:top w:w="0" w:type="dxa"/>
              <w:left w:w="0" w:type="dxa"/>
              <w:bottom w:w="0" w:type="dxa"/>
              <w:right w:w="0" w:type="dxa"/>
            </w:tcMar>
            <w:vAlign w:val="center"/>
          </w:tcPr>
          <w:p w14:paraId="1D633EC7">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河北省民族事务</w:t>
            </w:r>
          </w:p>
          <w:p w14:paraId="02CA68B5">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sz w:val="18"/>
                <w:szCs w:val="18"/>
                <w:u w:val="none"/>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委员会</w:t>
            </w:r>
          </w:p>
        </w:tc>
        <w:tc>
          <w:tcPr>
            <w:tcW w:w="964" w:type="dxa"/>
            <w:tcBorders>
              <w:tl2br w:val="nil"/>
              <w:tr2bl w:val="nil"/>
            </w:tcBorders>
            <w:shd w:val="clear" w:color="auto" w:fill="auto"/>
            <w:vAlign w:val="center"/>
          </w:tcPr>
          <w:p w14:paraId="28F30D85">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市级、县级</w:t>
            </w:r>
          </w:p>
        </w:tc>
        <w:tc>
          <w:tcPr>
            <w:tcW w:w="3968" w:type="dxa"/>
            <w:tcBorders>
              <w:tl2br w:val="nil"/>
              <w:tr2bl w:val="nil"/>
            </w:tcBorders>
            <w:shd w:val="clear" w:color="auto" w:fill="auto"/>
            <w:vAlign w:val="center"/>
          </w:tcPr>
          <w:p w14:paraId="6A449617">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立案责任：民宗部门在检查中发现或者接到举报有涉及《河北省清真食品管理条例》的违法行为或者交办、上报、移送的此类违法案件，应予以审查，决定是否立案；符合立案条件的，应当在七个工作日内立案。</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2.调查责任：民宗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3.审查责任：民宗部门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4.告知责任：作出行政处罚决定前，应制作《行政处罚告知书》送达当事人，告知违法事实及其享有的陈述、申辩等权利。符合听证规定的，制作并送达《行政处罚听证告知书》。</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5.决定责任：制作行政处罚决定书，载明行政处罚告知、当事人陈述申辩或者听证情况等内容。</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6.送达责任：行政处罚决定书按法律规定的方式送达当事人。</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7.执行责任：依照生效的行政处罚决定，到指定的银行缴纳罚款。</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8.其他法律法规规章文件规定应履行的责任。</w:t>
            </w:r>
          </w:p>
        </w:tc>
        <w:tc>
          <w:tcPr>
            <w:tcW w:w="3402" w:type="dxa"/>
            <w:tcBorders>
              <w:tl2br w:val="nil"/>
              <w:tr2bl w:val="nil"/>
            </w:tcBorders>
            <w:shd w:val="clear" w:color="auto" w:fill="auto"/>
            <w:vAlign w:val="center"/>
          </w:tcPr>
          <w:p w14:paraId="509FD017">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因不履行或不正确履行行政职责，有下列情形的，行政机关及相关工作人员应承担相应责任：</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1.没有法律和事实依据实施行政处罚的；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2.行政处罚显失公正的；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3.执法人员玩忽职守，对应当予以制止和处罚的违法行为不予制止、处罚，致使清真食品生产企业和个人的合法权益遭受损害的；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4.不具备行政执法资格实施行政处罚的；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5.在制止以及查处违法案件中受阻，依照有关规定应当向本级人民政府或者上级行业主管部门报告而未报告的；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6.应当依法移送追究刑事责任，而未依法移送有权机关的；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7.擅自改变行政处罚种类、幅度的；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8.违反法定的行政处罚程序的；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9.符合听证条件、行政管理相对人要求听证，应予组织听证而不组织听证的；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10.在行政处罚过程中发生腐败行为的；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11.其他违反法律法规规章文件规定的行为。</w:t>
            </w:r>
          </w:p>
        </w:tc>
        <w:tc>
          <w:tcPr>
            <w:tcW w:w="567" w:type="dxa"/>
            <w:tcBorders>
              <w:tl2br w:val="nil"/>
              <w:tr2bl w:val="nil"/>
            </w:tcBorders>
            <w:shd w:val="clear" w:color="auto" w:fill="auto"/>
            <w:vAlign w:val="center"/>
          </w:tcPr>
          <w:p w14:paraId="3DCDA4EB">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r w14:paraId="144CA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12E4F9B7">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6</w:t>
            </w:r>
          </w:p>
        </w:tc>
        <w:tc>
          <w:tcPr>
            <w:tcW w:w="850" w:type="dxa"/>
            <w:tcBorders>
              <w:tl2br w:val="nil"/>
              <w:tr2bl w:val="nil"/>
            </w:tcBorders>
            <w:shd w:val="clear" w:color="auto" w:fill="auto"/>
            <w:vAlign w:val="center"/>
          </w:tcPr>
          <w:p w14:paraId="62E7A15C">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行政处罚</w:t>
            </w:r>
          </w:p>
        </w:tc>
        <w:tc>
          <w:tcPr>
            <w:tcW w:w="1134" w:type="dxa"/>
            <w:tcBorders>
              <w:tl2br w:val="nil"/>
              <w:tr2bl w:val="nil"/>
            </w:tcBorders>
            <w:shd w:val="clear" w:color="auto" w:fill="auto"/>
            <w:vAlign w:val="center"/>
          </w:tcPr>
          <w:p w14:paraId="374DCDAD">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擅自举行大型宗教活动的处罚</w:t>
            </w:r>
          </w:p>
        </w:tc>
        <w:tc>
          <w:tcPr>
            <w:tcW w:w="3118" w:type="dxa"/>
            <w:tcBorders>
              <w:tl2br w:val="nil"/>
              <w:tr2bl w:val="nil"/>
            </w:tcBorders>
            <w:shd w:val="clear" w:color="auto" w:fill="auto"/>
            <w:vAlign w:val="center"/>
          </w:tcPr>
          <w:p w14:paraId="7AB9B682">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 xml:space="preserve">《宗教事务条例》第六十四条 </w:t>
            </w:r>
            <w:r>
              <w:rPr>
                <w:rStyle w:val="7"/>
                <w:rFonts w:hint="eastAsia" w:ascii="仿宋_GB2312" w:eastAsia="仿宋_GB2312" w:cs="仿宋_GB2312"/>
                <w:color w:val="000000" w:themeColor="text1"/>
                <w:sz w:val="18"/>
                <w:szCs w:val="18"/>
                <w:lang w:val="en-US" w:eastAsia="zh-CN"/>
                <w14:textFill>
                  <w14:solidFill>
                    <w14:schemeClr w14:val="tx1"/>
                  </w14:solidFill>
                </w14:textFill>
              </w:rPr>
              <w:t>擅自举行大型宗教活动的，由宗教事务部门会同有关部门责令停止活动，可以并处10万元以上30万元以下的罚款；有违法所得、非法财物的，没收违法所得和非法财物。其中，大型宗教活动是宗教团体、宗教活动场所擅自举办的，登记管理机关还可以责令该宗教团体、宗教活动场所撤换直接负责的主管人员。</w:t>
            </w:r>
          </w:p>
        </w:tc>
        <w:tc>
          <w:tcPr>
            <w:tcW w:w="1134" w:type="dxa"/>
            <w:tcBorders>
              <w:tl2br w:val="nil"/>
              <w:tr2bl w:val="nil"/>
            </w:tcBorders>
            <w:shd w:val="clear" w:color="auto" w:fill="auto"/>
            <w:tcMar>
              <w:top w:w="0" w:type="dxa"/>
              <w:left w:w="0" w:type="dxa"/>
              <w:bottom w:w="0" w:type="dxa"/>
              <w:right w:w="0" w:type="dxa"/>
            </w:tcMar>
            <w:vAlign w:val="center"/>
          </w:tcPr>
          <w:p w14:paraId="729849B6">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河北省宗教</w:t>
            </w:r>
          </w:p>
          <w:p w14:paraId="7B8CF206">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sz w:val="18"/>
                <w:szCs w:val="18"/>
                <w:u w:val="none"/>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事务局</w:t>
            </w:r>
          </w:p>
        </w:tc>
        <w:tc>
          <w:tcPr>
            <w:tcW w:w="964" w:type="dxa"/>
            <w:tcBorders>
              <w:tl2br w:val="nil"/>
              <w:tr2bl w:val="nil"/>
            </w:tcBorders>
            <w:shd w:val="clear" w:color="auto" w:fill="auto"/>
            <w:vAlign w:val="center"/>
          </w:tcPr>
          <w:p w14:paraId="7B96DF49">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市级、县级</w:t>
            </w:r>
            <w:r>
              <w:rPr>
                <w:rFonts w:ascii="仿宋_GB2312" w:eastAsia="仿宋_GB2312" w:cs="仿宋_GB2312"/>
                <w:i w:val="0"/>
                <w:color w:val="000000" w:themeColor="text1"/>
                <w:kern w:val="0"/>
                <w:sz w:val="18"/>
                <w:szCs w:val="18"/>
                <w:u w:val="none"/>
                <w:lang w:val="en-US" w:eastAsia="zh-CN"/>
                <w14:textFill>
                  <w14:solidFill>
                    <w14:schemeClr w14:val="tx1"/>
                  </w14:solidFill>
                </w14:textFill>
              </w:rPr>
              <w:t>、乡级</w:t>
            </w:r>
          </w:p>
        </w:tc>
        <w:tc>
          <w:tcPr>
            <w:tcW w:w="3968" w:type="dxa"/>
            <w:tcBorders>
              <w:tl2br w:val="nil"/>
              <w:tr2bl w:val="nil"/>
            </w:tcBorders>
            <w:shd w:val="clear" w:color="auto" w:fill="auto"/>
            <w:vAlign w:val="center"/>
          </w:tcPr>
          <w:p w14:paraId="0346B136">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1.立案责任：民宗部门在检查中发现或者接到举报有涉及《宗教事务条例》的违法行为或者交办、上报、移送的此类违法案件，应予以审查，决定是否立案；符合立案条件的，应当在七个工作日内立案。</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2.调查责任：民宗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3.审查责任：民宗部门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4.告知责任：作出行政处罚决定前，应制作《行政处罚告知书》送达当事人，告知违法事实及其享有的陈述、申辩等权利。符合听证规定的，制作并送达《行政处罚听证告知书》。</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5.决定责任：制作行政处罚决定书，载明行政处罚告知、当事人陈述申辩或者听证情况等内容。</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6.送达责任：行政处罚决定书按法律规定的方式送达当事人。</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7.执行责任：依照生效的行政处罚决定，到指定的银行缴纳罚款。</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8.其他法律法规规章文件规定应履行的责任。</w:t>
            </w:r>
          </w:p>
        </w:tc>
        <w:tc>
          <w:tcPr>
            <w:tcW w:w="3402" w:type="dxa"/>
            <w:tcBorders>
              <w:tl2br w:val="nil"/>
              <w:tr2bl w:val="nil"/>
            </w:tcBorders>
            <w:shd w:val="clear" w:color="auto" w:fill="auto"/>
            <w:vAlign w:val="center"/>
          </w:tcPr>
          <w:p w14:paraId="4FCCFC06">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因不履行或不正确履行行政职责，有下列情形的，行政机关及相关工作人员应承担相应责任：</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1.没有法律和事实依据实施行政处罚的；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2.行政处罚显失公正的；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3.执法人员玩忽职守，对应当予以制止和处罚的违法行为不予制止、处罚，致使清真食品生产企业和个人的合法权益遭受损害的；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4.不具备行政执法资格实施行政处罚的；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5.在制止以及查处违法案件中受阻，依照有关规定应当向本级人民政府或者上级行业主管部门报告而未报告的；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6.应当依法移送追究刑事责任，而未依法移送有权机关的；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7.擅自改变行政处罚种类、幅度的；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8.违反法定的行政处罚程序的；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9.符合听证条件、行政管理相对人要求听证，应予组织听证而不组织听证的；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10.在行政处罚过程中发生腐败行为的；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11.其他违反法律法规规章文件规定的行为。</w:t>
            </w:r>
          </w:p>
        </w:tc>
        <w:tc>
          <w:tcPr>
            <w:tcW w:w="567" w:type="dxa"/>
            <w:tcBorders>
              <w:tl2br w:val="nil"/>
              <w:tr2bl w:val="nil"/>
            </w:tcBorders>
            <w:shd w:val="clear" w:color="auto" w:fill="auto"/>
            <w:vAlign w:val="center"/>
          </w:tcPr>
          <w:p w14:paraId="4394DC1E">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r w14:paraId="3B874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03B53868">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7</w:t>
            </w:r>
          </w:p>
        </w:tc>
        <w:tc>
          <w:tcPr>
            <w:tcW w:w="850" w:type="dxa"/>
            <w:tcBorders>
              <w:tl2br w:val="nil"/>
              <w:tr2bl w:val="nil"/>
            </w:tcBorders>
            <w:shd w:val="clear" w:color="auto" w:fill="auto"/>
            <w:vAlign w:val="center"/>
          </w:tcPr>
          <w:p w14:paraId="06A3C8AF">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行政处罚</w:t>
            </w:r>
          </w:p>
        </w:tc>
        <w:tc>
          <w:tcPr>
            <w:tcW w:w="1134" w:type="dxa"/>
            <w:tcBorders>
              <w:tl2br w:val="nil"/>
              <w:tr2bl w:val="nil"/>
            </w:tcBorders>
            <w:shd w:val="clear" w:color="auto" w:fill="auto"/>
            <w:vAlign w:val="center"/>
          </w:tcPr>
          <w:p w14:paraId="6ED95785">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对擅自设立宗教活动场所的，宗教活动场所已被撤销登记或者吊销登记证书仍然进行宗教活动的，或者擅自设立宗教院校的处罚</w:t>
            </w:r>
          </w:p>
        </w:tc>
        <w:tc>
          <w:tcPr>
            <w:tcW w:w="3118" w:type="dxa"/>
            <w:tcBorders>
              <w:tl2br w:val="nil"/>
              <w:tr2bl w:val="nil"/>
            </w:tcBorders>
            <w:shd w:val="clear" w:color="auto" w:fill="auto"/>
            <w:vAlign w:val="center"/>
          </w:tcPr>
          <w:p w14:paraId="190D9B0D">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 xml:space="preserve">《宗教事务条例》第六十九条 </w:t>
            </w:r>
            <w:r>
              <w:rPr>
                <w:rStyle w:val="7"/>
                <w:rFonts w:hint="eastAsia" w:ascii="仿宋_GB2312" w:eastAsia="仿宋_GB2312" w:cs="仿宋_GB2312"/>
                <w:color w:val="000000" w:themeColor="text1"/>
                <w:sz w:val="18"/>
                <w:szCs w:val="18"/>
                <w:lang w:val="en-US" w:eastAsia="zh-CN"/>
                <w14:textFill>
                  <w14:solidFill>
                    <w14:schemeClr w14:val="tx1"/>
                  </w14:solidFill>
                </w14:textFill>
              </w:rPr>
              <w:t>擅自设立宗教活动场所的，宗教活动场所已被撤销登记或者吊销登记证书仍然进行宗教活动的，或者擅自设立宗教院校的，由宗教事务部门会同有关部门予以取缔，有违法所得、非法财物的，没收违法所得和非法财物，违法所得无法确定的，处5万元以下的罚款；有违法房屋、构筑物的，由规划、建设等部门依法处理；有违反治安管理行为的，依法给予治安管理处罚。</w:t>
            </w:r>
            <w:r>
              <w:rPr>
                <w:rStyle w:val="7"/>
                <w:rFonts w:hint="eastAsia" w:ascii="仿宋_GB2312" w:eastAsia="仿宋_GB2312" w:cs="仿宋_GB2312"/>
                <w:color w:val="000000" w:themeColor="text1"/>
                <w:sz w:val="18"/>
                <w:szCs w:val="18"/>
                <w:lang w:val="en-US" w:eastAsia="zh-CN"/>
                <w14:textFill>
                  <w14:solidFill>
                    <w14:schemeClr w14:val="tx1"/>
                  </w14:solidFill>
                </w14:textFill>
              </w:rPr>
              <w:br w:type="textWrapping"/>
            </w:r>
          </w:p>
        </w:tc>
        <w:tc>
          <w:tcPr>
            <w:tcW w:w="1134" w:type="dxa"/>
            <w:tcBorders>
              <w:tl2br w:val="nil"/>
              <w:tr2bl w:val="nil"/>
            </w:tcBorders>
            <w:shd w:val="clear" w:color="auto" w:fill="auto"/>
            <w:tcMar>
              <w:top w:w="0" w:type="dxa"/>
              <w:left w:w="0" w:type="dxa"/>
              <w:bottom w:w="0" w:type="dxa"/>
              <w:right w:w="0" w:type="dxa"/>
            </w:tcMar>
            <w:vAlign w:val="center"/>
          </w:tcPr>
          <w:p w14:paraId="21977B71">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河北省宗教</w:t>
            </w:r>
          </w:p>
          <w:p w14:paraId="73196C60">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sz w:val="18"/>
                <w:szCs w:val="18"/>
                <w:u w:val="none"/>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事务局</w:t>
            </w:r>
          </w:p>
        </w:tc>
        <w:tc>
          <w:tcPr>
            <w:tcW w:w="964" w:type="dxa"/>
            <w:tcBorders>
              <w:tl2br w:val="nil"/>
              <w:tr2bl w:val="nil"/>
            </w:tcBorders>
            <w:shd w:val="clear" w:color="auto" w:fill="auto"/>
            <w:vAlign w:val="center"/>
          </w:tcPr>
          <w:p w14:paraId="035C4A71">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市级、县级</w:t>
            </w:r>
          </w:p>
        </w:tc>
        <w:tc>
          <w:tcPr>
            <w:tcW w:w="3968" w:type="dxa"/>
            <w:tcBorders>
              <w:tl2br w:val="nil"/>
              <w:tr2bl w:val="nil"/>
            </w:tcBorders>
            <w:shd w:val="clear" w:color="auto" w:fill="auto"/>
            <w:vAlign w:val="center"/>
          </w:tcPr>
          <w:p w14:paraId="5A63F4DA">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w:t>
            </w:r>
            <w:r>
              <w:rPr>
                <w:rStyle w:val="9"/>
                <w:rFonts w:hint="eastAsia" w:ascii="仿宋_GB2312" w:eastAsia="仿宋_GB2312" w:cs="仿宋_GB2312"/>
                <w:color w:val="000000" w:themeColor="text1"/>
                <w:sz w:val="18"/>
                <w:szCs w:val="18"/>
                <w:lang w:val="en-US" w:eastAsia="zh-CN"/>
                <w14:textFill>
                  <w14:solidFill>
                    <w14:schemeClr w14:val="tx1"/>
                  </w14:solidFill>
                </w14:textFill>
              </w:rPr>
              <w:t>立案责任：民宗部门在检查中发现或者接到举报有涉及《</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宗教事务条例</w:t>
            </w:r>
            <w:r>
              <w:rPr>
                <w:rStyle w:val="9"/>
                <w:rFonts w:hint="eastAsia" w:ascii="仿宋_GB2312" w:eastAsia="仿宋_GB2312" w:cs="仿宋_GB2312"/>
                <w:color w:val="000000" w:themeColor="text1"/>
                <w:sz w:val="18"/>
                <w:szCs w:val="18"/>
                <w:lang w:val="en-US" w:eastAsia="zh-CN"/>
                <w14:textFill>
                  <w14:solidFill>
                    <w14:schemeClr w14:val="tx1"/>
                  </w14:solidFill>
                </w14:textFill>
              </w:rPr>
              <w:t>》的违法行为或者交办、上报、移送的此类违法案件，应予以审查，决定是否立案；符合立案条件的，应当在七个工作日内立案。</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2.调查责任：民宗部门对立案的案件，指定专人负责，及时组织调查取证，与当事人有直接利害关系的应当回避。执法人员不得少于两人，调查时应出示执法证件，允许当事人辩解陈述。执法人员应保守有关秘密。</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3.审查责任：民宗部门审理案件调查报告，对案件违法事实、证据、调查取证程序、法律适用、处罚种类和幅度、当事人陈述和申辩理由等方面进行审查，提出处理意见（主要证据不足时，以适当的方式补充调查）。</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4.告知责任：作出行政处罚决定前，应制作《行政处罚告知书》送达当事人，告知违法事实及其享有的陈述、申辩等权利。符合听证规定的，制作并送达《行政处罚听证告知书》。</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5.决定责任：制作行政处罚决定书，载明行政处罚告知、当事人陈述申辩或者听证情况等内容。</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6.送达责任：行政处罚决定书按法律规定的方式送达当事人。</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7.执行责任：依照生效的行政处罚决定，到指定的银行缴纳罚款。</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8.其他法律法规规章文件规定应履行的责任。</w:t>
            </w:r>
          </w:p>
        </w:tc>
        <w:tc>
          <w:tcPr>
            <w:tcW w:w="3402" w:type="dxa"/>
            <w:tcBorders>
              <w:tl2br w:val="nil"/>
              <w:tr2bl w:val="nil"/>
            </w:tcBorders>
            <w:shd w:val="clear" w:color="auto" w:fill="auto"/>
            <w:vAlign w:val="center"/>
          </w:tcPr>
          <w:p w14:paraId="360A74EA">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因不履行或不正确履行行政职责，有下列情形的，行政机关及相关工作人员应承担相应责任：</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1.没有法律和事实依据实施行政处罚的；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2.行政处罚显失公正的；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3.执法人员玩忽职守，对应当予以制止和处罚的违法行为不予制止、处罚，致使清真食品生产企业和个人的合法权益遭受损害的；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4.不具备行政执法资格实施行政处罚的；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5.在制止以及查处违法案件中受阻，依照有关规定应当向本级人民政府或者上级行业主管部门报告而未报告的；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6.应当依法移送追究刑事责任，而未依法移送有权机关的；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7.擅自改变行政处罚种类、幅度的；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8.违反法定的行政处罚程序的；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9.符合听证条件、行政管理相对人要求听证，应予组织听证而不组织听证的；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10.在行政处罚过程中发生腐败行为的；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11.其他违反法律法规规章文件规定的行为。</w:t>
            </w:r>
          </w:p>
        </w:tc>
        <w:tc>
          <w:tcPr>
            <w:tcW w:w="567" w:type="dxa"/>
            <w:tcBorders>
              <w:tl2br w:val="nil"/>
              <w:tr2bl w:val="nil"/>
            </w:tcBorders>
            <w:shd w:val="clear" w:color="auto" w:fill="auto"/>
            <w:vAlign w:val="center"/>
          </w:tcPr>
          <w:p w14:paraId="5470E61F">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r w14:paraId="5015D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060A57CE">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8</w:t>
            </w:r>
          </w:p>
        </w:tc>
        <w:tc>
          <w:tcPr>
            <w:tcW w:w="850" w:type="dxa"/>
            <w:tcBorders>
              <w:tl2br w:val="nil"/>
              <w:tr2bl w:val="nil"/>
            </w:tcBorders>
            <w:shd w:val="clear" w:color="auto" w:fill="auto"/>
            <w:vAlign w:val="center"/>
          </w:tcPr>
          <w:p w14:paraId="3A27FA44">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行政处罚</w:t>
            </w:r>
          </w:p>
        </w:tc>
        <w:tc>
          <w:tcPr>
            <w:tcW w:w="1134" w:type="dxa"/>
            <w:tcBorders>
              <w:tl2br w:val="nil"/>
              <w:tr2bl w:val="nil"/>
            </w:tcBorders>
            <w:shd w:val="clear" w:color="auto" w:fill="auto"/>
            <w:vAlign w:val="center"/>
          </w:tcPr>
          <w:p w14:paraId="34ACF88F">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非宗教团体、非宗教活动场所、非指定的临时活动地点组织、举行宗教活动，接受宗教性捐赠的处罚</w:t>
            </w:r>
          </w:p>
        </w:tc>
        <w:tc>
          <w:tcPr>
            <w:tcW w:w="3118" w:type="dxa"/>
            <w:tcBorders>
              <w:tl2br w:val="nil"/>
              <w:tr2bl w:val="nil"/>
            </w:tcBorders>
            <w:shd w:val="clear" w:color="auto" w:fill="auto"/>
            <w:vAlign w:val="center"/>
          </w:tcPr>
          <w:p w14:paraId="6E0CF287">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 xml:space="preserve">《宗教事务条例》第六十九条 </w:t>
            </w:r>
            <w:r>
              <w:rPr>
                <w:rStyle w:val="7"/>
                <w:rFonts w:hint="eastAsia" w:ascii="仿宋_GB2312" w:eastAsia="仿宋_GB2312" w:cs="仿宋_GB2312"/>
                <w:color w:val="000000" w:themeColor="text1"/>
                <w:sz w:val="18"/>
                <w:szCs w:val="18"/>
                <w:lang w:val="en-US" w:eastAsia="zh-CN"/>
                <w14:textFill>
                  <w14:solidFill>
                    <w14:schemeClr w14:val="tx1"/>
                  </w14:solidFill>
                </w14:textFill>
              </w:rPr>
              <w:t>非宗教团体、非宗教院校、非宗教活动场所、非指定的临时活动地点组织、举行宗教活动，接受宗教性捐赠的，由宗教事务部门会同公安、民政、建设、教育、文化、旅游、文物等有关部门责令停止活动；有违法所得、非法财物的，没收违法所得和非法财物，可以并处违法所得1倍以上3倍以下的罚款；违法所得无法确定的，处5万元以下的罚款；构成犯罪的，依法追究刑事责任。</w:t>
            </w:r>
          </w:p>
        </w:tc>
        <w:tc>
          <w:tcPr>
            <w:tcW w:w="1134" w:type="dxa"/>
            <w:tcBorders>
              <w:tl2br w:val="nil"/>
              <w:tr2bl w:val="nil"/>
            </w:tcBorders>
            <w:shd w:val="clear" w:color="auto" w:fill="auto"/>
            <w:tcMar>
              <w:top w:w="0" w:type="dxa"/>
              <w:left w:w="0" w:type="dxa"/>
              <w:bottom w:w="0" w:type="dxa"/>
              <w:right w:w="0" w:type="dxa"/>
            </w:tcMar>
            <w:vAlign w:val="center"/>
          </w:tcPr>
          <w:p w14:paraId="02CA2D99">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河北省宗教</w:t>
            </w:r>
          </w:p>
          <w:p w14:paraId="24452693">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sz w:val="18"/>
                <w:szCs w:val="18"/>
                <w:u w:val="none"/>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事务局</w:t>
            </w:r>
          </w:p>
        </w:tc>
        <w:tc>
          <w:tcPr>
            <w:tcW w:w="964" w:type="dxa"/>
            <w:tcBorders>
              <w:tl2br w:val="nil"/>
              <w:tr2bl w:val="nil"/>
            </w:tcBorders>
            <w:shd w:val="clear" w:color="auto" w:fill="auto"/>
            <w:vAlign w:val="center"/>
          </w:tcPr>
          <w:p w14:paraId="00E7A447">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市级、县级</w:t>
            </w:r>
            <w:r>
              <w:rPr>
                <w:rFonts w:ascii="仿宋_GB2312" w:eastAsia="仿宋_GB2312" w:cs="仿宋_GB2312"/>
                <w:i w:val="0"/>
                <w:color w:val="000000" w:themeColor="text1"/>
                <w:kern w:val="0"/>
                <w:sz w:val="18"/>
                <w:szCs w:val="18"/>
                <w:u w:val="none"/>
                <w:lang w:val="en-US" w:eastAsia="zh-CN"/>
                <w14:textFill>
                  <w14:solidFill>
                    <w14:schemeClr w14:val="tx1"/>
                  </w14:solidFill>
                </w14:textFill>
              </w:rPr>
              <w:t>、乡级</w:t>
            </w:r>
          </w:p>
        </w:tc>
        <w:tc>
          <w:tcPr>
            <w:tcW w:w="3968" w:type="dxa"/>
            <w:tcBorders>
              <w:tl2br w:val="nil"/>
              <w:tr2bl w:val="nil"/>
            </w:tcBorders>
            <w:shd w:val="clear" w:color="auto" w:fill="auto"/>
            <w:vAlign w:val="center"/>
          </w:tcPr>
          <w:p w14:paraId="5B10C710">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w:t>
            </w:r>
            <w:r>
              <w:rPr>
                <w:rStyle w:val="9"/>
                <w:rFonts w:hint="eastAsia" w:ascii="仿宋_GB2312" w:eastAsia="仿宋_GB2312" w:cs="仿宋_GB2312"/>
                <w:color w:val="000000" w:themeColor="text1"/>
                <w:sz w:val="18"/>
                <w:szCs w:val="18"/>
                <w:lang w:val="en-US" w:eastAsia="zh-CN"/>
                <w14:textFill>
                  <w14:solidFill>
                    <w14:schemeClr w14:val="tx1"/>
                  </w14:solidFill>
                </w14:textFill>
              </w:rPr>
              <w:t>立案责任：民宗部门在检查中发现或者接到举报有涉及《</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宗教事务条例</w:t>
            </w:r>
            <w:r>
              <w:rPr>
                <w:rStyle w:val="9"/>
                <w:rFonts w:hint="eastAsia" w:ascii="仿宋_GB2312" w:eastAsia="仿宋_GB2312" w:cs="仿宋_GB2312"/>
                <w:color w:val="000000" w:themeColor="text1"/>
                <w:sz w:val="18"/>
                <w:szCs w:val="18"/>
                <w:lang w:val="en-US" w:eastAsia="zh-CN"/>
                <w14:textFill>
                  <w14:solidFill>
                    <w14:schemeClr w14:val="tx1"/>
                  </w14:solidFill>
                </w14:textFill>
              </w:rPr>
              <w:t>》的违法行为或者交办、上报、移送的此类违法案件，应予以审查，决定是否立案；符合立案条件的，应当在七个工作日内立案。</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2.调查责任：民宗部门对立案的案件，指定专人负责，及时组织调查取证，与当事人有直接利害关系的应当回避。执法人员不得少于两人，调查时应出示执法证件，允许当事人辩解陈述。执法人员应保守有关秘密。</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3.审查责任：民宗部门审理案件调查报告，对案件违法事实、证据、调查取证程序、法律适用、处罚种类和幅度、当事人陈述和申辩理由等方面进行审查，提出处理意见（主要证据不足时，以适当的方式补充调查）。</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4.告知责任：作出行政处罚决定前，应制作《行政处罚告知书》送达当事人，告知违法事实及其享有的陈述、申辩等权利。符合听证规定的，制作并送达《行政处罚听证告知书》。</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5.决定责任：制作行政处罚决定书，载明行政处罚告知、当事人陈述申辩或者听证情况等内容。</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6.送达责任：行政处罚决定书按法律规定的方式送达当事人。</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7.执行责任：依照生效的行政处罚决定，到指定的银行缴纳罚款。</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8.其他法律法规规章文件规定应履行的责任。</w:t>
            </w:r>
          </w:p>
        </w:tc>
        <w:tc>
          <w:tcPr>
            <w:tcW w:w="3402" w:type="dxa"/>
            <w:tcBorders>
              <w:tl2br w:val="nil"/>
              <w:tr2bl w:val="nil"/>
            </w:tcBorders>
            <w:shd w:val="clear" w:color="auto" w:fill="auto"/>
            <w:vAlign w:val="center"/>
          </w:tcPr>
          <w:p w14:paraId="7449EABC">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因不履行或不正确履行行政职责，有下列情形的，行政机关及相关工作人员应承担相应责任：</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1.没有法律和事实依据实施行政处罚的；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2.行政处罚显失公正的；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3.执法人员玩忽职守，对应当予以制止和处罚的违法行为不予制止、处罚，致使清真食品生产企业和个人的合法权益遭受损害的；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4.不具备行政执法资格实施行政处罚的；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5.在制止以及查处违法案件中受阻，依照有关规定应当向本级人民政府或者上级行业主管部门报告而未报告的；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6.应当依法移送追究刑事责任，而未依法移送有权机关的；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7.擅自改变行政处罚种类、幅度的；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8.违反法定的行政处罚程序的；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9.符合听证条件、行政管理相对人要求听证，应予组织听证而不组织听证的；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10.在行政处罚过程中发生腐败行为的；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11.其他违反法律法规规章文件规定的行为。</w:t>
            </w:r>
          </w:p>
        </w:tc>
        <w:tc>
          <w:tcPr>
            <w:tcW w:w="567" w:type="dxa"/>
            <w:tcBorders>
              <w:tl2br w:val="nil"/>
              <w:tr2bl w:val="nil"/>
            </w:tcBorders>
            <w:shd w:val="clear" w:color="auto" w:fill="auto"/>
            <w:vAlign w:val="center"/>
          </w:tcPr>
          <w:p w14:paraId="4E9CA00F">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r w14:paraId="08228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79025136">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9</w:t>
            </w:r>
          </w:p>
        </w:tc>
        <w:tc>
          <w:tcPr>
            <w:tcW w:w="850" w:type="dxa"/>
            <w:tcBorders>
              <w:tl2br w:val="nil"/>
              <w:tr2bl w:val="nil"/>
            </w:tcBorders>
            <w:shd w:val="clear" w:color="auto" w:fill="auto"/>
            <w:vAlign w:val="center"/>
          </w:tcPr>
          <w:p w14:paraId="7C7171F4">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行政处罚</w:t>
            </w:r>
          </w:p>
        </w:tc>
        <w:tc>
          <w:tcPr>
            <w:tcW w:w="1134" w:type="dxa"/>
            <w:tcBorders>
              <w:tl2br w:val="nil"/>
              <w:tr2bl w:val="nil"/>
            </w:tcBorders>
            <w:shd w:val="clear" w:color="auto" w:fill="auto"/>
            <w:vAlign w:val="center"/>
          </w:tcPr>
          <w:p w14:paraId="371049C7">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对擅自组织公民出境参加宗教方面的培训、会议、朝觐等活动的，或者擅自开展宗教教育培训的处罚</w:t>
            </w:r>
          </w:p>
        </w:tc>
        <w:tc>
          <w:tcPr>
            <w:tcW w:w="3118" w:type="dxa"/>
            <w:tcBorders>
              <w:tl2br w:val="nil"/>
              <w:tr2bl w:val="nil"/>
            </w:tcBorders>
            <w:shd w:val="clear" w:color="auto" w:fill="auto"/>
            <w:vAlign w:val="center"/>
          </w:tcPr>
          <w:p w14:paraId="20241483">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Style w:val="8"/>
                <w:rFonts w:hint="eastAsia" w:ascii="仿宋_GB2312" w:eastAsia="仿宋_GB2312" w:cs="仿宋_GB2312"/>
                <w:color w:val="000000" w:themeColor="text1"/>
                <w:sz w:val="18"/>
                <w:szCs w:val="18"/>
                <w:lang w:val="en-US" w:eastAsia="zh-CN"/>
                <w14:textFill>
                  <w14:solidFill>
                    <w14:schemeClr w14:val="tx1"/>
                  </w14:solidFill>
                </w14:textFill>
              </w:rPr>
              <w:t xml:space="preserve">《宗教事务条例》第七十条 </w:t>
            </w:r>
            <w:r>
              <w:rPr>
                <w:rStyle w:val="7"/>
                <w:rFonts w:hint="eastAsia" w:ascii="仿宋_GB2312" w:eastAsia="仿宋_GB2312" w:cs="仿宋_GB2312"/>
                <w:color w:val="000000" w:themeColor="text1"/>
                <w:sz w:val="18"/>
                <w:szCs w:val="18"/>
                <w:lang w:val="en-US" w:eastAsia="zh-CN"/>
                <w14:textFill>
                  <w14:solidFill>
                    <w14:schemeClr w14:val="tx1"/>
                  </w14:solidFill>
                </w14:textFill>
              </w:rPr>
              <w:t>擅自组织公民出境参加宗教方面的培训、会议、朝觐等活动的，或者擅自开展宗教教育培训的，由宗教事务部门会同有关部门责令停止活动，可以并处2万元以上20万元以下的罚款；有违法所得的，没收违法所得；构成犯罪的，依法追究刑事责任。</w:t>
            </w:r>
          </w:p>
        </w:tc>
        <w:tc>
          <w:tcPr>
            <w:tcW w:w="1134" w:type="dxa"/>
            <w:tcBorders>
              <w:tl2br w:val="nil"/>
              <w:tr2bl w:val="nil"/>
            </w:tcBorders>
            <w:shd w:val="clear" w:color="auto" w:fill="auto"/>
            <w:tcMar>
              <w:top w:w="0" w:type="dxa"/>
              <w:left w:w="0" w:type="dxa"/>
              <w:bottom w:w="0" w:type="dxa"/>
              <w:right w:w="0" w:type="dxa"/>
            </w:tcMar>
            <w:vAlign w:val="center"/>
          </w:tcPr>
          <w:p w14:paraId="56D35945">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河北省宗教</w:t>
            </w:r>
          </w:p>
          <w:p w14:paraId="17FADF69">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sz w:val="18"/>
                <w:szCs w:val="18"/>
                <w:u w:val="none"/>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事务局</w:t>
            </w:r>
          </w:p>
        </w:tc>
        <w:tc>
          <w:tcPr>
            <w:tcW w:w="964" w:type="dxa"/>
            <w:tcBorders>
              <w:tl2br w:val="nil"/>
              <w:tr2bl w:val="nil"/>
            </w:tcBorders>
            <w:shd w:val="clear" w:color="auto" w:fill="auto"/>
            <w:vAlign w:val="center"/>
          </w:tcPr>
          <w:p w14:paraId="3C0AD947">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市级、县级</w:t>
            </w:r>
            <w:r>
              <w:rPr>
                <w:rFonts w:ascii="仿宋_GB2312" w:eastAsia="仿宋_GB2312" w:cs="仿宋_GB2312"/>
                <w:i w:val="0"/>
                <w:color w:val="000000" w:themeColor="text1"/>
                <w:kern w:val="0"/>
                <w:sz w:val="18"/>
                <w:szCs w:val="18"/>
                <w:u w:val="none"/>
                <w:lang w:val="en-US" w:eastAsia="zh-CN"/>
                <w14:textFill>
                  <w14:solidFill>
                    <w14:schemeClr w14:val="tx1"/>
                  </w14:solidFill>
                </w14:textFill>
              </w:rPr>
              <w:t>、</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乡</w:t>
            </w:r>
            <w:r>
              <w:rPr>
                <w:rFonts w:ascii="仿宋_GB2312" w:eastAsia="仿宋_GB2312" w:cs="仿宋_GB2312"/>
                <w:i w:val="0"/>
                <w:color w:val="000000" w:themeColor="text1"/>
                <w:kern w:val="0"/>
                <w:sz w:val="18"/>
                <w:szCs w:val="18"/>
                <w:u w:val="none"/>
                <w:lang w:val="en-US" w:eastAsia="zh-CN"/>
                <w14:textFill>
                  <w14:solidFill>
                    <w14:schemeClr w14:val="tx1"/>
                  </w14:solidFill>
                </w14:textFill>
              </w:rPr>
              <w:t>级</w:t>
            </w:r>
          </w:p>
        </w:tc>
        <w:tc>
          <w:tcPr>
            <w:tcW w:w="3968" w:type="dxa"/>
            <w:tcBorders>
              <w:tl2br w:val="nil"/>
              <w:tr2bl w:val="nil"/>
            </w:tcBorders>
            <w:shd w:val="clear" w:color="auto" w:fill="auto"/>
            <w:vAlign w:val="center"/>
          </w:tcPr>
          <w:p w14:paraId="621DF309">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w:t>
            </w:r>
            <w:r>
              <w:rPr>
                <w:rStyle w:val="9"/>
                <w:rFonts w:hint="eastAsia" w:ascii="仿宋_GB2312" w:eastAsia="仿宋_GB2312" w:cs="仿宋_GB2312"/>
                <w:color w:val="000000" w:themeColor="text1"/>
                <w:sz w:val="18"/>
                <w:szCs w:val="18"/>
                <w:lang w:val="en-US" w:eastAsia="zh-CN"/>
                <w14:textFill>
                  <w14:solidFill>
                    <w14:schemeClr w14:val="tx1"/>
                  </w14:solidFill>
                </w14:textFill>
              </w:rPr>
              <w:t>立案责任：民宗部门在检查中发现或者接到举报有涉及《</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宗教事务条例</w:t>
            </w:r>
            <w:r>
              <w:rPr>
                <w:rStyle w:val="9"/>
                <w:rFonts w:hint="eastAsia" w:ascii="仿宋_GB2312" w:eastAsia="仿宋_GB2312" w:cs="仿宋_GB2312"/>
                <w:color w:val="000000" w:themeColor="text1"/>
                <w:sz w:val="18"/>
                <w:szCs w:val="18"/>
                <w:lang w:val="en-US" w:eastAsia="zh-CN"/>
                <w14:textFill>
                  <w14:solidFill>
                    <w14:schemeClr w14:val="tx1"/>
                  </w14:solidFill>
                </w14:textFill>
              </w:rPr>
              <w:t>》的违法行为或者交办、上报、移送的此类违法案件，应予以审查，决定是否立案；符合立案条件的，应当在七个工作日内立案。</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2.调查责任：民宗部门对立案的案件，指定专人负责，及时组织调查取证，与当事人有直接利害关系的应当回避。执法人员不得少于两人，调查时应出示执法证件，允许当事人辩解陈述。执法人员应保守有关秘密。</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3.审查责任：民宗部门审理案件调查报告，对案件违法事实、证据、调查取证程序、法律适用、处罚种类和幅度、当事人陈述和申辩理由等方面进行审查，提出处理意见（主要证据不足时，以适当的方式补充调查）。</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4.告知责任：作出行政处罚决定前，应制作《行政处罚告知书》送达当事人，告知违法事实及其享有的陈述、申辩等权利。符合听证规定的，制作并送达《行政处罚听证告知书》。</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5.决定责任：制作行政处罚决定书，载明行政处罚告知、当事人陈述申辩或者听证情况等内容。</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6.送达责任：行政处罚决定书按法律规定的方式送达当事人。</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7.执行责任：依照生效的行政处罚决定，到指定的银行缴纳罚款。</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8.其他法律法规规章文件规定应履行的责任。</w:t>
            </w:r>
          </w:p>
        </w:tc>
        <w:tc>
          <w:tcPr>
            <w:tcW w:w="3402" w:type="dxa"/>
            <w:tcBorders>
              <w:tl2br w:val="nil"/>
              <w:tr2bl w:val="nil"/>
            </w:tcBorders>
            <w:shd w:val="clear" w:color="auto" w:fill="auto"/>
            <w:vAlign w:val="center"/>
          </w:tcPr>
          <w:p w14:paraId="40CF9E02">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因不履行或不正确履行行政职责，有下列情形的，行政机关及相关工作人员应承担相应责任：</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1.没有法律和事实依据实施行政处罚的；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2.行政处罚显失公正的；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3.执法人员玩忽职守，对应当予以制止和处罚的违法行为不予制止、处罚，致使清真食品生产企业和个人的合法权益遭受损害的；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4.不具备行政执法资格实施行政处罚的；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5.在制止以及查处违法案件中受阻，依照有关规定应当向本级人民政府或者上级行业主管部门报告而未报告的；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6.应当依法移送追究刑事责任，而未依法移送有权机关的；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7.擅自改变行政处罚种类、幅度的；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8.违反法定的行政处罚程序的；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9.符合听证条件、行政管理相对人要求听证，应予组织听证而不组织听证的；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10.在行政处罚过程中发生腐败行为的；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11.其他违反法律法规规章文件规定的行为。</w:t>
            </w:r>
          </w:p>
        </w:tc>
        <w:tc>
          <w:tcPr>
            <w:tcW w:w="567" w:type="dxa"/>
            <w:tcBorders>
              <w:tl2br w:val="nil"/>
              <w:tr2bl w:val="nil"/>
            </w:tcBorders>
            <w:shd w:val="clear" w:color="auto" w:fill="auto"/>
            <w:vAlign w:val="center"/>
          </w:tcPr>
          <w:p w14:paraId="2E123125">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r w14:paraId="5F0EE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41D7D446">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10</w:t>
            </w:r>
          </w:p>
        </w:tc>
        <w:tc>
          <w:tcPr>
            <w:tcW w:w="850" w:type="dxa"/>
            <w:tcBorders>
              <w:tl2br w:val="nil"/>
              <w:tr2bl w:val="nil"/>
            </w:tcBorders>
            <w:shd w:val="clear" w:color="auto" w:fill="auto"/>
            <w:vAlign w:val="center"/>
          </w:tcPr>
          <w:p w14:paraId="6BA62D4E">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行政处罚</w:t>
            </w:r>
          </w:p>
        </w:tc>
        <w:tc>
          <w:tcPr>
            <w:tcW w:w="1134" w:type="dxa"/>
            <w:tcBorders>
              <w:tl2br w:val="nil"/>
              <w:tr2bl w:val="nil"/>
            </w:tcBorders>
            <w:shd w:val="clear" w:color="auto" w:fill="auto"/>
            <w:vAlign w:val="center"/>
          </w:tcPr>
          <w:p w14:paraId="185AB5B3">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为违法宗教活动提供条件的处罚</w:t>
            </w:r>
          </w:p>
        </w:tc>
        <w:tc>
          <w:tcPr>
            <w:tcW w:w="3118" w:type="dxa"/>
            <w:tcBorders>
              <w:tl2br w:val="nil"/>
              <w:tr2bl w:val="nil"/>
            </w:tcBorders>
            <w:shd w:val="clear" w:color="auto" w:fill="auto"/>
            <w:vAlign w:val="center"/>
          </w:tcPr>
          <w:p w14:paraId="0B94DB5C">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《宗教事务条例》第</w:t>
            </w:r>
            <w:r>
              <w:rPr>
                <w:rStyle w:val="8"/>
                <w:rFonts w:hint="eastAsia" w:ascii="仿宋_GB2312" w:eastAsia="仿宋_GB2312" w:cs="仿宋_GB2312"/>
                <w:color w:val="000000" w:themeColor="text1"/>
                <w:sz w:val="18"/>
                <w:szCs w:val="18"/>
                <w:lang w:val="en-US" w:eastAsia="zh-CN"/>
                <w14:textFill>
                  <w14:solidFill>
                    <w14:schemeClr w14:val="tx1"/>
                  </w14:solidFill>
                </w14:textFill>
              </w:rPr>
              <w:t>七十一条 为违法宗教活动提供条件的，由宗教事务部门给予警告，有违法所得、非法财物的，没收违法所得和非法财物，情节严重的，并处2万元以上20万元以下的罚款；有违法房屋、构筑物的，由规划、建设等部门依法处理；有违反治安管理行为的，依法给予治安管理处罚。</w:t>
            </w:r>
          </w:p>
        </w:tc>
        <w:tc>
          <w:tcPr>
            <w:tcW w:w="1134" w:type="dxa"/>
            <w:tcBorders>
              <w:tl2br w:val="nil"/>
              <w:tr2bl w:val="nil"/>
            </w:tcBorders>
            <w:shd w:val="clear" w:color="auto" w:fill="auto"/>
            <w:tcMar>
              <w:top w:w="0" w:type="dxa"/>
              <w:left w:w="0" w:type="dxa"/>
              <w:bottom w:w="0" w:type="dxa"/>
              <w:right w:w="0" w:type="dxa"/>
            </w:tcMar>
            <w:vAlign w:val="center"/>
          </w:tcPr>
          <w:p w14:paraId="583F824B">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河北省宗教</w:t>
            </w:r>
          </w:p>
          <w:p w14:paraId="00CD6F4C">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sz w:val="18"/>
                <w:szCs w:val="18"/>
                <w:u w:val="none"/>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事务局</w:t>
            </w:r>
          </w:p>
        </w:tc>
        <w:tc>
          <w:tcPr>
            <w:tcW w:w="964" w:type="dxa"/>
            <w:tcBorders>
              <w:tl2br w:val="nil"/>
              <w:tr2bl w:val="nil"/>
            </w:tcBorders>
            <w:shd w:val="clear" w:color="auto" w:fill="auto"/>
            <w:vAlign w:val="center"/>
          </w:tcPr>
          <w:p w14:paraId="5F2FC0B5">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市级、县级</w:t>
            </w:r>
            <w:r>
              <w:rPr>
                <w:rFonts w:ascii="仿宋_GB2312" w:eastAsia="仿宋_GB2312" w:cs="仿宋_GB2312"/>
                <w:i w:val="0"/>
                <w:color w:val="000000" w:themeColor="text1"/>
                <w:kern w:val="0"/>
                <w:sz w:val="18"/>
                <w:szCs w:val="18"/>
                <w:u w:val="none"/>
                <w:lang w:val="en-US" w:eastAsia="zh-CN"/>
                <w14:textFill>
                  <w14:solidFill>
                    <w14:schemeClr w14:val="tx1"/>
                  </w14:solidFill>
                </w14:textFill>
              </w:rPr>
              <w:t>、乡级</w:t>
            </w:r>
          </w:p>
        </w:tc>
        <w:tc>
          <w:tcPr>
            <w:tcW w:w="3968" w:type="dxa"/>
            <w:tcBorders>
              <w:tl2br w:val="nil"/>
              <w:tr2bl w:val="nil"/>
            </w:tcBorders>
            <w:shd w:val="clear" w:color="auto" w:fill="auto"/>
            <w:vAlign w:val="center"/>
          </w:tcPr>
          <w:p w14:paraId="3A205852">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w:t>
            </w:r>
            <w:r>
              <w:rPr>
                <w:rStyle w:val="9"/>
                <w:rFonts w:hint="eastAsia" w:ascii="仿宋_GB2312" w:eastAsia="仿宋_GB2312" w:cs="仿宋_GB2312"/>
                <w:color w:val="000000" w:themeColor="text1"/>
                <w:sz w:val="18"/>
                <w:szCs w:val="18"/>
                <w:lang w:val="en-US" w:eastAsia="zh-CN"/>
                <w14:textFill>
                  <w14:solidFill>
                    <w14:schemeClr w14:val="tx1"/>
                  </w14:solidFill>
                </w14:textFill>
              </w:rPr>
              <w:t>立案责任：民宗部门在检查中发现或者接到举报有涉及《</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宗教事务条例</w:t>
            </w:r>
            <w:r>
              <w:rPr>
                <w:rStyle w:val="9"/>
                <w:rFonts w:hint="eastAsia" w:ascii="仿宋_GB2312" w:eastAsia="仿宋_GB2312" w:cs="仿宋_GB2312"/>
                <w:color w:val="000000" w:themeColor="text1"/>
                <w:sz w:val="18"/>
                <w:szCs w:val="18"/>
                <w:lang w:val="en-US" w:eastAsia="zh-CN"/>
                <w14:textFill>
                  <w14:solidFill>
                    <w14:schemeClr w14:val="tx1"/>
                  </w14:solidFill>
                </w14:textFill>
              </w:rPr>
              <w:t>》的违法行为或者交办、上报、移送的此类违法案件，应予以审查，决定是否立案；符合立案条件的，应当在七个工作日内立案。</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2.调查责任：民宗部门对立案的案件，指定专人负责，及时组织调查取证，与当事人有直接利害关系的应当回避。执法人员不得少于两人，调查时应出示执法证件，允许当事人辩解陈述。执法人员应保守有关秘密。</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3.审查责任：民宗部门审理案件调查报告，对案件违法事实、证据、调查取证程序、法律适用、处罚种类和幅度、当事人陈述和申辩理由等方面进行审查，提出处理意见（主要证据不足时，以适当的方式补充调查）。</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4.告知责任：作出行政处罚决定前，应制作《行政处罚告知书》送达当事人，告知违法事实及其享有的陈述、申辩等权利。符合听证规定的，制作并送达《行政处罚听证告知书》。</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5.决定责任：制作行政处罚决定书，载明行政处罚告知、当事人陈述申辩或者听证情况等内容。</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6.送达责任：行政处罚决定书按法律规定的方式送达当事人。</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7.执行责任：依照生效的行政处罚决定，到指定的银行缴纳罚款。</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8.其他法律法规规章文件规定应履行的责任。</w:t>
            </w:r>
          </w:p>
        </w:tc>
        <w:tc>
          <w:tcPr>
            <w:tcW w:w="3402" w:type="dxa"/>
            <w:tcBorders>
              <w:tl2br w:val="nil"/>
              <w:tr2bl w:val="nil"/>
            </w:tcBorders>
            <w:shd w:val="clear" w:color="auto" w:fill="auto"/>
            <w:vAlign w:val="center"/>
          </w:tcPr>
          <w:p w14:paraId="0EC68B6C">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因不履行或不正确履行行政职责，有下列情形的，行政机关及相关工作人员应承担相应责任：</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1.没有法律和事实依据实施行政处罚的；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2.行政处罚显失公正的；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3.执法人员玩忽职守，对应当予以制止和处罚的违法行为不予制止、处罚，致使清真食品生产企业和个人的合法权益遭受损害的；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4.不具备行政执法资格实施行政处罚的；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5.在制止以及查处违法案件中受阻，依照有关规定应当向本级人民政府或者上级行业主管部门报告而未报告的；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6.应当依法移送追究刑事责任，而未依法移送有权机关的；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7.擅自改变行政处罚种类、幅度的；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8.违反法定的行政处罚程序的；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9.符合听证条件、行政管理相对人要求听证，应予组织听证而不组织听证的；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10.在行政处罚过程中发生腐败行为的；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11.其他违反法律法规规章文件规定的行为。</w:t>
            </w:r>
          </w:p>
        </w:tc>
        <w:tc>
          <w:tcPr>
            <w:tcW w:w="567" w:type="dxa"/>
            <w:tcBorders>
              <w:tl2br w:val="nil"/>
              <w:tr2bl w:val="nil"/>
            </w:tcBorders>
            <w:shd w:val="clear" w:color="auto" w:fill="auto"/>
            <w:vAlign w:val="center"/>
          </w:tcPr>
          <w:p w14:paraId="752ED68D">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r w14:paraId="5779F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5DC30EF4">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11</w:t>
            </w:r>
          </w:p>
        </w:tc>
        <w:tc>
          <w:tcPr>
            <w:tcW w:w="850" w:type="dxa"/>
            <w:tcBorders>
              <w:tl2br w:val="nil"/>
              <w:tr2bl w:val="nil"/>
            </w:tcBorders>
            <w:shd w:val="clear" w:color="auto" w:fill="auto"/>
            <w:vAlign w:val="center"/>
          </w:tcPr>
          <w:p w14:paraId="1005EA64">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行政处罚</w:t>
            </w:r>
          </w:p>
        </w:tc>
        <w:tc>
          <w:tcPr>
            <w:tcW w:w="1134" w:type="dxa"/>
            <w:tcBorders>
              <w:tl2br w:val="nil"/>
              <w:tr2bl w:val="nil"/>
            </w:tcBorders>
            <w:shd w:val="clear" w:color="auto" w:fill="auto"/>
            <w:vAlign w:val="center"/>
          </w:tcPr>
          <w:p w14:paraId="49D434CF">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违法修建大型露天宗教造像的处罚</w:t>
            </w:r>
          </w:p>
        </w:tc>
        <w:tc>
          <w:tcPr>
            <w:tcW w:w="3118" w:type="dxa"/>
            <w:tcBorders>
              <w:tl2br w:val="nil"/>
              <w:tr2bl w:val="nil"/>
            </w:tcBorders>
            <w:shd w:val="clear" w:color="auto" w:fill="auto"/>
            <w:vAlign w:val="center"/>
          </w:tcPr>
          <w:p w14:paraId="6D23F95A">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《宗教事务条例》第</w:t>
            </w:r>
            <w:r>
              <w:rPr>
                <w:rStyle w:val="8"/>
                <w:rFonts w:hint="eastAsia" w:ascii="仿宋_GB2312" w:eastAsia="仿宋_GB2312" w:cs="仿宋_GB2312"/>
                <w:color w:val="000000" w:themeColor="text1"/>
                <w:sz w:val="18"/>
                <w:szCs w:val="18"/>
                <w:lang w:val="en-US" w:eastAsia="zh-CN"/>
                <w14:textFill>
                  <w14:solidFill>
                    <w14:schemeClr w14:val="tx1"/>
                  </w14:solidFill>
                </w14:textFill>
              </w:rPr>
              <w:t xml:space="preserve">七十二条第一款 </w:t>
            </w:r>
            <w:r>
              <w:rPr>
                <w:rStyle w:val="7"/>
                <w:rFonts w:hint="eastAsia" w:ascii="仿宋_GB2312" w:eastAsia="仿宋_GB2312" w:cs="仿宋_GB2312"/>
                <w:color w:val="000000" w:themeColor="text1"/>
                <w:sz w:val="18"/>
                <w:szCs w:val="18"/>
                <w:lang w:val="en-US" w:eastAsia="zh-CN"/>
                <w14:textFill>
                  <w14:solidFill>
                    <w14:schemeClr w14:val="tx1"/>
                  </w14:solidFill>
                </w14:textFill>
              </w:rPr>
              <w:t>违反本条例规定修建大型露天宗教造像的，由宗教事务部门会同国土、规划、建设、旅游等部门责令停止施工，限期拆除，有违法所得的，没收违法所得；情节严重的，并处造像建设工程造价百分之五以上百分之十以下的罚款。</w:t>
            </w:r>
          </w:p>
        </w:tc>
        <w:tc>
          <w:tcPr>
            <w:tcW w:w="1134" w:type="dxa"/>
            <w:tcBorders>
              <w:tl2br w:val="nil"/>
              <w:tr2bl w:val="nil"/>
            </w:tcBorders>
            <w:shd w:val="clear" w:color="auto" w:fill="auto"/>
            <w:tcMar>
              <w:top w:w="0" w:type="dxa"/>
              <w:left w:w="0" w:type="dxa"/>
              <w:bottom w:w="0" w:type="dxa"/>
              <w:right w:w="0" w:type="dxa"/>
            </w:tcMar>
            <w:vAlign w:val="center"/>
          </w:tcPr>
          <w:p w14:paraId="73C5FA5C">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河北省宗教</w:t>
            </w:r>
          </w:p>
          <w:p w14:paraId="5024CBC5">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sz w:val="18"/>
                <w:szCs w:val="18"/>
                <w:u w:val="none"/>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事务局</w:t>
            </w:r>
          </w:p>
        </w:tc>
        <w:tc>
          <w:tcPr>
            <w:tcW w:w="964" w:type="dxa"/>
            <w:tcBorders>
              <w:tl2br w:val="nil"/>
              <w:tr2bl w:val="nil"/>
            </w:tcBorders>
            <w:shd w:val="clear" w:color="auto" w:fill="auto"/>
            <w:vAlign w:val="center"/>
          </w:tcPr>
          <w:p w14:paraId="2FAE48AC">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市级、县级</w:t>
            </w:r>
          </w:p>
        </w:tc>
        <w:tc>
          <w:tcPr>
            <w:tcW w:w="3968" w:type="dxa"/>
            <w:tcBorders>
              <w:tl2br w:val="nil"/>
              <w:tr2bl w:val="nil"/>
            </w:tcBorders>
            <w:shd w:val="clear" w:color="auto" w:fill="auto"/>
            <w:vAlign w:val="center"/>
          </w:tcPr>
          <w:p w14:paraId="1196355A">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w:t>
            </w:r>
            <w:r>
              <w:rPr>
                <w:rStyle w:val="9"/>
                <w:rFonts w:hint="eastAsia" w:ascii="仿宋_GB2312" w:eastAsia="仿宋_GB2312" w:cs="仿宋_GB2312"/>
                <w:color w:val="000000" w:themeColor="text1"/>
                <w:sz w:val="18"/>
                <w:szCs w:val="18"/>
                <w:lang w:val="en-US" w:eastAsia="zh-CN"/>
                <w14:textFill>
                  <w14:solidFill>
                    <w14:schemeClr w14:val="tx1"/>
                  </w14:solidFill>
                </w14:textFill>
              </w:rPr>
              <w:t>立案责任：民宗部门在检查中发现或者接到举报有涉及《</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宗教事务条例</w:t>
            </w:r>
            <w:r>
              <w:rPr>
                <w:rStyle w:val="9"/>
                <w:rFonts w:hint="eastAsia" w:ascii="仿宋_GB2312" w:eastAsia="仿宋_GB2312" w:cs="仿宋_GB2312"/>
                <w:color w:val="000000" w:themeColor="text1"/>
                <w:sz w:val="18"/>
                <w:szCs w:val="18"/>
                <w:lang w:val="en-US" w:eastAsia="zh-CN"/>
                <w14:textFill>
                  <w14:solidFill>
                    <w14:schemeClr w14:val="tx1"/>
                  </w14:solidFill>
                </w14:textFill>
              </w:rPr>
              <w:t>》的违法行为或者交办、上报、移送的此类违法案件，应予以审查，决定是否立案；符合立案条件的，应当在七个工作日内立案。</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2.调查责任：民宗部门对立案的案件，指定专人负责，及时组织调查取证，与当事人有直接利害关系的应当回避。执法人员不得少于两人，调查时应出示执法证件，允许当事人辩解陈述。执法人员应保守有关秘密。</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3.审查责任：民宗部门审理案件调查报告，对案件违法事实、证据、调查取证程序、法律适用、处罚种类和幅度、当事人陈述和申辩理由等方面进行审查，提出处理意见（主要证据不足时，以适当的方式补充调查）。</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4.告知责任：作出行政处罚决定前，应制作《行政处罚告知书》送达当事人，告知违法事实及其享有的陈述、申辩等权利。符合听证规定的，制作并送达《行政处罚听证告知书》。</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5.决定责任：制作行政处罚决定书，载明行政处罚告知、当事人陈述申辩或者听证情况等内容。</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6.送达责任：行政处罚决定书按法律规定的方式送达当事人。</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7.执行责任：依照生效的行政处罚决定，到指定的银行缴纳罚款。</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8.其他法律法规规章文件规定应履行的责任。</w:t>
            </w:r>
          </w:p>
        </w:tc>
        <w:tc>
          <w:tcPr>
            <w:tcW w:w="3402" w:type="dxa"/>
            <w:tcBorders>
              <w:tl2br w:val="nil"/>
              <w:tr2bl w:val="nil"/>
            </w:tcBorders>
            <w:shd w:val="clear" w:color="auto" w:fill="auto"/>
            <w:vAlign w:val="center"/>
          </w:tcPr>
          <w:p w14:paraId="58B21274">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因不履行或不正确履行行政职责，有下列情形的，行政机关及相关工作人员应承担相应责任：</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1.没有法律和事实依据实施行政处罚的；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2.行政处罚显失公正的；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3.执法人员玩忽职守，对应当予以制止和处罚的违法行为不予制止、处罚，致使清真食品生产企业和个人的合法权益遭受损害的；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4.不具备行政执法资格实施行政处罚的；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5.在制止以及查处违法案件中受阻，依照有关规定应当向本级人民政府或者上级行业主管部门报告而未报告的；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6.应当依法移送追究刑事责任，而未依法移送有权机关的；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7.擅自改变行政处罚种类、幅度的；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8.违反法定的行政处罚程序的；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9.符合听证条件、行政管理相对人要求听证，应予组织听证而不组织听证的；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10.在行政处罚过程中发生腐败行为的；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11.其他违反法律法规规章文件规定的行为。</w:t>
            </w:r>
          </w:p>
        </w:tc>
        <w:tc>
          <w:tcPr>
            <w:tcW w:w="567" w:type="dxa"/>
            <w:tcBorders>
              <w:tl2br w:val="nil"/>
              <w:tr2bl w:val="nil"/>
            </w:tcBorders>
            <w:shd w:val="clear" w:color="auto" w:fill="auto"/>
            <w:vAlign w:val="center"/>
          </w:tcPr>
          <w:p w14:paraId="1B49429B">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r w14:paraId="3BE12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1E7032BA">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12</w:t>
            </w:r>
          </w:p>
        </w:tc>
        <w:tc>
          <w:tcPr>
            <w:tcW w:w="850" w:type="dxa"/>
            <w:tcBorders>
              <w:tl2br w:val="nil"/>
              <w:tr2bl w:val="nil"/>
            </w:tcBorders>
            <w:shd w:val="clear" w:color="auto" w:fill="auto"/>
            <w:vAlign w:val="center"/>
          </w:tcPr>
          <w:p w14:paraId="349C71C6">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行政处罚</w:t>
            </w:r>
          </w:p>
        </w:tc>
        <w:tc>
          <w:tcPr>
            <w:tcW w:w="1134" w:type="dxa"/>
            <w:tcBorders>
              <w:tl2br w:val="nil"/>
              <w:tr2bl w:val="nil"/>
            </w:tcBorders>
            <w:shd w:val="clear" w:color="auto" w:fill="auto"/>
            <w:vAlign w:val="center"/>
          </w:tcPr>
          <w:p w14:paraId="5E1861FF">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投资、承包经营宗教活动场所或者大型露天宗教造像的处罚</w:t>
            </w:r>
          </w:p>
        </w:tc>
        <w:tc>
          <w:tcPr>
            <w:tcW w:w="3118" w:type="dxa"/>
            <w:tcBorders>
              <w:tl2br w:val="nil"/>
              <w:tr2bl w:val="nil"/>
            </w:tcBorders>
            <w:shd w:val="clear" w:color="auto" w:fill="auto"/>
            <w:vAlign w:val="center"/>
          </w:tcPr>
          <w:p w14:paraId="5E7FD9D5">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《宗教事务条例》第</w:t>
            </w:r>
            <w:r>
              <w:rPr>
                <w:rStyle w:val="8"/>
                <w:rFonts w:hint="eastAsia" w:ascii="仿宋_GB2312" w:eastAsia="仿宋_GB2312" w:cs="仿宋_GB2312"/>
                <w:color w:val="000000" w:themeColor="text1"/>
                <w:sz w:val="18"/>
                <w:szCs w:val="18"/>
                <w:lang w:val="en-US" w:eastAsia="zh-CN"/>
                <w14:textFill>
                  <w14:solidFill>
                    <w14:schemeClr w14:val="tx1"/>
                  </w14:solidFill>
                </w14:textFill>
              </w:rPr>
              <w:t xml:space="preserve">七十二条第二款 </w:t>
            </w:r>
            <w:r>
              <w:rPr>
                <w:rStyle w:val="7"/>
                <w:rFonts w:hint="eastAsia" w:ascii="仿宋_GB2312" w:eastAsia="仿宋_GB2312" w:cs="仿宋_GB2312"/>
                <w:color w:val="000000" w:themeColor="text1"/>
                <w:sz w:val="18"/>
                <w:szCs w:val="18"/>
                <w:lang w:val="en-US" w:eastAsia="zh-CN"/>
                <w14:textFill>
                  <w14:solidFill>
                    <w14:schemeClr w14:val="tx1"/>
                  </w14:solidFill>
                </w14:textFill>
              </w:rPr>
              <w:t>投资、承包经营宗教活动场所或者大型露天宗教造像的，由宗教事务部门会同工商、规划、建设等部门责令改正，并没收违法所得；情节严重的，由登记管理机关吊销该宗教活动场所的登记证书，并依法追究相关人员的责任</w:t>
            </w:r>
          </w:p>
        </w:tc>
        <w:tc>
          <w:tcPr>
            <w:tcW w:w="1134" w:type="dxa"/>
            <w:tcBorders>
              <w:tl2br w:val="nil"/>
              <w:tr2bl w:val="nil"/>
            </w:tcBorders>
            <w:shd w:val="clear" w:color="auto" w:fill="auto"/>
            <w:tcMar>
              <w:top w:w="0" w:type="dxa"/>
              <w:left w:w="0" w:type="dxa"/>
              <w:bottom w:w="0" w:type="dxa"/>
              <w:right w:w="0" w:type="dxa"/>
            </w:tcMar>
            <w:vAlign w:val="center"/>
          </w:tcPr>
          <w:p w14:paraId="3447C7E9">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河北省宗教</w:t>
            </w:r>
          </w:p>
          <w:p w14:paraId="3A44D28D">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sz w:val="18"/>
                <w:szCs w:val="18"/>
                <w:u w:val="none"/>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事务局</w:t>
            </w:r>
          </w:p>
        </w:tc>
        <w:tc>
          <w:tcPr>
            <w:tcW w:w="964" w:type="dxa"/>
            <w:tcBorders>
              <w:tl2br w:val="nil"/>
              <w:tr2bl w:val="nil"/>
            </w:tcBorders>
            <w:shd w:val="clear" w:color="auto" w:fill="auto"/>
            <w:vAlign w:val="center"/>
          </w:tcPr>
          <w:p w14:paraId="4EBA23D9">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市级、县级</w:t>
            </w:r>
          </w:p>
        </w:tc>
        <w:tc>
          <w:tcPr>
            <w:tcW w:w="3968" w:type="dxa"/>
            <w:tcBorders>
              <w:tl2br w:val="nil"/>
              <w:tr2bl w:val="nil"/>
            </w:tcBorders>
            <w:shd w:val="clear" w:color="auto" w:fill="auto"/>
            <w:vAlign w:val="center"/>
          </w:tcPr>
          <w:p w14:paraId="2631AF43">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w:t>
            </w:r>
            <w:r>
              <w:rPr>
                <w:rStyle w:val="9"/>
                <w:rFonts w:hint="eastAsia" w:ascii="仿宋_GB2312" w:eastAsia="仿宋_GB2312" w:cs="仿宋_GB2312"/>
                <w:color w:val="000000" w:themeColor="text1"/>
                <w:sz w:val="18"/>
                <w:szCs w:val="18"/>
                <w:lang w:val="en-US" w:eastAsia="zh-CN"/>
                <w14:textFill>
                  <w14:solidFill>
                    <w14:schemeClr w14:val="tx1"/>
                  </w14:solidFill>
                </w14:textFill>
              </w:rPr>
              <w:t>立案责任：民宗部门在检查中发现或者接到举报有涉及《</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宗教事务条例</w:t>
            </w:r>
            <w:r>
              <w:rPr>
                <w:rStyle w:val="9"/>
                <w:rFonts w:hint="eastAsia" w:ascii="仿宋_GB2312" w:eastAsia="仿宋_GB2312" w:cs="仿宋_GB2312"/>
                <w:color w:val="000000" w:themeColor="text1"/>
                <w:sz w:val="18"/>
                <w:szCs w:val="18"/>
                <w:lang w:val="en-US" w:eastAsia="zh-CN"/>
                <w14:textFill>
                  <w14:solidFill>
                    <w14:schemeClr w14:val="tx1"/>
                  </w14:solidFill>
                </w14:textFill>
              </w:rPr>
              <w:t>》的违法行为或者交办、上报、移送的此类违法案件，应予以审查，决定是否立案；符合立案条件的，应当在七个工作日内立案。</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2.调查责任：民宗部门对立案的案件，指定专人负责，及时组织调查取证，与当事人有直接利害关系的应当回避。执法人员不得少于两人，调查时应出示执法证件，允许当事人辩解陈述。执法人员应保守有关秘密。</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3.审查责任：民宗部门审理案件调查报告，对案件违法事实、证据、调查取证程序、法律适用、处罚种类和幅度、当事人陈述和申辩理由等方面进行审查，提出处理意见（主要证据不足时，以适当的方式补充调查）。</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4.告知责任：作出行政处罚决定前，应制作《行政处罚告知书》送达当事人，告知违法事实及其享有的陈述、申辩等权利。符合听证规定的，制作并送达《行政处罚听证告知书》。</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5.决定责任：制作行政处罚决定书，载明行政处罚告知、当事人陈述申辩或者听证情况等内容。</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6.送达责任：行政处罚决定书按法律规定的方式送达当事人。</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7.执行责任：依照生效的行政处罚决定，到指定的银行缴纳罚款。</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8.其他法律法规规章文件规定应履行的责任。</w:t>
            </w:r>
          </w:p>
        </w:tc>
        <w:tc>
          <w:tcPr>
            <w:tcW w:w="3402" w:type="dxa"/>
            <w:tcBorders>
              <w:tl2br w:val="nil"/>
              <w:tr2bl w:val="nil"/>
            </w:tcBorders>
            <w:shd w:val="clear" w:color="auto" w:fill="auto"/>
            <w:vAlign w:val="center"/>
          </w:tcPr>
          <w:p w14:paraId="370DAD4F">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因不履行或不正确履行行政职责，有下列情形的，行政机关及相关工作人员应承担相应责任：</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1.没有法律和事实依据实施行政处罚的；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2.行政处罚显失公正的；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3.执法人员玩忽职守，对应当予以制止和处罚的违法行为不予制止、处罚，致使清真食品生产企业和个人的合法权益遭受损害的；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4.不具备行政执法资格实施行政处罚的；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5.在制止以及查处违法案件中受阻，依照有关规定应当向本级人民政府或者上级行业主管部门报告而未报告的；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6.应当依法移送追究刑事责任，而未依法移送有权机关的；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7.擅自改变行政处罚种类、幅度的；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8.违反法定的行政处罚程序的；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9.符合听证条件、行政管理相对人要求听证，应予组织听证而不组织听证的；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10.在行政处罚过程中发生腐败行为的；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11.其他违反法律法规规章文件规定的行为。</w:t>
            </w:r>
          </w:p>
        </w:tc>
        <w:tc>
          <w:tcPr>
            <w:tcW w:w="567" w:type="dxa"/>
            <w:tcBorders>
              <w:tl2br w:val="nil"/>
              <w:tr2bl w:val="nil"/>
            </w:tcBorders>
            <w:shd w:val="clear" w:color="auto" w:fill="auto"/>
            <w:vAlign w:val="center"/>
          </w:tcPr>
          <w:p w14:paraId="7DB5D335">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r w14:paraId="30B1B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2E5DC414">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13</w:t>
            </w:r>
          </w:p>
        </w:tc>
        <w:tc>
          <w:tcPr>
            <w:tcW w:w="850" w:type="dxa"/>
            <w:tcBorders>
              <w:tl2br w:val="nil"/>
              <w:tr2bl w:val="nil"/>
            </w:tcBorders>
            <w:shd w:val="clear" w:color="auto" w:fill="auto"/>
            <w:vAlign w:val="center"/>
          </w:tcPr>
          <w:p w14:paraId="262DF7BD">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行政处罚</w:t>
            </w:r>
          </w:p>
        </w:tc>
        <w:tc>
          <w:tcPr>
            <w:tcW w:w="1134" w:type="dxa"/>
            <w:tcBorders>
              <w:tl2br w:val="nil"/>
              <w:tr2bl w:val="nil"/>
            </w:tcBorders>
            <w:shd w:val="clear" w:color="auto" w:fill="auto"/>
            <w:vAlign w:val="center"/>
          </w:tcPr>
          <w:p w14:paraId="105B6FB9">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对宗教教职人员违法行为的处罚</w:t>
            </w:r>
          </w:p>
        </w:tc>
        <w:tc>
          <w:tcPr>
            <w:tcW w:w="3118" w:type="dxa"/>
            <w:tcBorders>
              <w:tl2br w:val="nil"/>
              <w:tr2bl w:val="nil"/>
            </w:tcBorders>
            <w:shd w:val="clear" w:color="auto" w:fill="auto"/>
            <w:vAlign w:val="center"/>
          </w:tcPr>
          <w:p w14:paraId="656197E8">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《宗教事务条例》第七十三</w:t>
            </w:r>
            <w:r>
              <w:rPr>
                <w:rStyle w:val="8"/>
                <w:rFonts w:hint="eastAsia" w:ascii="仿宋_GB2312" w:eastAsia="仿宋_GB2312" w:cs="仿宋_GB2312"/>
                <w:color w:val="000000" w:themeColor="text1"/>
                <w:sz w:val="18"/>
                <w:szCs w:val="18"/>
                <w:lang w:val="en-US" w:eastAsia="zh-CN"/>
                <w14:textFill>
                  <w14:solidFill>
                    <w14:schemeClr w14:val="tx1"/>
                  </w14:solidFill>
                </w14:textFill>
              </w:rPr>
              <w:t>条 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一）宣扬、支持、资助宗教极端主义，破坏民族团结、分裂国家和进行恐怖活动或者参与相关活动的；</w:t>
            </w:r>
            <w:r>
              <w:rPr>
                <w:rStyle w:val="8"/>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8"/>
                <w:rFonts w:hint="eastAsia" w:ascii="仿宋_GB2312" w:eastAsia="仿宋_GB2312" w:cs="仿宋_GB2312"/>
                <w:color w:val="000000" w:themeColor="text1"/>
                <w:sz w:val="18"/>
                <w:szCs w:val="18"/>
                <w:lang w:val="en-US" w:eastAsia="zh-CN"/>
                <w14:textFill>
                  <w14:solidFill>
                    <w14:schemeClr w14:val="tx1"/>
                  </w14:solidFill>
                </w14:textFill>
              </w:rPr>
              <w:t>（二）受境外势力支配，擅自接受境外宗教团体或者机构委任教职，以及其他违背宗教的独立自主自办原则的；（三）违反国家有关规定接受境内外捐赠的；</w:t>
            </w:r>
            <w:r>
              <w:rPr>
                <w:rStyle w:val="8"/>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8"/>
                <w:rFonts w:hint="eastAsia" w:ascii="仿宋_GB2312" w:eastAsia="仿宋_GB2312" w:cs="仿宋_GB2312"/>
                <w:color w:val="000000" w:themeColor="text1"/>
                <w:sz w:val="18"/>
                <w:szCs w:val="18"/>
                <w:lang w:val="en-US" w:eastAsia="zh-CN"/>
                <w14:textFill>
                  <w14:solidFill>
                    <w14:schemeClr w14:val="tx1"/>
                  </w14:solidFill>
                </w14:textFill>
              </w:rPr>
              <w:t>（四）组织、主持未经批准的在宗教活动场所外举行的宗教活动的；（五）其他违反法律、法规、规章的行为。</w:t>
            </w:r>
          </w:p>
        </w:tc>
        <w:tc>
          <w:tcPr>
            <w:tcW w:w="1134" w:type="dxa"/>
            <w:tcBorders>
              <w:tl2br w:val="nil"/>
              <w:tr2bl w:val="nil"/>
            </w:tcBorders>
            <w:shd w:val="clear" w:color="auto" w:fill="auto"/>
            <w:tcMar>
              <w:top w:w="0" w:type="dxa"/>
              <w:left w:w="0" w:type="dxa"/>
              <w:bottom w:w="0" w:type="dxa"/>
              <w:right w:w="0" w:type="dxa"/>
            </w:tcMar>
            <w:vAlign w:val="center"/>
          </w:tcPr>
          <w:p w14:paraId="584CEDBD">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河北省宗教</w:t>
            </w:r>
          </w:p>
          <w:p w14:paraId="2C516BD5">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sz w:val="18"/>
                <w:szCs w:val="18"/>
                <w:u w:val="none"/>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事务局</w:t>
            </w:r>
          </w:p>
        </w:tc>
        <w:tc>
          <w:tcPr>
            <w:tcW w:w="964" w:type="dxa"/>
            <w:tcBorders>
              <w:tl2br w:val="nil"/>
              <w:tr2bl w:val="nil"/>
            </w:tcBorders>
            <w:shd w:val="clear" w:color="auto" w:fill="auto"/>
            <w:vAlign w:val="center"/>
          </w:tcPr>
          <w:p w14:paraId="746F83FD">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市级、县级</w:t>
            </w:r>
            <w:r>
              <w:rPr>
                <w:rFonts w:ascii="仿宋_GB2312" w:eastAsia="仿宋_GB2312" w:cs="仿宋_GB2312"/>
                <w:i w:val="0"/>
                <w:color w:val="000000" w:themeColor="text1"/>
                <w:kern w:val="0"/>
                <w:sz w:val="18"/>
                <w:szCs w:val="18"/>
                <w:u w:val="none"/>
                <w:lang w:val="en-US" w:eastAsia="zh-CN"/>
                <w14:textFill>
                  <w14:solidFill>
                    <w14:schemeClr w14:val="tx1"/>
                  </w14:solidFill>
                </w14:textFill>
              </w:rPr>
              <w:t>、乡级</w:t>
            </w:r>
          </w:p>
        </w:tc>
        <w:tc>
          <w:tcPr>
            <w:tcW w:w="3968" w:type="dxa"/>
            <w:tcBorders>
              <w:tl2br w:val="nil"/>
              <w:tr2bl w:val="nil"/>
            </w:tcBorders>
            <w:shd w:val="clear" w:color="auto" w:fill="auto"/>
            <w:vAlign w:val="center"/>
          </w:tcPr>
          <w:p w14:paraId="7C04BE8E">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w:t>
            </w:r>
            <w:r>
              <w:rPr>
                <w:rStyle w:val="9"/>
                <w:rFonts w:hint="eastAsia" w:ascii="仿宋_GB2312" w:eastAsia="仿宋_GB2312" w:cs="仿宋_GB2312"/>
                <w:color w:val="000000" w:themeColor="text1"/>
                <w:sz w:val="18"/>
                <w:szCs w:val="18"/>
                <w:lang w:val="en-US" w:eastAsia="zh-CN"/>
                <w14:textFill>
                  <w14:solidFill>
                    <w14:schemeClr w14:val="tx1"/>
                  </w14:solidFill>
                </w14:textFill>
              </w:rPr>
              <w:t>立案责任：民宗部门在检查中发现或者接到举报有涉及《</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宗教事务条例</w:t>
            </w:r>
            <w:r>
              <w:rPr>
                <w:rStyle w:val="9"/>
                <w:rFonts w:hint="eastAsia" w:ascii="仿宋_GB2312" w:eastAsia="仿宋_GB2312" w:cs="仿宋_GB2312"/>
                <w:color w:val="000000" w:themeColor="text1"/>
                <w:sz w:val="18"/>
                <w:szCs w:val="18"/>
                <w:lang w:val="en-US" w:eastAsia="zh-CN"/>
                <w14:textFill>
                  <w14:solidFill>
                    <w14:schemeClr w14:val="tx1"/>
                  </w14:solidFill>
                </w14:textFill>
              </w:rPr>
              <w:t>》的违法行为或者交办、上报、移送的此类违法案件，应予以审查，决定是否立案；符合立案条件的，应当在七个工作日内立案。</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2.调查责任：民宗部门对立案的案件，指定专人负责，及时组织调查取证，与当事人有直接利害关系的应当回避。执法人员不得少于两人，调查时应出示执法证件，允许当事人辩解陈述。执法人员应保守有关秘密。</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3.审查责任：民宗部门审理案件调查报告，对案件违法事实、证据、调查取证程序、法律适用、处罚种类和幅度、当事人陈述和申辩理由等方面进行审查，提出处理意见（主要证据不足时，以适当的方式补充调查）。</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4.告知责任：作出行政处罚决定前，应制作《行政处罚告知书》送达当事人，告知违法事实及其享有的陈述、申辩等权利。符合听证规定的，制作并送达《行政处罚听证告知书》。</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5.决定责任：制作行政处罚决定书，载明行政处罚告知、当事人陈述申辩或者听证情况等内容。</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6.送达责任：行政处罚决定书按法律规定的方式送达当事人。</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7.执行责任：依照生效的行政处罚决定，到指定的银行缴纳罚款。</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8.其他法律法规规章文件规定应履行的责任。</w:t>
            </w:r>
          </w:p>
        </w:tc>
        <w:tc>
          <w:tcPr>
            <w:tcW w:w="3402" w:type="dxa"/>
            <w:tcBorders>
              <w:tl2br w:val="nil"/>
              <w:tr2bl w:val="nil"/>
            </w:tcBorders>
            <w:shd w:val="clear" w:color="auto" w:fill="auto"/>
            <w:vAlign w:val="center"/>
          </w:tcPr>
          <w:p w14:paraId="48BD356B">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因不履行或不正确履行行政职责，有下列情形的，行政机关及相关工作人员应承担相应责任：</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1.没有法律和事实依据实施行政处罚的；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2.行政处罚显失公正的；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3.执法人员玩忽职守，对应当予以制止和处罚的违法行为不予制止、处罚，致使清真食品生产企业和个人的合法权益遭受损害的；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4.不具备行政执法资格实施行政处罚的；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5.在制止以及查处违法案件中受阻，依照有关规定应当向本级人民政府或者上级行业主管部门报告而未报告的；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6.应当依法移送追究刑事责任，而未依法移送有权机关的；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7.擅自改变行政处罚种类、幅度的；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8.违反法定的行政处罚程序的；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9.符合听证条件、行政管理相对人要求听证，应予组织听证而不组织听证的；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10.在行政处罚过程中发生腐败行为的；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11.其他违反法律法规规章文件规定的行为。</w:t>
            </w:r>
          </w:p>
        </w:tc>
        <w:tc>
          <w:tcPr>
            <w:tcW w:w="567" w:type="dxa"/>
            <w:tcBorders>
              <w:tl2br w:val="nil"/>
              <w:tr2bl w:val="nil"/>
            </w:tcBorders>
            <w:shd w:val="clear" w:color="auto" w:fill="auto"/>
            <w:vAlign w:val="center"/>
          </w:tcPr>
          <w:p w14:paraId="0348C810">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r w14:paraId="3002F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724F4030">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14</w:t>
            </w:r>
          </w:p>
        </w:tc>
        <w:tc>
          <w:tcPr>
            <w:tcW w:w="850" w:type="dxa"/>
            <w:tcBorders>
              <w:tl2br w:val="nil"/>
              <w:tr2bl w:val="nil"/>
            </w:tcBorders>
            <w:shd w:val="clear" w:color="auto" w:fill="auto"/>
            <w:vAlign w:val="center"/>
          </w:tcPr>
          <w:p w14:paraId="00E36D60">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行政处罚</w:t>
            </w:r>
          </w:p>
        </w:tc>
        <w:tc>
          <w:tcPr>
            <w:tcW w:w="1134" w:type="dxa"/>
            <w:tcBorders>
              <w:tl2br w:val="nil"/>
              <w:tr2bl w:val="nil"/>
            </w:tcBorders>
            <w:shd w:val="clear" w:color="auto" w:fill="auto"/>
            <w:vAlign w:val="center"/>
          </w:tcPr>
          <w:p w14:paraId="7D558AF8">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假冒宗教教职人员进行宗教活动或者骗取钱财等违法活动的处罚</w:t>
            </w:r>
          </w:p>
        </w:tc>
        <w:tc>
          <w:tcPr>
            <w:tcW w:w="3118" w:type="dxa"/>
            <w:tcBorders>
              <w:tl2br w:val="nil"/>
              <w:tr2bl w:val="nil"/>
            </w:tcBorders>
            <w:shd w:val="clear" w:color="auto" w:fill="auto"/>
            <w:vAlign w:val="center"/>
          </w:tcPr>
          <w:p w14:paraId="496CFF4D">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《宗教事务条例》第</w:t>
            </w:r>
            <w:r>
              <w:rPr>
                <w:rStyle w:val="10"/>
                <w:rFonts w:hint="eastAsia" w:ascii="仿宋_GB2312" w:eastAsia="仿宋_GB2312" w:cs="仿宋_GB2312"/>
                <w:color w:val="000000" w:themeColor="text1"/>
                <w:sz w:val="18"/>
                <w:szCs w:val="18"/>
                <w:lang w:val="en-US" w:eastAsia="zh-CN"/>
                <w14:textFill>
                  <w14:solidFill>
                    <w14:schemeClr w14:val="tx1"/>
                  </w14:solidFill>
                </w14:textFill>
              </w:rPr>
              <w:t xml:space="preserve">七十四条 </w:t>
            </w:r>
            <w:r>
              <w:rPr>
                <w:rStyle w:val="11"/>
                <w:rFonts w:hint="eastAsia" w:ascii="仿宋_GB2312" w:eastAsia="仿宋_GB2312" w:cs="仿宋_GB2312"/>
                <w:color w:val="000000" w:themeColor="text1"/>
                <w:sz w:val="18"/>
                <w:szCs w:val="18"/>
                <w:lang w:val="en-US" w:eastAsia="zh-CN"/>
                <w14:textFill>
                  <w14:solidFill>
                    <w14:schemeClr w14:val="tx1"/>
                  </w14:solidFill>
                </w14:textFill>
              </w:rPr>
              <w:t>假冒宗教教职人员进行宗教活动或者骗取钱财等违法活动的，由宗教事务部门责令停止活动；有违法所得、非法财物的，没收违法所得和非法财物，并处1万元以下的罚款；有违反治安管理行为的，依法给予治安管理处罚；构成犯罪的，依法追究刑事责任。</w:t>
            </w:r>
          </w:p>
        </w:tc>
        <w:tc>
          <w:tcPr>
            <w:tcW w:w="1134" w:type="dxa"/>
            <w:tcBorders>
              <w:tl2br w:val="nil"/>
              <w:tr2bl w:val="nil"/>
            </w:tcBorders>
            <w:shd w:val="clear" w:color="auto" w:fill="auto"/>
            <w:tcMar>
              <w:top w:w="0" w:type="dxa"/>
              <w:left w:w="0" w:type="dxa"/>
              <w:bottom w:w="0" w:type="dxa"/>
              <w:right w:w="0" w:type="dxa"/>
            </w:tcMar>
            <w:vAlign w:val="center"/>
          </w:tcPr>
          <w:p w14:paraId="0490D77E">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河北省宗教</w:t>
            </w:r>
          </w:p>
          <w:p w14:paraId="34A41FE6">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sz w:val="18"/>
                <w:szCs w:val="18"/>
                <w:u w:val="none"/>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事务局</w:t>
            </w:r>
          </w:p>
        </w:tc>
        <w:tc>
          <w:tcPr>
            <w:tcW w:w="964" w:type="dxa"/>
            <w:tcBorders>
              <w:tl2br w:val="nil"/>
              <w:tr2bl w:val="nil"/>
            </w:tcBorders>
            <w:shd w:val="clear" w:color="auto" w:fill="auto"/>
            <w:vAlign w:val="center"/>
          </w:tcPr>
          <w:p w14:paraId="33705349">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市级、县级</w:t>
            </w:r>
            <w:r>
              <w:rPr>
                <w:rFonts w:ascii="仿宋_GB2312" w:eastAsia="仿宋_GB2312" w:cs="仿宋_GB2312"/>
                <w:i w:val="0"/>
                <w:color w:val="000000" w:themeColor="text1"/>
                <w:kern w:val="0"/>
                <w:sz w:val="18"/>
                <w:szCs w:val="18"/>
                <w:u w:val="none"/>
                <w:lang w:val="en-US" w:eastAsia="zh-CN"/>
                <w14:textFill>
                  <w14:solidFill>
                    <w14:schemeClr w14:val="tx1"/>
                  </w14:solidFill>
                </w14:textFill>
              </w:rPr>
              <w:t>、乡级</w:t>
            </w:r>
          </w:p>
        </w:tc>
        <w:tc>
          <w:tcPr>
            <w:tcW w:w="3968" w:type="dxa"/>
            <w:tcBorders>
              <w:tl2br w:val="nil"/>
              <w:tr2bl w:val="nil"/>
            </w:tcBorders>
            <w:shd w:val="clear" w:color="auto" w:fill="auto"/>
            <w:vAlign w:val="center"/>
          </w:tcPr>
          <w:p w14:paraId="19DE9062">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w:t>
            </w:r>
            <w:r>
              <w:rPr>
                <w:rStyle w:val="9"/>
                <w:rFonts w:hint="eastAsia" w:ascii="仿宋_GB2312" w:eastAsia="仿宋_GB2312" w:cs="仿宋_GB2312"/>
                <w:color w:val="000000" w:themeColor="text1"/>
                <w:sz w:val="18"/>
                <w:szCs w:val="18"/>
                <w:lang w:val="en-US" w:eastAsia="zh-CN"/>
                <w14:textFill>
                  <w14:solidFill>
                    <w14:schemeClr w14:val="tx1"/>
                  </w14:solidFill>
                </w14:textFill>
              </w:rPr>
              <w:t>立案责任：民宗部门在检查中发现或者接到举报有涉及《</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宗教事务条例</w:t>
            </w:r>
            <w:r>
              <w:rPr>
                <w:rStyle w:val="9"/>
                <w:rFonts w:hint="eastAsia" w:ascii="仿宋_GB2312" w:eastAsia="仿宋_GB2312" w:cs="仿宋_GB2312"/>
                <w:color w:val="000000" w:themeColor="text1"/>
                <w:sz w:val="18"/>
                <w:szCs w:val="18"/>
                <w:lang w:val="en-US" w:eastAsia="zh-CN"/>
                <w14:textFill>
                  <w14:solidFill>
                    <w14:schemeClr w14:val="tx1"/>
                  </w14:solidFill>
                </w14:textFill>
              </w:rPr>
              <w:t>》的违法行为或者交办、上报、移送的此类违法案件，应予以审查，决定是否立案；符合立案条件的，应当在七个工作日内立案。</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2.调查责任：民宗部门对立案的案件，指定专人负责，及时组织调查取证，与当事人有直接利害关系的应当回避。执法人员不得少于两人，调查时应出示执法证件，允许当事人辩解陈述。执法人员应保守有关秘密。</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3.审查责任：民宗部门审理案件调查报告，对案件违法事实、证据、调查取证程序、法律适用、处罚种类和幅度、当事人陈述和申辩理由等方面进行审查，提出处理意见（主要证据不足时，以适当的方式补充调查）。</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4.告知责任：作出行政处罚决定前，应制作《行政处罚告知书》送达当事人，告知违法事实及其享有的陈述、申辩等权利。符合听证规定的，制作并送达《行政处罚听证告知书》。</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5.决定责任：制作行政处罚决定书，载明行政处罚告知、当事人陈述申辩或者听证情况等内容。</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6.送达责任：行政处罚决定书按法律规定的方式送达当事人。</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7.执行责任：依照生效的行政处罚决定，到指定的银行缴纳罚款。</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8.其他法律法规规章文件规定应履行的责任。</w:t>
            </w:r>
          </w:p>
        </w:tc>
        <w:tc>
          <w:tcPr>
            <w:tcW w:w="3402" w:type="dxa"/>
            <w:tcBorders>
              <w:tl2br w:val="nil"/>
              <w:tr2bl w:val="nil"/>
            </w:tcBorders>
            <w:shd w:val="clear" w:color="auto" w:fill="auto"/>
            <w:vAlign w:val="center"/>
          </w:tcPr>
          <w:p w14:paraId="4E12FECA">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因不履行或不正确履行行政职责，有下列情形的，行政机关及相关工作人员应承担相应责任：</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1.没有法律和事实依据实施行政处罚的；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2.行政处罚显失公正的；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3.执法人员玩忽职守，对应当予以制止和处罚的违法行为不予制止、处罚，致使清真食品生产企业和个人的合法权益遭受损害的；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4.不具备行政执法资格实施行政处罚的；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5.在制止以及查处违法案件中受阻，依照有关规定应当向本级人民政府或者上级行业主管部门报告而未报告的；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6.应当依法移送追究刑事责任，而未依法移送有权机关的；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7.擅自改变行政处罚种类、幅度的；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8.违反法定的行政处罚程序的；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9.符合听证条件、行政管理相对人要求听证，应予组织听证而不组织听证的；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10.在行政处罚过程中发生腐败行为的；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11.其他违反法律法规规章文件规定的行为。</w:t>
            </w:r>
          </w:p>
        </w:tc>
        <w:tc>
          <w:tcPr>
            <w:tcW w:w="567" w:type="dxa"/>
            <w:tcBorders>
              <w:tl2br w:val="nil"/>
              <w:tr2bl w:val="nil"/>
            </w:tcBorders>
            <w:shd w:val="clear" w:color="auto" w:fill="auto"/>
            <w:vAlign w:val="center"/>
          </w:tcPr>
          <w:p w14:paraId="093BF9F3">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r w14:paraId="3438E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4CD4258F">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15</w:t>
            </w:r>
          </w:p>
        </w:tc>
        <w:tc>
          <w:tcPr>
            <w:tcW w:w="850" w:type="dxa"/>
            <w:tcBorders>
              <w:tl2br w:val="nil"/>
              <w:tr2bl w:val="nil"/>
            </w:tcBorders>
            <w:shd w:val="clear" w:color="auto" w:fill="auto"/>
            <w:vAlign w:val="center"/>
          </w:tcPr>
          <w:p w14:paraId="3F2F3B42">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行政处罚</w:t>
            </w:r>
          </w:p>
        </w:tc>
        <w:tc>
          <w:tcPr>
            <w:tcW w:w="1134" w:type="dxa"/>
            <w:tcBorders>
              <w:tl2br w:val="nil"/>
              <w:tr2bl w:val="nil"/>
            </w:tcBorders>
            <w:shd w:val="clear" w:color="auto" w:fill="auto"/>
            <w:vAlign w:val="center"/>
          </w:tcPr>
          <w:p w14:paraId="48083629">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对宗教团体、宗教院校、宗教活动场所违法行为的处罚</w:t>
            </w:r>
          </w:p>
        </w:tc>
        <w:tc>
          <w:tcPr>
            <w:tcW w:w="3118" w:type="dxa"/>
            <w:tcBorders>
              <w:tl2br w:val="nil"/>
              <w:tr2bl w:val="nil"/>
            </w:tcBorders>
            <w:shd w:val="clear" w:color="auto" w:fill="auto"/>
            <w:vAlign w:val="center"/>
          </w:tcPr>
          <w:p w14:paraId="71A606F5">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b/>
                <w:i w:val="0"/>
                <w:color w:val="000000" w:themeColor="text1"/>
                <w:sz w:val="18"/>
                <w:szCs w:val="18"/>
                <w:u w:val="none"/>
                <w14:textFill>
                  <w14:solidFill>
                    <w14:schemeClr w14:val="tx1"/>
                  </w14:solidFill>
                </w14:textFill>
              </w:rPr>
            </w:pPr>
            <w:r>
              <w:rPr>
                <w:rFonts w:hint="eastAsia" w:ascii="仿宋_GB2312" w:eastAsia="仿宋_GB2312" w:cs="仿宋_GB2312"/>
                <w:b w:val="0"/>
                <w:bCs/>
                <w:i w:val="0"/>
                <w:color w:val="000000" w:themeColor="text1"/>
                <w:kern w:val="0"/>
                <w:sz w:val="16"/>
                <w:szCs w:val="16"/>
                <w:u w:val="none"/>
                <w:lang w:val="en-US" w:eastAsia="zh-CN"/>
                <w14:textFill>
                  <w14:solidFill>
                    <w14:schemeClr w14:val="tx1"/>
                  </w14:solidFill>
                </w14:textFill>
              </w:rPr>
              <w:t>《宗教事务条例》第</w:t>
            </w:r>
            <w:r>
              <w:rPr>
                <w:rStyle w:val="12"/>
                <w:rFonts w:hint="eastAsia" w:ascii="仿宋_GB2312" w:eastAsia="仿宋_GB2312" w:cs="仿宋_GB2312"/>
                <w:b w:val="0"/>
                <w:bCs/>
                <w:color w:val="000000" w:themeColor="text1"/>
                <w:sz w:val="16"/>
                <w:szCs w:val="16"/>
                <w:lang w:val="en-US" w:eastAsia="zh-CN"/>
                <w14:textFill>
                  <w14:solidFill>
                    <w14:schemeClr w14:val="tx1"/>
                  </w14:solidFill>
                </w14:textFill>
              </w:rPr>
              <w:t xml:space="preserve">六十三条 </w:t>
            </w:r>
            <w:r>
              <w:rPr>
                <w:rStyle w:val="7"/>
                <w:rFonts w:hint="eastAsia" w:ascii="仿宋_GB2312" w:eastAsia="仿宋_GB2312" w:cs="仿宋_GB2312"/>
                <w:color w:val="000000" w:themeColor="text1"/>
                <w:sz w:val="16"/>
                <w:szCs w:val="16"/>
                <w:lang w:val="en-US" w:eastAsia="zh-CN"/>
                <w14:textFill>
                  <w14:solidFill>
                    <w14:schemeClr w14:val="tx1"/>
                  </w14:solidFill>
                </w14:textFill>
              </w:rPr>
              <w:t>宣扬、支持、资助宗教极端主义，或者利用宗教进行危害国家安全、公共安全，破坏民族团结、分裂国家和恐怖活动，侵犯公民人身权利、民主权利，妨害社会管理秩序，侵犯公私财产等违法活动，构成犯罪的，依法追究刑事责任；尚不构成犯罪的，由有关部门依法给予行政处罚；对公民、法人或者其他组织造成损失的，依法承担民事责任。宗教团体、宗教院校或者宗教活动场所有前款行为，情节严重的，有关部门应当采取必要的措施对其进行整顿，拒不接受整顿的，由登记管理机关或者批准设立机关依法吊销其登记证书或者设立许可。</w:t>
            </w:r>
            <w:r>
              <w:rPr>
                <w:rStyle w:val="13"/>
                <w:rFonts w:hint="eastAsia" w:ascii="仿宋_GB2312" w:eastAsia="仿宋_GB2312" w:cs="仿宋_GB2312"/>
                <w:b w:val="0"/>
                <w:bCs/>
                <w:color w:val="000000" w:themeColor="text1"/>
                <w:sz w:val="16"/>
                <w:szCs w:val="16"/>
                <w:lang w:val="en-US" w:eastAsia="zh-CN"/>
                <w14:textFill>
                  <w14:solidFill>
                    <w14:schemeClr w14:val="tx1"/>
                  </w14:solidFill>
                </w14:textFill>
              </w:rPr>
              <w:t>第六十五条</w:t>
            </w:r>
            <w:r>
              <w:rPr>
                <w:rStyle w:val="13"/>
                <w:rFonts w:hint="eastAsia" w:ascii="仿宋_GB2312" w:eastAsia="仿宋_GB2312" w:cs="仿宋_GB2312"/>
                <w:color w:val="000000" w:themeColor="text1"/>
                <w:sz w:val="16"/>
                <w:szCs w:val="16"/>
                <w:lang w:val="en-US" w:eastAsia="zh-CN"/>
                <w14:textFill>
                  <w14:solidFill>
                    <w14:schemeClr w14:val="tx1"/>
                  </w14:solidFill>
                </w14:textFill>
              </w:rPr>
              <w:t xml:space="preserve"> </w:t>
            </w:r>
            <w:r>
              <w:rPr>
                <w:rStyle w:val="7"/>
                <w:rFonts w:hint="eastAsia" w:ascii="仿宋_GB2312" w:eastAsia="仿宋_GB2312" w:cs="仿宋_GB2312"/>
                <w:color w:val="000000" w:themeColor="text1"/>
                <w:sz w:val="16"/>
                <w:szCs w:val="16"/>
                <w:lang w:val="en-US" w:eastAsia="zh-CN"/>
                <w14:textFill>
                  <w14:solidFill>
                    <w14:schemeClr w14:val="tx1"/>
                  </w14:solidFill>
                </w14:textFill>
              </w:rPr>
              <w:t>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一）未按规定办理变更登记或者备案手续的；（二）宗教院校违反培养目标、办学章程和课程设置要求的；（三）宗教活动场所违反本条例第二十六条规定，未建立有关管理制度或者管理制度不符合要求的；（四）宗教活动场所违反本条例第五十四条规定，将用于宗教活动的房屋、构筑物及其附属的宗教教职人员生活用房转让、抵押或者作为实物投资的；（五）宗教活动场所内发生重大事故、重大事件未及时报告，造成严重后果的；（六）违反本条例第五条规定，违背宗教的独立自主自办原则的；（七）违反国家有关规定接受境内外捐赠的；（八）拒不接受行政管理机关依法实施的监督管理的。</w:t>
            </w:r>
          </w:p>
        </w:tc>
        <w:tc>
          <w:tcPr>
            <w:tcW w:w="1134" w:type="dxa"/>
            <w:tcBorders>
              <w:tl2br w:val="nil"/>
              <w:tr2bl w:val="nil"/>
            </w:tcBorders>
            <w:shd w:val="clear" w:color="auto" w:fill="auto"/>
            <w:tcMar>
              <w:top w:w="0" w:type="dxa"/>
              <w:left w:w="0" w:type="dxa"/>
              <w:bottom w:w="0" w:type="dxa"/>
              <w:right w:w="0" w:type="dxa"/>
            </w:tcMar>
            <w:vAlign w:val="center"/>
          </w:tcPr>
          <w:p w14:paraId="30B3DD5E">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河北省宗教</w:t>
            </w:r>
          </w:p>
          <w:p w14:paraId="3278C48E">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sz w:val="18"/>
                <w:szCs w:val="18"/>
                <w:u w:val="none"/>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事务局</w:t>
            </w:r>
          </w:p>
        </w:tc>
        <w:tc>
          <w:tcPr>
            <w:tcW w:w="964" w:type="dxa"/>
            <w:tcBorders>
              <w:tl2br w:val="nil"/>
              <w:tr2bl w:val="nil"/>
            </w:tcBorders>
            <w:shd w:val="clear" w:color="auto" w:fill="auto"/>
            <w:vAlign w:val="center"/>
          </w:tcPr>
          <w:p w14:paraId="1E06084D">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市级、县级</w:t>
            </w:r>
          </w:p>
        </w:tc>
        <w:tc>
          <w:tcPr>
            <w:tcW w:w="3968" w:type="dxa"/>
            <w:tcBorders>
              <w:tl2br w:val="nil"/>
              <w:tr2bl w:val="nil"/>
            </w:tcBorders>
            <w:shd w:val="clear" w:color="auto" w:fill="auto"/>
            <w:vAlign w:val="center"/>
          </w:tcPr>
          <w:p w14:paraId="14C8B150">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w:t>
            </w:r>
            <w:r>
              <w:rPr>
                <w:rStyle w:val="9"/>
                <w:rFonts w:hint="eastAsia" w:ascii="仿宋_GB2312" w:eastAsia="仿宋_GB2312" w:cs="仿宋_GB2312"/>
                <w:color w:val="000000" w:themeColor="text1"/>
                <w:sz w:val="18"/>
                <w:szCs w:val="18"/>
                <w:lang w:val="en-US" w:eastAsia="zh-CN"/>
                <w14:textFill>
                  <w14:solidFill>
                    <w14:schemeClr w14:val="tx1"/>
                  </w14:solidFill>
                </w14:textFill>
              </w:rPr>
              <w:t>立案责任：民宗部门在检查中发现或者接到举报有涉及《</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宗教事务条例</w:t>
            </w:r>
            <w:r>
              <w:rPr>
                <w:rStyle w:val="9"/>
                <w:rFonts w:hint="eastAsia" w:ascii="仿宋_GB2312" w:eastAsia="仿宋_GB2312" w:cs="仿宋_GB2312"/>
                <w:color w:val="000000" w:themeColor="text1"/>
                <w:sz w:val="18"/>
                <w:szCs w:val="18"/>
                <w:lang w:val="en-US" w:eastAsia="zh-CN"/>
                <w14:textFill>
                  <w14:solidFill>
                    <w14:schemeClr w14:val="tx1"/>
                  </w14:solidFill>
                </w14:textFill>
              </w:rPr>
              <w:t>》的违法行为或者交办、上报、移送的此类违法案件，应予以审查，决定是否立案；符合立案条件的，应当在七个工作日内立案。</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2.调查责任：民宗部门对立案的案件，指定专人负责，及时组织调查取证，与当事人有直接利害关系的应当回避。执法人员不得少于两人，调查时应出示执法证件，允许当事人辩解陈述。执法人员应保守有关秘密。</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3.审查责任：民宗部门审理案件调查报告，对案件违法事实、证据、调查取证程序、法律适用、处罚种类和幅度、当事人陈述和申辩理由等方面进行审查，提出处理意见（主要证据不足时，以适当的方式补充调查）。</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4.告知责任：作出行政处罚决定前，应制作《行政处罚告知书》送达当事人，告知违法事实及其享有的陈述、申辩等权利。符合听证规定的，制作并送达《行政处罚听证告知书》。</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5.决定责任：制作行政处罚决定书，载明行政处罚告知、当事人陈述申辩或者听证情况等内容。</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6.送达责任：行政处罚决定书按法律规定的方式送达当事人。</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7.执行责任：依照生效的行政处罚决定，到指定的银行缴纳罚款。</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8.其他法律法规规章文件规定应履行的责任。</w:t>
            </w:r>
          </w:p>
        </w:tc>
        <w:tc>
          <w:tcPr>
            <w:tcW w:w="3402" w:type="dxa"/>
            <w:tcBorders>
              <w:tl2br w:val="nil"/>
              <w:tr2bl w:val="nil"/>
            </w:tcBorders>
            <w:shd w:val="clear" w:color="auto" w:fill="auto"/>
            <w:vAlign w:val="center"/>
          </w:tcPr>
          <w:p w14:paraId="7DF714BA">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因不履行或不正确履行行政职责，有下列情形的，行政机关及相关工作人员应承担相应责任：</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1.没有法律和事实依据实施行政处罚的；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2.行政处罚显失公正的；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3.执法人员玩忽职守，对应当予以制止和处罚的违法行为不予制止、处罚，致使清真食品生产企业和个人的合法权益遭受损害的；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4.不具备行政执法资格实施行政处罚的；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5.在制止以及查处违法案件中受阻，依照有关规定应当向本级人民政府或者上级行业主管部门报告而未报告的；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6.应当依法移送追究刑事责任，而未依法移送有权机关的；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7.擅自改变行政处罚种类、幅度的；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8.违反法定的行政处罚程序的；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9.符合听证条件、行政管理相对人要求听证，应予组织听证而不组织听证的；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10.在行政处罚过程中发生腐败行为的；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11.其他违反法律法规规章文件规定的行为。</w:t>
            </w:r>
          </w:p>
        </w:tc>
        <w:tc>
          <w:tcPr>
            <w:tcW w:w="567" w:type="dxa"/>
            <w:tcBorders>
              <w:tl2br w:val="nil"/>
              <w:tr2bl w:val="nil"/>
            </w:tcBorders>
            <w:shd w:val="clear" w:color="auto" w:fill="auto"/>
            <w:vAlign w:val="center"/>
          </w:tcPr>
          <w:p w14:paraId="58E3DA23">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r w14:paraId="24C31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5FC2E2B4">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16</w:t>
            </w:r>
          </w:p>
        </w:tc>
        <w:tc>
          <w:tcPr>
            <w:tcW w:w="850" w:type="dxa"/>
            <w:tcBorders>
              <w:tl2br w:val="nil"/>
              <w:tr2bl w:val="nil"/>
            </w:tcBorders>
            <w:shd w:val="clear" w:color="auto" w:fill="auto"/>
            <w:vAlign w:val="center"/>
          </w:tcPr>
          <w:p w14:paraId="282EEFC2">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行政处罚</w:t>
            </w:r>
          </w:p>
        </w:tc>
        <w:tc>
          <w:tcPr>
            <w:tcW w:w="1134" w:type="dxa"/>
            <w:tcBorders>
              <w:tl2br w:val="nil"/>
              <w:tr2bl w:val="nil"/>
            </w:tcBorders>
            <w:shd w:val="clear" w:color="auto" w:fill="auto"/>
            <w:vAlign w:val="center"/>
          </w:tcPr>
          <w:p w14:paraId="4D279C1E">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临时活动地点的活动违反本条例相关规定的</w:t>
            </w:r>
            <w:r>
              <w:rPr>
                <w:rStyle w:val="8"/>
                <w:rFonts w:hint="eastAsia" w:ascii="仿宋_GB2312" w:eastAsia="仿宋_GB2312" w:cs="仿宋_GB2312"/>
                <w:color w:val="000000" w:themeColor="text1"/>
                <w:sz w:val="18"/>
                <w:szCs w:val="18"/>
                <w:lang w:val="en-US" w:eastAsia="zh-CN"/>
                <w14:textFill>
                  <w14:solidFill>
                    <w14:schemeClr w14:val="tx1"/>
                  </w14:solidFill>
                </w14:textFill>
              </w:rPr>
              <w:t>处罚</w:t>
            </w:r>
          </w:p>
        </w:tc>
        <w:tc>
          <w:tcPr>
            <w:tcW w:w="3118" w:type="dxa"/>
            <w:tcBorders>
              <w:tl2br w:val="nil"/>
              <w:tr2bl w:val="nil"/>
            </w:tcBorders>
            <w:shd w:val="clear" w:color="auto" w:fill="auto"/>
            <w:vAlign w:val="center"/>
          </w:tcPr>
          <w:p w14:paraId="162AAC48">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《宗教事务条例》第</w:t>
            </w:r>
            <w:r>
              <w:rPr>
                <w:rStyle w:val="8"/>
                <w:rFonts w:hint="eastAsia" w:ascii="仿宋_GB2312" w:eastAsia="仿宋_GB2312" w:cs="仿宋_GB2312"/>
                <w:color w:val="000000" w:themeColor="text1"/>
                <w:sz w:val="18"/>
                <w:szCs w:val="18"/>
                <w:lang w:val="en-US" w:eastAsia="zh-CN"/>
                <w14:textFill>
                  <w14:solidFill>
                    <w14:schemeClr w14:val="tx1"/>
                  </w14:solidFill>
                </w14:textFill>
              </w:rPr>
              <w:t xml:space="preserve">六十六条 </w:t>
            </w:r>
            <w:r>
              <w:rPr>
                <w:rStyle w:val="7"/>
                <w:rFonts w:hint="eastAsia" w:ascii="仿宋_GB2312" w:eastAsia="仿宋_GB2312" w:cs="仿宋_GB2312"/>
                <w:color w:val="000000" w:themeColor="text1"/>
                <w:sz w:val="18"/>
                <w:szCs w:val="18"/>
                <w:lang w:val="en-US" w:eastAsia="zh-CN"/>
                <w14:textFill>
                  <w14:solidFill>
                    <w14:schemeClr w14:val="tx1"/>
                  </w14:solidFill>
                </w14:textFill>
              </w:rPr>
              <w:t>临时活动地点的活动违反本条例相关规定的，由宗教事务部门责令改正；情节严重的，责令停止活动，撤销该临时活动地点；有违法所得、非法财物的，予以没收。</w:t>
            </w:r>
          </w:p>
        </w:tc>
        <w:tc>
          <w:tcPr>
            <w:tcW w:w="1134" w:type="dxa"/>
            <w:tcBorders>
              <w:tl2br w:val="nil"/>
              <w:tr2bl w:val="nil"/>
            </w:tcBorders>
            <w:shd w:val="clear" w:color="auto" w:fill="auto"/>
            <w:tcMar>
              <w:top w:w="0" w:type="dxa"/>
              <w:left w:w="0" w:type="dxa"/>
              <w:bottom w:w="0" w:type="dxa"/>
              <w:right w:w="0" w:type="dxa"/>
            </w:tcMar>
            <w:vAlign w:val="center"/>
          </w:tcPr>
          <w:p w14:paraId="679C8221">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河北省宗教</w:t>
            </w:r>
          </w:p>
          <w:p w14:paraId="0D4E1EEE">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sz w:val="18"/>
                <w:szCs w:val="18"/>
                <w:u w:val="none"/>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事务局</w:t>
            </w:r>
          </w:p>
        </w:tc>
        <w:tc>
          <w:tcPr>
            <w:tcW w:w="964" w:type="dxa"/>
            <w:tcBorders>
              <w:tl2br w:val="nil"/>
              <w:tr2bl w:val="nil"/>
            </w:tcBorders>
            <w:shd w:val="clear" w:color="auto" w:fill="auto"/>
            <w:vAlign w:val="center"/>
          </w:tcPr>
          <w:p w14:paraId="4CB5D403">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市级、县级</w:t>
            </w:r>
            <w:r>
              <w:rPr>
                <w:rFonts w:ascii="仿宋_GB2312" w:eastAsia="仿宋_GB2312" w:cs="仿宋_GB2312"/>
                <w:i w:val="0"/>
                <w:color w:val="000000" w:themeColor="text1"/>
                <w:kern w:val="0"/>
                <w:sz w:val="18"/>
                <w:szCs w:val="18"/>
                <w:u w:val="none"/>
                <w:lang w:val="en-US" w:eastAsia="zh-CN"/>
                <w14:textFill>
                  <w14:solidFill>
                    <w14:schemeClr w14:val="tx1"/>
                  </w14:solidFill>
                </w14:textFill>
              </w:rPr>
              <w:t>、乡级</w:t>
            </w:r>
          </w:p>
        </w:tc>
        <w:tc>
          <w:tcPr>
            <w:tcW w:w="3968" w:type="dxa"/>
            <w:tcBorders>
              <w:tl2br w:val="nil"/>
              <w:tr2bl w:val="nil"/>
            </w:tcBorders>
            <w:shd w:val="clear" w:color="auto" w:fill="auto"/>
            <w:vAlign w:val="center"/>
          </w:tcPr>
          <w:p w14:paraId="7DAFF5C6">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w:t>
            </w:r>
            <w:r>
              <w:rPr>
                <w:rStyle w:val="9"/>
                <w:rFonts w:hint="eastAsia" w:ascii="仿宋_GB2312" w:eastAsia="仿宋_GB2312" w:cs="仿宋_GB2312"/>
                <w:color w:val="000000" w:themeColor="text1"/>
                <w:sz w:val="18"/>
                <w:szCs w:val="18"/>
                <w:lang w:val="en-US" w:eastAsia="zh-CN"/>
                <w14:textFill>
                  <w14:solidFill>
                    <w14:schemeClr w14:val="tx1"/>
                  </w14:solidFill>
                </w14:textFill>
              </w:rPr>
              <w:t>立案责任：民宗部门在检查中发现或者接到举报有涉及《</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宗教事务条例</w:t>
            </w:r>
            <w:r>
              <w:rPr>
                <w:rStyle w:val="9"/>
                <w:rFonts w:hint="eastAsia" w:ascii="仿宋_GB2312" w:eastAsia="仿宋_GB2312" w:cs="仿宋_GB2312"/>
                <w:color w:val="000000" w:themeColor="text1"/>
                <w:sz w:val="18"/>
                <w:szCs w:val="18"/>
                <w:lang w:val="en-US" w:eastAsia="zh-CN"/>
                <w14:textFill>
                  <w14:solidFill>
                    <w14:schemeClr w14:val="tx1"/>
                  </w14:solidFill>
                </w14:textFill>
              </w:rPr>
              <w:t>》的违法行为或者交办、上报、移送的此类违法案件，应予以审查，决定是否立案；符合立案条件的，应当在七个工作日内立案。</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2.调查责任：民宗部门对立案的案件，指定专人负责，及时组织调查取证，与当事人有直接利害关系的应当回避。执法人员不得少于两人，调查时应出示执法证件，允许当事人辩解陈述。执法人员应保守有关秘密。</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3.审查责任：民宗部门审理案件调查报告，对案件违法事实、证据、调查取证程序、法律适用、处罚种类和幅度、当事人陈述和申辩理由等方面进行审查，提出处理意见（主要证据不足时，以适当的方式补充调查）。</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4.告知责任：作出行政处罚决定前，应制作《行政处罚告知书》送达当事人，告知违法事实及其享有的陈述、申辩等权利。符合听证规定的，制作并送达《行政处罚听证告知书》。</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5.决定责任：制作行政处罚决定书，载明行政处罚告知、当事人陈述申辩或者听证情况等内容。</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6.送达责任：行政处罚决定书按法律规定的方式送达当事人。</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7.执行责任：依照生效的行政处罚决定，到指定的银行缴纳罚款。</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8.其他法律法规规章文件规定应履行的责任。</w:t>
            </w:r>
          </w:p>
        </w:tc>
        <w:tc>
          <w:tcPr>
            <w:tcW w:w="3402" w:type="dxa"/>
            <w:tcBorders>
              <w:tl2br w:val="nil"/>
              <w:tr2bl w:val="nil"/>
            </w:tcBorders>
            <w:shd w:val="clear" w:color="auto" w:fill="auto"/>
            <w:vAlign w:val="center"/>
          </w:tcPr>
          <w:p w14:paraId="2CC54A94">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因不履行或不正确履行行政职责，有下列情形的，行政机关及相关工作人员应承担相应责任：</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1.没有法律和事实依据实施行政处罚的；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2.行政处罚显失公正的；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3.执法人员玩忽职守，对应当予以制止和处罚的违法行为不予制止、处罚，致使清真食品生产企业和个人的合法权益遭受损害的；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4.不具备行政执法资格实施行政处罚的；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5.在制止以及查处违法案件中受阻，依照有关规定应当向本级人民政府或者上级行业主管部门报告而未报告的；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6.应当依法移送追究刑事责任，而未依法移送有权机关的；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7.擅自改变行政处罚种类、幅度的；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8.违反法定的行政处罚程序的；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9.符合听证条件、行政管理相对人要求听证，应予组织听证而不组织听证的；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10.在行政处罚过程中发生腐败行为的；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11.其他违反法律法规规章文件规定的行为。</w:t>
            </w:r>
          </w:p>
        </w:tc>
        <w:tc>
          <w:tcPr>
            <w:tcW w:w="567" w:type="dxa"/>
            <w:tcBorders>
              <w:tl2br w:val="nil"/>
              <w:tr2bl w:val="nil"/>
            </w:tcBorders>
            <w:shd w:val="clear" w:color="auto" w:fill="auto"/>
            <w:vAlign w:val="center"/>
          </w:tcPr>
          <w:p w14:paraId="35A75E1E">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r w14:paraId="04B5E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3B3931CC">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17</w:t>
            </w:r>
          </w:p>
        </w:tc>
        <w:tc>
          <w:tcPr>
            <w:tcW w:w="850" w:type="dxa"/>
            <w:tcBorders>
              <w:tl2br w:val="nil"/>
              <w:tr2bl w:val="nil"/>
            </w:tcBorders>
            <w:shd w:val="clear" w:color="auto" w:fill="auto"/>
            <w:vAlign w:val="center"/>
          </w:tcPr>
          <w:p w14:paraId="7A3E9F9A">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行政处罚</w:t>
            </w:r>
          </w:p>
        </w:tc>
        <w:tc>
          <w:tcPr>
            <w:tcW w:w="1134" w:type="dxa"/>
            <w:tcBorders>
              <w:tl2br w:val="nil"/>
              <w:tr2bl w:val="nil"/>
            </w:tcBorders>
            <w:shd w:val="clear" w:color="auto" w:fill="auto"/>
            <w:vAlign w:val="center"/>
          </w:tcPr>
          <w:p w14:paraId="6D9C79CF">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宗教团体、宗教活动场所违反国家有关财务、会计、资产、税收管理规定的处罚</w:t>
            </w:r>
          </w:p>
        </w:tc>
        <w:tc>
          <w:tcPr>
            <w:tcW w:w="3118" w:type="dxa"/>
            <w:tcBorders>
              <w:tl2br w:val="nil"/>
              <w:tr2bl w:val="nil"/>
            </w:tcBorders>
            <w:shd w:val="clear" w:color="auto" w:fill="auto"/>
            <w:vAlign w:val="center"/>
          </w:tcPr>
          <w:p w14:paraId="399EBECE">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《宗教事务条例》第</w:t>
            </w:r>
            <w:r>
              <w:rPr>
                <w:rStyle w:val="8"/>
                <w:rFonts w:hint="eastAsia" w:ascii="仿宋_GB2312" w:eastAsia="仿宋_GB2312" w:cs="仿宋_GB2312"/>
                <w:color w:val="000000" w:themeColor="text1"/>
                <w:sz w:val="18"/>
                <w:szCs w:val="18"/>
                <w:lang w:val="en-US" w:eastAsia="zh-CN"/>
                <w14:textFill>
                  <w14:solidFill>
                    <w14:schemeClr w14:val="tx1"/>
                  </w14:solidFill>
                </w14:textFill>
              </w:rPr>
              <w:t xml:space="preserve">六十七条 </w:t>
            </w:r>
            <w:r>
              <w:rPr>
                <w:rStyle w:val="7"/>
                <w:rFonts w:hint="eastAsia" w:ascii="仿宋_GB2312" w:eastAsia="仿宋_GB2312" w:cs="仿宋_GB2312"/>
                <w:color w:val="000000" w:themeColor="text1"/>
                <w:sz w:val="18"/>
                <w:szCs w:val="18"/>
                <w:lang w:val="en-US" w:eastAsia="zh-CN"/>
                <w14:textFill>
                  <w14:solidFill>
                    <w14:schemeClr w14:val="tx1"/>
                  </w14:solidFill>
                </w14:textFill>
              </w:rPr>
              <w:t>宗教团体、宗教院校、宗教活动场所违反国家有关财务、会计、资产、税收管理规定的，由财政、税务等部门依据相关规定进行处罚；情节严重的，经财政、税务部门提出，由登记管理机关或者批准设立机关吊销其登记证书或者设立许可。</w:t>
            </w:r>
          </w:p>
        </w:tc>
        <w:tc>
          <w:tcPr>
            <w:tcW w:w="1134" w:type="dxa"/>
            <w:tcBorders>
              <w:tl2br w:val="nil"/>
              <w:tr2bl w:val="nil"/>
            </w:tcBorders>
            <w:shd w:val="clear" w:color="auto" w:fill="auto"/>
            <w:tcMar>
              <w:top w:w="0" w:type="dxa"/>
              <w:left w:w="0" w:type="dxa"/>
              <w:bottom w:w="0" w:type="dxa"/>
              <w:right w:w="0" w:type="dxa"/>
            </w:tcMar>
            <w:vAlign w:val="center"/>
          </w:tcPr>
          <w:p w14:paraId="20709BDF">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河北省宗教</w:t>
            </w:r>
          </w:p>
          <w:p w14:paraId="1D2A2814">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sz w:val="18"/>
                <w:szCs w:val="18"/>
                <w:u w:val="none"/>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事务局</w:t>
            </w:r>
          </w:p>
        </w:tc>
        <w:tc>
          <w:tcPr>
            <w:tcW w:w="964" w:type="dxa"/>
            <w:tcBorders>
              <w:tl2br w:val="nil"/>
              <w:tr2bl w:val="nil"/>
            </w:tcBorders>
            <w:shd w:val="clear" w:color="auto" w:fill="auto"/>
            <w:vAlign w:val="center"/>
          </w:tcPr>
          <w:p w14:paraId="58C4CE91">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市级、县级</w:t>
            </w:r>
          </w:p>
        </w:tc>
        <w:tc>
          <w:tcPr>
            <w:tcW w:w="3968" w:type="dxa"/>
            <w:tcBorders>
              <w:tl2br w:val="nil"/>
              <w:tr2bl w:val="nil"/>
            </w:tcBorders>
            <w:shd w:val="clear" w:color="auto" w:fill="auto"/>
            <w:vAlign w:val="center"/>
          </w:tcPr>
          <w:p w14:paraId="42A6129F">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w:t>
            </w:r>
            <w:r>
              <w:rPr>
                <w:rStyle w:val="9"/>
                <w:rFonts w:hint="eastAsia" w:ascii="仿宋_GB2312" w:eastAsia="仿宋_GB2312" w:cs="仿宋_GB2312"/>
                <w:color w:val="000000" w:themeColor="text1"/>
                <w:sz w:val="18"/>
                <w:szCs w:val="18"/>
                <w:lang w:val="en-US" w:eastAsia="zh-CN"/>
                <w14:textFill>
                  <w14:solidFill>
                    <w14:schemeClr w14:val="tx1"/>
                  </w14:solidFill>
                </w14:textFill>
              </w:rPr>
              <w:t>立案责任：民宗部门在检查中发现或者接到举报有涉及《</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宗教事务条例</w:t>
            </w:r>
            <w:r>
              <w:rPr>
                <w:rStyle w:val="9"/>
                <w:rFonts w:hint="eastAsia" w:ascii="仿宋_GB2312" w:eastAsia="仿宋_GB2312" w:cs="仿宋_GB2312"/>
                <w:color w:val="000000" w:themeColor="text1"/>
                <w:sz w:val="18"/>
                <w:szCs w:val="18"/>
                <w:lang w:val="en-US" w:eastAsia="zh-CN"/>
                <w14:textFill>
                  <w14:solidFill>
                    <w14:schemeClr w14:val="tx1"/>
                  </w14:solidFill>
                </w14:textFill>
              </w:rPr>
              <w:t>》的违法行为或者交办、上报、移送的此类违法案件，应予以审查，决定是否立案；符合立案条件的，应当在七个工作日内立案。</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2.调查责任：民宗部门对立案的案件，指定专人负责，及时组织调查取证，与当事人有直接利害关系的应当回避。执法人员不得少于两人，调查时应出示执法证件，允许当事人辩解陈述。执法人员应保守有关秘密。</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3.审查责任：民宗部门审理案件调查报告，对案件违法事实、证据、调查取证程序、法律适用、处罚种类和幅度、当事人陈述和申辩理由等方面进行审查，提出处理意见（主要证据不足时，以适当的方式补充调查）。</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4.告知责任：作出行政处罚决定前，应制作《行政处罚告知书》送达当事人，告知违法事实及其享有的陈述、申辩等权利。符合听证规定的，制作并送达《行政处罚听证告知书》。</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5.决定责任：制作行政处罚决定书，载明行政处罚告知、当事人陈述申辩或者听证情况等内容。</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6.送达责任：行政处罚决定书按法律规定的方式送达当事人。</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7.执行责任：依照生效的行政处罚决定，到指定的银行缴纳罚款。</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8.其他法律法规规章文件规定应履行的责任。</w:t>
            </w:r>
          </w:p>
        </w:tc>
        <w:tc>
          <w:tcPr>
            <w:tcW w:w="3402" w:type="dxa"/>
            <w:tcBorders>
              <w:tl2br w:val="nil"/>
              <w:tr2bl w:val="nil"/>
            </w:tcBorders>
            <w:shd w:val="clear" w:color="auto" w:fill="auto"/>
            <w:vAlign w:val="center"/>
          </w:tcPr>
          <w:p w14:paraId="00FC79DD">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因不履行或不正确履行行政职责，有下列情形的，行政机关及相关工作人员应承担相应责任：</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1.没有法律和事实依据实施行政处罚的；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2.行政处罚显失公正的；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3.执法人员玩忽职守，对应当予以制止和处罚的违法行为不予制止、处罚，致使清真食品生产企业和个人的合法权益遭受损害的；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4.不具备行政执法资格实施行政处罚的；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5.在制止以及查处违法案件中受阻，依照有关规定应当向本级人民政府或者上级行业主管部门报告而未报告的；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6.应当依法移送追究刑事责任，而未依法移送有权机关的；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7.擅自改变行政处罚种类、幅度的；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8.违反法定的行政处罚程序的；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9.符合听证条件、行政管理相对人要求听证，应予组织听证而不组织听证的；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10.在行政处罚过程中发生腐败行为的；</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11.其他违反法律法规规章文件规定的行为。</w:t>
            </w:r>
          </w:p>
        </w:tc>
        <w:tc>
          <w:tcPr>
            <w:tcW w:w="567" w:type="dxa"/>
            <w:tcBorders>
              <w:tl2br w:val="nil"/>
              <w:tr2bl w:val="nil"/>
            </w:tcBorders>
            <w:shd w:val="clear" w:color="auto" w:fill="auto"/>
            <w:vAlign w:val="center"/>
          </w:tcPr>
          <w:p w14:paraId="40066B7C">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r w14:paraId="054A7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79FADAB9">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w:t>
            </w:r>
          </w:p>
        </w:tc>
        <w:tc>
          <w:tcPr>
            <w:tcW w:w="850" w:type="dxa"/>
            <w:tcBorders>
              <w:tl2br w:val="nil"/>
              <w:tr2bl w:val="nil"/>
            </w:tcBorders>
            <w:shd w:val="clear" w:color="auto" w:fill="auto"/>
            <w:vAlign w:val="center"/>
          </w:tcPr>
          <w:p w14:paraId="29631244">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行政检查</w:t>
            </w:r>
          </w:p>
        </w:tc>
        <w:tc>
          <w:tcPr>
            <w:tcW w:w="1134" w:type="dxa"/>
            <w:tcBorders>
              <w:tl2br w:val="nil"/>
              <w:tr2bl w:val="nil"/>
            </w:tcBorders>
            <w:shd w:val="clear" w:color="auto" w:fill="auto"/>
            <w:vAlign w:val="center"/>
          </w:tcPr>
          <w:p w14:paraId="4CD1F2DD">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对清真食品管理进行监督检查</w:t>
            </w:r>
          </w:p>
        </w:tc>
        <w:tc>
          <w:tcPr>
            <w:tcW w:w="3118" w:type="dxa"/>
            <w:tcBorders>
              <w:tl2br w:val="nil"/>
              <w:tr2bl w:val="nil"/>
            </w:tcBorders>
            <w:shd w:val="clear" w:color="auto" w:fill="auto"/>
            <w:vAlign w:val="center"/>
          </w:tcPr>
          <w:p w14:paraId="3A7E89BA">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《河北省清真食品管理条例》第四条 县级以上人民政府民族事务行政主管部门负责本条例的实施。工商、卫生、经济贸易、技术监督等部门依照各自职责，做好清真食品的管理监督工作。</w:t>
            </w:r>
          </w:p>
        </w:tc>
        <w:tc>
          <w:tcPr>
            <w:tcW w:w="1134" w:type="dxa"/>
            <w:tcBorders>
              <w:tl2br w:val="nil"/>
              <w:tr2bl w:val="nil"/>
            </w:tcBorders>
            <w:shd w:val="clear" w:color="auto" w:fill="auto"/>
            <w:tcMar>
              <w:top w:w="0" w:type="dxa"/>
              <w:left w:w="0" w:type="dxa"/>
              <w:bottom w:w="0" w:type="dxa"/>
              <w:right w:w="0" w:type="dxa"/>
            </w:tcMar>
            <w:vAlign w:val="center"/>
          </w:tcPr>
          <w:p w14:paraId="12D092B4">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河北省民族事务</w:t>
            </w:r>
          </w:p>
          <w:p w14:paraId="3D8918AB">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sz w:val="18"/>
                <w:szCs w:val="18"/>
                <w:u w:val="none"/>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委员会</w:t>
            </w:r>
          </w:p>
        </w:tc>
        <w:tc>
          <w:tcPr>
            <w:tcW w:w="964" w:type="dxa"/>
            <w:tcBorders>
              <w:tl2br w:val="nil"/>
              <w:tr2bl w:val="nil"/>
            </w:tcBorders>
            <w:shd w:val="clear" w:color="auto" w:fill="auto"/>
            <w:vAlign w:val="center"/>
          </w:tcPr>
          <w:p w14:paraId="6B4B82D5">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市级、县级</w:t>
            </w:r>
          </w:p>
        </w:tc>
        <w:tc>
          <w:tcPr>
            <w:tcW w:w="3968" w:type="dxa"/>
            <w:tcBorders>
              <w:tl2br w:val="nil"/>
              <w:tr2bl w:val="nil"/>
            </w:tcBorders>
            <w:shd w:val="clear" w:color="auto" w:fill="auto"/>
            <w:vAlign w:val="center"/>
          </w:tcPr>
          <w:p w14:paraId="223EE5DD">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1.检查责任：对本辖区内生产经营清真食品的单位和个人组织监督检查；</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2.处置责任：对监督检查发现的问题，责令限期整改、依法实施处罚；</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3.移送责任：及时予以公告，对构成违法犯罪的移交司法机关；</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4.事后管理责任：对监督检查发现的问题，生产经营清真食品的单位和个人整改完成后，对整改情况组织进行核查；</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5.其他责任：法律法规规章等规定应履行的责任。</w:t>
            </w:r>
          </w:p>
        </w:tc>
        <w:tc>
          <w:tcPr>
            <w:tcW w:w="3402" w:type="dxa"/>
            <w:tcBorders>
              <w:tl2br w:val="nil"/>
              <w:tr2bl w:val="nil"/>
            </w:tcBorders>
            <w:shd w:val="clear" w:color="auto" w:fill="auto"/>
            <w:vAlign w:val="center"/>
          </w:tcPr>
          <w:p w14:paraId="18AF07E0">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因不履行或不正确履行行政职责，有下列情形的，行政机关及相关工作人员应承担相应责任：</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1.不对本辖区内生产经营清真食品的单位和个人组织监督检查；</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2.对在检查中发现的问题，不责令限期整改、不依法实施处罚；</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3.不及时予以公告，对构成违法犯罪的不移交司法机关；</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4.对监督检查发现的问题，生产经营清真食品的单位和个人整改完成后，不对整改情况组织进行核查；</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5.其他违反法律法规规章文件规定的行为。</w:t>
            </w:r>
          </w:p>
        </w:tc>
        <w:tc>
          <w:tcPr>
            <w:tcW w:w="567" w:type="dxa"/>
            <w:tcBorders>
              <w:tl2br w:val="nil"/>
              <w:tr2bl w:val="nil"/>
            </w:tcBorders>
            <w:shd w:val="clear" w:color="auto" w:fill="auto"/>
            <w:vAlign w:val="center"/>
          </w:tcPr>
          <w:p w14:paraId="1A9063C9">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r w14:paraId="695A8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7504639E">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2</w:t>
            </w:r>
          </w:p>
        </w:tc>
        <w:tc>
          <w:tcPr>
            <w:tcW w:w="850" w:type="dxa"/>
            <w:tcBorders>
              <w:tl2br w:val="nil"/>
              <w:tr2bl w:val="nil"/>
            </w:tcBorders>
            <w:shd w:val="clear" w:color="auto" w:fill="auto"/>
            <w:vAlign w:val="center"/>
          </w:tcPr>
          <w:p w14:paraId="3FAD3806">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行政检查</w:t>
            </w:r>
          </w:p>
        </w:tc>
        <w:tc>
          <w:tcPr>
            <w:tcW w:w="1134" w:type="dxa"/>
            <w:tcBorders>
              <w:tl2br w:val="nil"/>
              <w:tr2bl w:val="nil"/>
            </w:tcBorders>
            <w:shd w:val="clear" w:color="auto" w:fill="auto"/>
            <w:vAlign w:val="center"/>
          </w:tcPr>
          <w:p w14:paraId="44B1E4B0">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对贯彻落实民族政策和有关法律法规的监督检查</w:t>
            </w:r>
          </w:p>
        </w:tc>
        <w:tc>
          <w:tcPr>
            <w:tcW w:w="3118" w:type="dxa"/>
            <w:tcBorders>
              <w:tl2br w:val="nil"/>
              <w:tr2bl w:val="nil"/>
            </w:tcBorders>
            <w:shd w:val="clear" w:color="auto" w:fill="auto"/>
            <w:vAlign w:val="center"/>
          </w:tcPr>
          <w:p w14:paraId="13CBDE47">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《中华人民共和国民族区域自治法》第七十二条 上级国家机关应当对各民族的干部和群众加强民族政策的教育，经常检查民族政策和有关法律的遵守和执行。</w:t>
            </w:r>
          </w:p>
        </w:tc>
        <w:tc>
          <w:tcPr>
            <w:tcW w:w="1134" w:type="dxa"/>
            <w:tcBorders>
              <w:tl2br w:val="nil"/>
              <w:tr2bl w:val="nil"/>
            </w:tcBorders>
            <w:shd w:val="clear" w:color="auto" w:fill="auto"/>
            <w:tcMar>
              <w:top w:w="0" w:type="dxa"/>
              <w:left w:w="0" w:type="dxa"/>
              <w:bottom w:w="0" w:type="dxa"/>
              <w:right w:w="0" w:type="dxa"/>
            </w:tcMar>
            <w:vAlign w:val="center"/>
          </w:tcPr>
          <w:p w14:paraId="6C0788B9">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河北省民族事务</w:t>
            </w:r>
          </w:p>
          <w:p w14:paraId="3528F46B">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sz w:val="18"/>
                <w:szCs w:val="18"/>
                <w:u w:val="none"/>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委员会</w:t>
            </w:r>
          </w:p>
        </w:tc>
        <w:tc>
          <w:tcPr>
            <w:tcW w:w="964" w:type="dxa"/>
            <w:tcBorders>
              <w:tl2br w:val="nil"/>
              <w:tr2bl w:val="nil"/>
            </w:tcBorders>
            <w:shd w:val="clear" w:color="auto" w:fill="auto"/>
            <w:vAlign w:val="center"/>
          </w:tcPr>
          <w:p w14:paraId="1B020902">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市级、县级</w:t>
            </w:r>
          </w:p>
        </w:tc>
        <w:tc>
          <w:tcPr>
            <w:tcW w:w="3968" w:type="dxa"/>
            <w:tcBorders>
              <w:tl2br w:val="nil"/>
              <w:tr2bl w:val="nil"/>
            </w:tcBorders>
            <w:shd w:val="clear" w:color="auto" w:fill="auto"/>
            <w:vAlign w:val="center"/>
          </w:tcPr>
          <w:p w14:paraId="08ACECC3">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1.检查责任：对本辖区内贯彻落实民族政策和有关法律法规组织监督检查；</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2.处置责任：对监督检查发现的问题，责令限期整改、依法实施处罚；</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3.移送责任：及时予以公告，对构成违法犯罪的移交司法机关；</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4.事后管理责任：对监督检查发现的问题，整改完成后，对整改情况组织进行核查；</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5.其他责任：法律法规规章等规定应履行的责任。</w:t>
            </w:r>
          </w:p>
        </w:tc>
        <w:tc>
          <w:tcPr>
            <w:tcW w:w="3402" w:type="dxa"/>
            <w:tcBorders>
              <w:tl2br w:val="nil"/>
              <w:tr2bl w:val="nil"/>
            </w:tcBorders>
            <w:shd w:val="clear" w:color="auto" w:fill="auto"/>
            <w:vAlign w:val="center"/>
          </w:tcPr>
          <w:p w14:paraId="01DDAB10">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因不履行或不正确履行行政职责，有下列情形的，行政机关及相关工作人员应承担相应责任：</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1.不对本辖区内贯彻落实民族政策和有关法律法规组织监督检查；</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2.对在检查中发现的问题，不责令限期整改、不依法实施处罚；</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3.不及时予以公告，对构成违法犯罪的不移交司法机关；</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4.对监督检查发现的问题，整改完成后，不对整改情况组织进行核查；</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5.其他违反法律法规规章文件规定的行为。</w:t>
            </w:r>
          </w:p>
        </w:tc>
        <w:tc>
          <w:tcPr>
            <w:tcW w:w="567" w:type="dxa"/>
            <w:tcBorders>
              <w:tl2br w:val="nil"/>
              <w:tr2bl w:val="nil"/>
            </w:tcBorders>
            <w:shd w:val="clear" w:color="auto" w:fill="auto"/>
            <w:vAlign w:val="center"/>
          </w:tcPr>
          <w:p w14:paraId="5302BCE2">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r w14:paraId="732C9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4AA08156">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3</w:t>
            </w:r>
          </w:p>
        </w:tc>
        <w:tc>
          <w:tcPr>
            <w:tcW w:w="850" w:type="dxa"/>
            <w:tcBorders>
              <w:tl2br w:val="nil"/>
              <w:tr2bl w:val="nil"/>
            </w:tcBorders>
            <w:shd w:val="clear" w:color="auto" w:fill="auto"/>
            <w:vAlign w:val="center"/>
          </w:tcPr>
          <w:p w14:paraId="475B15EB">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行政检查</w:t>
            </w:r>
          </w:p>
        </w:tc>
        <w:tc>
          <w:tcPr>
            <w:tcW w:w="1134" w:type="dxa"/>
            <w:tcBorders>
              <w:tl2br w:val="nil"/>
              <w:tr2bl w:val="nil"/>
            </w:tcBorders>
            <w:shd w:val="clear" w:color="auto" w:fill="auto"/>
            <w:vAlign w:val="center"/>
          </w:tcPr>
          <w:p w14:paraId="298FBD28">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宗教事务部门应当对宗教活动场所遵守法律法规、规章制度情况，建立和执行场所管理制度情况，登记项目变更情况，以及宗教活动和涉外活动情况进行监督检查</w:t>
            </w:r>
          </w:p>
        </w:tc>
        <w:tc>
          <w:tcPr>
            <w:tcW w:w="3118" w:type="dxa"/>
            <w:tcBorders>
              <w:tl2br w:val="nil"/>
              <w:tr2bl w:val="nil"/>
            </w:tcBorders>
            <w:shd w:val="clear" w:color="auto" w:fill="auto"/>
            <w:vAlign w:val="center"/>
          </w:tcPr>
          <w:p w14:paraId="2780F779">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《宗教事务条例》第</w:t>
            </w:r>
            <w:r>
              <w:rPr>
                <w:rStyle w:val="9"/>
                <w:rFonts w:hint="eastAsia" w:ascii="仿宋_GB2312" w:eastAsia="仿宋_GB2312" w:cs="仿宋_GB2312"/>
                <w:color w:val="000000" w:themeColor="text1"/>
                <w:sz w:val="18"/>
                <w:szCs w:val="18"/>
                <w:lang w:val="en-US" w:eastAsia="zh-CN"/>
                <w14:textFill>
                  <w14:solidFill>
                    <w14:schemeClr w14:val="tx1"/>
                  </w14:solidFill>
                </w14:textFill>
              </w:rPr>
              <w:t>二十七条 宗教事务部门应当对宗教活动场所遵守法律、法规、规章情况，建立和执行场所管理制度情况，登记项目变更情况，以及宗教活动和涉外活动情况进行监督检查。宗教活动场所应当接受宗教事务部门的监督检查。</w:t>
            </w:r>
          </w:p>
        </w:tc>
        <w:tc>
          <w:tcPr>
            <w:tcW w:w="1134" w:type="dxa"/>
            <w:tcBorders>
              <w:tl2br w:val="nil"/>
              <w:tr2bl w:val="nil"/>
            </w:tcBorders>
            <w:shd w:val="clear" w:color="auto" w:fill="auto"/>
            <w:tcMar>
              <w:top w:w="0" w:type="dxa"/>
              <w:left w:w="0" w:type="dxa"/>
              <w:bottom w:w="0" w:type="dxa"/>
              <w:right w:w="0" w:type="dxa"/>
            </w:tcMar>
            <w:vAlign w:val="center"/>
          </w:tcPr>
          <w:p w14:paraId="75F99264">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河北省宗教</w:t>
            </w:r>
          </w:p>
          <w:p w14:paraId="3787B0CC">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sz w:val="18"/>
                <w:szCs w:val="18"/>
                <w:u w:val="none"/>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事务局</w:t>
            </w:r>
          </w:p>
        </w:tc>
        <w:tc>
          <w:tcPr>
            <w:tcW w:w="964" w:type="dxa"/>
            <w:tcBorders>
              <w:tl2br w:val="nil"/>
              <w:tr2bl w:val="nil"/>
            </w:tcBorders>
            <w:shd w:val="clear" w:color="auto" w:fill="auto"/>
            <w:vAlign w:val="center"/>
          </w:tcPr>
          <w:p w14:paraId="5E593FC0">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市级、县级</w:t>
            </w:r>
          </w:p>
        </w:tc>
        <w:tc>
          <w:tcPr>
            <w:tcW w:w="3968" w:type="dxa"/>
            <w:tcBorders>
              <w:tl2br w:val="nil"/>
              <w:tr2bl w:val="nil"/>
            </w:tcBorders>
            <w:shd w:val="clear" w:color="auto" w:fill="auto"/>
            <w:vAlign w:val="center"/>
          </w:tcPr>
          <w:p w14:paraId="47AFA576">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w:t>
            </w:r>
            <w:r>
              <w:rPr>
                <w:rStyle w:val="9"/>
                <w:rFonts w:hint="eastAsia" w:ascii="仿宋_GB2312" w:eastAsia="仿宋_GB2312" w:cs="仿宋_GB2312"/>
                <w:color w:val="000000" w:themeColor="text1"/>
                <w:sz w:val="18"/>
                <w:szCs w:val="18"/>
                <w:lang w:val="en-US" w:eastAsia="zh-CN"/>
                <w14:textFill>
                  <w14:solidFill>
                    <w14:schemeClr w14:val="tx1"/>
                  </w14:solidFill>
                </w14:textFill>
              </w:rPr>
              <w:t>检查责任：对本辖区内宗教活动场所及其工作情况组织监督检查；</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2.处置责任：对监督检查发现的问题，责令限期整改、依法实施处罚；</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3.移送责任：及时予以公告，对构成犯罪的移交司法机关；</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4.事后管理责任：对监督检查发现的问题，整改完成后，对整改情况组织进行核查；</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5.其他责任：法律法规规章等规定应履行的责任。</w:t>
            </w:r>
          </w:p>
        </w:tc>
        <w:tc>
          <w:tcPr>
            <w:tcW w:w="3402" w:type="dxa"/>
            <w:tcBorders>
              <w:tl2br w:val="nil"/>
              <w:tr2bl w:val="nil"/>
            </w:tcBorders>
            <w:shd w:val="clear" w:color="auto" w:fill="auto"/>
            <w:vAlign w:val="center"/>
          </w:tcPr>
          <w:p w14:paraId="24BDB355">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因不履行或不正确履行行政职责，有下列情形的，行政机关及相关工作人员应承担相应责任：</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1.不对本辖区宗教活动场所及其工作情况组织监督检查；</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2.对在检查中发现的问题，不责令限期整改、不依法实施处罚；</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3.不及时予以公告，对构成犯罪的不移交司法机关；</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4.对监督检查发现的问题，整改完成后，不对整改情况组织进行核查；</w:t>
            </w:r>
            <w:r>
              <w:rPr>
                <w:rStyle w:val="9"/>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9"/>
                <w:rFonts w:hint="eastAsia" w:ascii="仿宋_GB2312" w:eastAsia="仿宋_GB2312" w:cs="仿宋_GB2312"/>
                <w:color w:val="000000" w:themeColor="text1"/>
                <w:sz w:val="18"/>
                <w:szCs w:val="18"/>
                <w:lang w:val="en-US" w:eastAsia="zh-CN"/>
                <w14:textFill>
                  <w14:solidFill>
                    <w14:schemeClr w14:val="tx1"/>
                  </w14:solidFill>
                </w14:textFill>
              </w:rPr>
              <w:t>5.其他违反法律法规规章文件规定的行为。</w:t>
            </w:r>
          </w:p>
        </w:tc>
        <w:tc>
          <w:tcPr>
            <w:tcW w:w="567" w:type="dxa"/>
            <w:tcBorders>
              <w:tl2br w:val="nil"/>
              <w:tr2bl w:val="nil"/>
            </w:tcBorders>
            <w:shd w:val="clear" w:color="auto" w:fill="auto"/>
            <w:vAlign w:val="center"/>
          </w:tcPr>
          <w:p w14:paraId="6CCA0011">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r w14:paraId="0AC31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2D460C08">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w:t>
            </w:r>
          </w:p>
        </w:tc>
        <w:tc>
          <w:tcPr>
            <w:tcW w:w="850" w:type="dxa"/>
            <w:tcBorders>
              <w:tl2br w:val="nil"/>
              <w:tr2bl w:val="nil"/>
            </w:tcBorders>
            <w:shd w:val="clear" w:color="auto" w:fill="auto"/>
            <w:vAlign w:val="center"/>
          </w:tcPr>
          <w:p w14:paraId="0C3FE777">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行政确认</w:t>
            </w:r>
          </w:p>
        </w:tc>
        <w:tc>
          <w:tcPr>
            <w:tcW w:w="1134" w:type="dxa"/>
            <w:tcBorders>
              <w:tl2br w:val="nil"/>
              <w:tr2bl w:val="nil"/>
            </w:tcBorders>
            <w:shd w:val="clear" w:color="auto" w:fill="auto"/>
            <w:vAlign w:val="center"/>
          </w:tcPr>
          <w:p w14:paraId="36B2999B">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公民民族成份变更审批</w:t>
            </w:r>
          </w:p>
        </w:tc>
        <w:tc>
          <w:tcPr>
            <w:tcW w:w="3118" w:type="dxa"/>
            <w:tcBorders>
              <w:tl2br w:val="nil"/>
              <w:tr2bl w:val="nil"/>
            </w:tcBorders>
            <w:shd w:val="clear" w:color="auto" w:fill="auto"/>
            <w:vAlign w:val="center"/>
          </w:tcPr>
          <w:p w14:paraId="5CA3AF7D">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 xml:space="preserve">《中国公民民族成份登记管理办法》（中华人民共和国国家民族事务委员会、中华人民共和国公安部令第2号）第十一条 </w:t>
            </w:r>
            <w:r>
              <w:rPr>
                <w:rStyle w:val="15"/>
                <w:rFonts w:hint="eastAsia" w:ascii="仿宋_GB2312" w:eastAsia="仿宋_GB2312" w:cs="仿宋_GB2312"/>
                <w:color w:val="000000" w:themeColor="text1"/>
                <w:sz w:val="18"/>
                <w:szCs w:val="18"/>
                <w:lang w:val="en-US" w:eastAsia="zh-CN"/>
                <w14:textFill>
                  <w14:solidFill>
                    <w14:schemeClr w14:val="tx1"/>
                  </w14:solidFill>
                </w14:textFill>
              </w:rPr>
              <w:t>申请变更民族成份，按照下列程序办理：（一）申请人向户籍所在地的县级人民政府民族事务部门提出申请；（二）县级人民政府民族事务部门对变更申请提出初审意见，对不符合条件的申请予以退回，并书面说明不予受理的理由；对符合条件的申请，自受理之日起的十个工作日内报上一级人民政府民族事务部门审批。对于十个工作日内不能提出初审意见的，经县级人民政府民族事务部门负责人批准，可以延长十个工作日；</w:t>
            </w:r>
            <w:r>
              <w:rPr>
                <w:rStyle w:val="14"/>
                <w:rFonts w:hint="eastAsia" w:ascii="仿宋_GB2312" w:eastAsia="仿宋_GB2312" w:cs="仿宋_GB2312"/>
                <w:color w:val="000000" w:themeColor="text1"/>
                <w:sz w:val="18"/>
                <w:szCs w:val="18"/>
                <w:lang w:val="en-US" w:eastAsia="zh-CN"/>
                <w14:textFill>
                  <w14:solidFill>
                    <w14:schemeClr w14:val="tx1"/>
                  </w14:solidFill>
                </w14:textFill>
              </w:rPr>
              <w:br w:type="textWrapping"/>
            </w:r>
            <w:r>
              <w:rPr>
                <w:rStyle w:val="15"/>
                <w:rFonts w:hint="eastAsia" w:ascii="仿宋_GB2312" w:eastAsia="仿宋_GB2312" w:cs="仿宋_GB2312"/>
                <w:color w:val="000000" w:themeColor="text1"/>
                <w:sz w:val="18"/>
                <w:szCs w:val="18"/>
                <w:lang w:val="en-US" w:eastAsia="zh-CN"/>
                <w14:textFill>
                  <w14:solidFill>
                    <w14:schemeClr w14:val="tx1"/>
                  </w14:solidFill>
                </w14:textFill>
              </w:rPr>
              <w:t>（三）上一级人民政府民族事务部门应当在收到审批申请之日起的十个工作日内，出具书面审批意见，并反馈给县级人民政府民族事务部门；（四）县级人民政府民族事务部门应当在收到审批意见的十个工作日内，将审批意见告知申请人。审批同意的，并将审批意见、公民申请书及相关证明材料抄送县级人民政府公安部门；（五）公安部门应当依据市级人民政府民族事务部门的审批意见，严格按照公民户籍主项信息变更的管理程序，在十五个工作日内办理公民民族成份变更登记。</w:t>
            </w:r>
          </w:p>
        </w:tc>
        <w:tc>
          <w:tcPr>
            <w:tcW w:w="1134" w:type="dxa"/>
            <w:tcBorders>
              <w:tl2br w:val="nil"/>
              <w:tr2bl w:val="nil"/>
            </w:tcBorders>
            <w:shd w:val="clear" w:color="auto" w:fill="auto"/>
            <w:tcMar>
              <w:top w:w="0" w:type="dxa"/>
              <w:left w:w="0" w:type="dxa"/>
              <w:bottom w:w="0" w:type="dxa"/>
              <w:right w:w="0" w:type="dxa"/>
            </w:tcMar>
            <w:vAlign w:val="center"/>
          </w:tcPr>
          <w:p w14:paraId="477BEEFF">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省民族事务</w:t>
            </w:r>
          </w:p>
          <w:p w14:paraId="3CA8F16E">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pacing w:val="-20"/>
                <w:sz w:val="18"/>
                <w:szCs w:val="18"/>
                <w:u w:val="none"/>
                <w14:textFill>
                  <w14:solidFill>
                    <w14:schemeClr w14:val="tx1"/>
                  </w14:solidFill>
                </w14:textFill>
              </w:rPr>
            </w:pPr>
            <w:r>
              <w:rPr>
                <w:rFonts w:hint="eastAsia" w:ascii="仿宋_GB2312" w:eastAsia="仿宋_GB2312" w:cs="仿宋_GB2312"/>
                <w:i w:val="0"/>
                <w:color w:val="000000" w:themeColor="text1"/>
                <w:spacing w:val="-20"/>
                <w:kern w:val="0"/>
                <w:sz w:val="18"/>
                <w:szCs w:val="18"/>
                <w:u w:val="none"/>
                <w:lang w:val="en-US" w:eastAsia="zh-CN"/>
                <w14:textFill>
                  <w14:solidFill>
                    <w14:schemeClr w14:val="tx1"/>
                  </w14:solidFill>
                </w14:textFill>
              </w:rPr>
              <w:t>委员会</w:t>
            </w:r>
          </w:p>
        </w:tc>
        <w:tc>
          <w:tcPr>
            <w:tcW w:w="964" w:type="dxa"/>
            <w:tcBorders>
              <w:tl2br w:val="nil"/>
              <w:tr2bl w:val="nil"/>
            </w:tcBorders>
            <w:shd w:val="clear" w:color="auto" w:fill="auto"/>
            <w:vAlign w:val="center"/>
          </w:tcPr>
          <w:p w14:paraId="18635FF4">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市级、县级</w:t>
            </w:r>
          </w:p>
        </w:tc>
        <w:tc>
          <w:tcPr>
            <w:tcW w:w="3968" w:type="dxa"/>
            <w:tcBorders>
              <w:tl2br w:val="nil"/>
              <w:tr2bl w:val="nil"/>
            </w:tcBorders>
            <w:shd w:val="clear" w:color="auto" w:fill="auto"/>
            <w:vAlign w:val="center"/>
          </w:tcPr>
          <w:p w14:paraId="6400667B">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1.公示责任：公示行政确认的事项、依据、条件、数量、程序、期限以及需要提交的全部材料的目录和申请书示范文本。</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2.受理责任：一次性告知补正材料，依法受理或不予受理（不予受理应当告知理由）。</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3.审查责任。对变更申请提出初审意见。</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4.决定责任：对符合条件的，在审批表上出具办理意见。对不符合条件的，解释原因。</w:t>
            </w:r>
          </w:p>
          <w:p w14:paraId="7F6434CD">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5.事后监管责任：受理相关问题举报及调查处理。</w:t>
            </w:r>
          </w:p>
          <w:p w14:paraId="471B5707">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6.其他法律法规文件规定应履行的责任。</w:t>
            </w:r>
          </w:p>
        </w:tc>
        <w:tc>
          <w:tcPr>
            <w:tcW w:w="3402" w:type="dxa"/>
            <w:tcBorders>
              <w:tl2br w:val="nil"/>
              <w:tr2bl w:val="nil"/>
            </w:tcBorders>
            <w:shd w:val="clear" w:color="auto" w:fill="auto"/>
            <w:vAlign w:val="center"/>
          </w:tcPr>
          <w:p w14:paraId="31F888CC">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因不履行或不正确履行行政职责，有下列情形的，行政机关及相关工作人员应承担相应责任：</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1.违规审批不符合条件的申请，造成不良影响的；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2.未经批准擅自变更公民民族身份的；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3.向申请人收取费用的；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4.工作中滥用职权、徇私舞弊、玩忽职守造成不良后果的；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5.工作中发生贪污腐败行为的；</w:t>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br w:type="textWrapping"/>
            </w:r>
            <w:r>
              <w:rPr>
                <w:rFonts w:hint="eastAsia" w:ascii="仿宋_GB2312" w:eastAsia="仿宋_GB2312" w:cs="仿宋_GB2312"/>
                <w:i w:val="0"/>
                <w:color w:val="000000" w:themeColor="text1"/>
                <w:kern w:val="0"/>
                <w:sz w:val="18"/>
                <w:szCs w:val="18"/>
                <w:u w:val="none"/>
                <w:lang w:val="en-US" w:eastAsia="zh-CN"/>
                <w14:textFill>
                  <w14:solidFill>
                    <w14:schemeClr w14:val="tx1"/>
                  </w14:solidFill>
                </w14:textFill>
              </w:rPr>
              <w:t>6.其他违反法律法规规章文件规定的行为。</w:t>
            </w:r>
          </w:p>
        </w:tc>
        <w:tc>
          <w:tcPr>
            <w:tcW w:w="567" w:type="dxa"/>
            <w:tcBorders>
              <w:tl2br w:val="nil"/>
              <w:tr2bl w:val="nil"/>
            </w:tcBorders>
            <w:shd w:val="clear" w:color="auto" w:fill="auto"/>
            <w:vAlign w:val="center"/>
          </w:tcPr>
          <w:p w14:paraId="11509EC9">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bl>
    <w:p w14:paraId="1CA9EBDA">
      <w:pPr>
        <w:keepNext w:val="0"/>
        <w:keepLines w:val="0"/>
        <w:pageBreakBefore w:val="0"/>
        <w:widowControl w:val="0"/>
        <w:kinsoku/>
        <w:wordWrap/>
        <w:overflowPunct/>
        <w:topLinePunct w:val="0"/>
        <w:autoSpaceDE/>
        <w:autoSpaceDN/>
        <w:bidi w:val="0"/>
        <w:adjustRightInd/>
        <w:snapToGrid/>
        <w:spacing w:line="240" w:lineRule="exact"/>
        <w:ind w:left="0" w:right="0" w:firstLine="0"/>
        <w:outlineLvl w:val="9"/>
        <w:rPr>
          <w:rFonts w:hint="eastAsia" w:ascii="仿宋_GB2312" w:eastAsia="仿宋_GB2312" w:cs="仿宋_GB2312"/>
          <w:sz w:val="18"/>
          <w:szCs w:val="18"/>
        </w:rPr>
      </w:pPr>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ExpandShiftReturn/>
    <w:adjustLineHeightInTable/>
    <w:growAutofit/>
    <w:useFELayout/>
    <w:useAltKinsokuLineBreakRules/>
    <w:splitPgBreakAndParaMark/>
    <w:compatSetting w:name="compatibilityMode" w:uri="http://schemas.microsoft.com/office/word" w:val="14"/>
  </w:compat>
  <w:docVars>
    <w:docVar w:name="commondata" w:val="eyJoZGlkIjoiYzZiNzYxN2FkOGMzNGQzNzJmYTZkYTcyMWMzMDNjMzgifQ=="/>
  </w:docVars>
  <w:rsids>
    <w:rsidRoot w:val="00000000"/>
    <w:rsid w:val="045660DD"/>
    <w:rsid w:val="05A33882"/>
    <w:rsid w:val="08274A89"/>
    <w:rsid w:val="0A7F4DDF"/>
    <w:rsid w:val="0AFF6138"/>
    <w:rsid w:val="0B8D0BEE"/>
    <w:rsid w:val="13405BB4"/>
    <w:rsid w:val="2C313C55"/>
    <w:rsid w:val="3B413563"/>
    <w:rsid w:val="462567DE"/>
    <w:rsid w:val="4C211EC7"/>
    <w:rsid w:val="4ECF7A46"/>
    <w:rsid w:val="4F49394A"/>
    <w:rsid w:val="60153020"/>
    <w:rsid w:val="74F606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character" w:default="1" w:styleId="3">
    <w:name w:val="Default Paragraph Font"/>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61"/>
    <w:basedOn w:val="3"/>
    <w:uiPriority w:val="0"/>
    <w:rPr>
      <w:rFonts w:ascii="宋体" w:eastAsia="宋体" w:cs="宋体"/>
      <w:color w:val="333333"/>
      <w:sz w:val="18"/>
      <w:szCs w:val="18"/>
      <w:u w:val="none"/>
    </w:rPr>
  </w:style>
  <w:style w:type="character" w:customStyle="1" w:styleId="5">
    <w:name w:val="font112"/>
    <w:basedOn w:val="3"/>
    <w:uiPriority w:val="0"/>
    <w:rPr>
      <w:rFonts w:ascii="宋体" w:eastAsia="宋体" w:cs="宋体"/>
      <w:color w:val="000000"/>
      <w:sz w:val="18"/>
      <w:szCs w:val="18"/>
      <w:u w:val="none"/>
    </w:rPr>
  </w:style>
  <w:style w:type="character" w:customStyle="1" w:styleId="6">
    <w:name w:val="font151"/>
    <w:basedOn w:val="3"/>
    <w:qFormat/>
    <w:uiPriority w:val="0"/>
    <w:rPr>
      <w:rFonts w:ascii="宋体" w:eastAsia="宋体" w:cs="宋体"/>
      <w:color w:val="000000"/>
      <w:sz w:val="21"/>
      <w:szCs w:val="21"/>
      <w:u w:val="none"/>
    </w:rPr>
  </w:style>
  <w:style w:type="character" w:customStyle="1" w:styleId="7">
    <w:name w:val="font41"/>
    <w:basedOn w:val="3"/>
    <w:qFormat/>
    <w:uiPriority w:val="0"/>
    <w:rPr>
      <w:rFonts w:ascii="仿宋" w:eastAsia="仿宋" w:cs="仿宋"/>
      <w:color w:val="333333"/>
      <w:sz w:val="18"/>
      <w:szCs w:val="18"/>
      <w:u w:val="none"/>
    </w:rPr>
  </w:style>
  <w:style w:type="character" w:customStyle="1" w:styleId="8">
    <w:name w:val="font71"/>
    <w:basedOn w:val="3"/>
    <w:qFormat/>
    <w:uiPriority w:val="0"/>
    <w:rPr>
      <w:rFonts w:ascii="仿宋" w:eastAsia="仿宋" w:cs="仿宋"/>
      <w:color w:val="000000"/>
      <w:sz w:val="18"/>
      <w:szCs w:val="18"/>
      <w:u w:val="none"/>
    </w:rPr>
  </w:style>
  <w:style w:type="character" w:customStyle="1" w:styleId="9">
    <w:name w:val="font241"/>
    <w:basedOn w:val="3"/>
    <w:qFormat/>
    <w:uiPriority w:val="0"/>
    <w:rPr>
      <w:rFonts w:ascii="仿宋_GB2312" w:eastAsia="仿宋_GB2312" w:cs="仿宋_GB2312"/>
      <w:color w:val="000000"/>
      <w:sz w:val="16"/>
      <w:szCs w:val="16"/>
      <w:u w:val="none"/>
    </w:rPr>
  </w:style>
  <w:style w:type="character" w:customStyle="1" w:styleId="10">
    <w:name w:val="font31"/>
    <w:basedOn w:val="3"/>
    <w:qFormat/>
    <w:uiPriority w:val="0"/>
    <w:rPr>
      <w:rFonts w:ascii="仿宋_GB2312" w:eastAsia="仿宋_GB2312" w:cs="仿宋_GB2312"/>
      <w:color w:val="000000"/>
      <w:sz w:val="18"/>
      <w:szCs w:val="18"/>
      <w:u w:val="none"/>
    </w:rPr>
  </w:style>
  <w:style w:type="character" w:customStyle="1" w:styleId="11">
    <w:name w:val="font141"/>
    <w:basedOn w:val="3"/>
    <w:qFormat/>
    <w:uiPriority w:val="0"/>
    <w:rPr>
      <w:rFonts w:ascii="仿宋_GB2312" w:eastAsia="仿宋_GB2312" w:cs="仿宋_GB2312"/>
      <w:color w:val="333333"/>
      <w:sz w:val="18"/>
      <w:szCs w:val="18"/>
      <w:u w:val="none"/>
    </w:rPr>
  </w:style>
  <w:style w:type="character" w:customStyle="1" w:styleId="12">
    <w:name w:val="font21"/>
    <w:basedOn w:val="3"/>
    <w:qFormat/>
    <w:uiPriority w:val="0"/>
    <w:rPr>
      <w:rFonts w:ascii="仿宋" w:eastAsia="仿宋" w:cs="仿宋"/>
      <w:b/>
      <w:color w:val="000000"/>
      <w:sz w:val="18"/>
      <w:szCs w:val="18"/>
      <w:u w:val="none"/>
    </w:rPr>
  </w:style>
  <w:style w:type="character" w:customStyle="1" w:styleId="13">
    <w:name w:val="font11"/>
    <w:basedOn w:val="3"/>
    <w:qFormat/>
    <w:uiPriority w:val="0"/>
    <w:rPr>
      <w:rFonts w:ascii="仿宋" w:eastAsia="仿宋" w:cs="仿宋"/>
      <w:b/>
      <w:color w:val="333333"/>
      <w:sz w:val="18"/>
      <w:szCs w:val="18"/>
      <w:u w:val="none"/>
    </w:rPr>
  </w:style>
  <w:style w:type="character" w:customStyle="1" w:styleId="14">
    <w:name w:val="font01"/>
    <w:basedOn w:val="3"/>
    <w:qFormat/>
    <w:uiPriority w:val="0"/>
    <w:rPr>
      <w:rFonts w:ascii="Helvetica Neue" w:hAnsi="Helvetica Neue" w:eastAsia="Helvetica Neue" w:cs="Helvetica Neue"/>
      <w:color w:val="333333"/>
      <w:sz w:val="21"/>
      <w:szCs w:val="21"/>
      <w:u w:val="none"/>
    </w:rPr>
  </w:style>
  <w:style w:type="character" w:customStyle="1" w:styleId="15">
    <w:name w:val="font51"/>
    <w:basedOn w:val="3"/>
    <w:qFormat/>
    <w:uiPriority w:val="0"/>
    <w:rPr>
      <w:rFonts w:ascii="仿宋_GB2312" w:eastAsia="仿宋_GB2312" w:cs="仿宋_GB2312"/>
      <w:color w:val="333333"/>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27</Pages>
  <Words>23404</Words>
  <Characters>23895</Characters>
  <Lines>1720</Lines>
  <Paragraphs>246</Paragraphs>
  <TotalTime>188</TotalTime>
  <ScaleCrop>false</ScaleCrop>
  <LinksUpToDate>false</LinksUpToDate>
  <CharactersWithSpaces>23931</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2022-07-15T01:57:00Z</dcterms:created>
  <dc:creator>Administrator</dc:creator>
  <cp:lastModifiedBy>随缘</cp:lastModifiedBy>
  <dcterms:modified xsi:type="dcterms:W3CDTF">2025-07-30T03:45:17Z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7B8B5CC918B149529C64CDB544875FBF_12</vt:lpwstr>
  </property>
  <property fmtid="{D5CDD505-2E9C-101B-9397-08002B2CF9AE}" pid="4" name="KSOTemplateDocerSaveRecord">
    <vt:lpwstr>eyJoZGlkIjoiZGZlMDY1ZDNmOWY2YWY5MDA2NTQ1NjBhMzIwYjlmYzQiLCJ1c2VySWQiOiI5NTgzNTkyODkifQ==</vt:lpwstr>
  </property>
</Properties>
</file>