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w:t>
      </w:r>
      <w:bookmarkStart w:id="20" w:name="_GoBack"/>
      <w:bookmarkEnd w:id="20"/>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default"/>
          <w:lang w:val="en-US"/>
        </w:rPr>
        <w:t>5</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default"/>
          <w:lang w:val="en-US"/>
        </w:rPr>
        <w:t>7</w:t>
      </w:r>
      <w:r>
        <w:fldChar w:fldCharType="end"/>
      </w:r>
    </w:p>
    <w:p>
      <w:pPr>
        <w:pStyle w:val="3"/>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default"/>
          <w:lang w:val="en-US"/>
        </w:rPr>
        <w:t>1</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default"/>
          <w:lang w:val="en-US"/>
        </w:rPr>
        <w:t>1</w:t>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部门预算政府性基金预算财政拨款支出表</w:t>
      </w:r>
      <w:r>
        <w:tab/>
      </w:r>
      <w:r>
        <w:rPr>
          <w:rFonts w:hint="default"/>
          <w:lang w:val="en-US"/>
        </w:rPr>
        <w:t>1</w:t>
      </w:r>
      <w:r>
        <w:fldChar w:fldCharType="end"/>
      </w:r>
      <w:r>
        <w:rPr>
          <w:rFonts w:hint="default"/>
          <w:lang w:val="en-US"/>
        </w:rPr>
        <w:t>2</w:t>
      </w:r>
    </w:p>
    <w:p>
      <w:pPr>
        <w:pStyle w:val="3"/>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1</w:t>
      </w:r>
      <w:r>
        <w:fldChar w:fldCharType="end"/>
      </w:r>
      <w:r>
        <w:rPr>
          <w:rFonts w:hint="default"/>
          <w:lang w:val="en-US"/>
        </w:rPr>
        <w:t>3</w:t>
      </w:r>
    </w:p>
    <w:p>
      <w:pPr>
        <w:pStyle w:val="3"/>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default"/>
          <w:lang w:val="en-US"/>
        </w:rPr>
        <w:t>1</w:t>
      </w:r>
      <w:r>
        <w:fldChar w:fldCharType="end"/>
      </w:r>
      <w:r>
        <w:rPr>
          <w:rFonts w:hint="default"/>
          <w:lang w:val="en-US"/>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1</w:t>
      </w:r>
      <w:r>
        <w:fldChar w:fldCharType="end"/>
      </w:r>
      <w:r>
        <w:rPr>
          <w:rFonts w:hint="default"/>
          <w:lang w:val="en-US"/>
        </w:rPr>
        <w:t>5</w:t>
      </w:r>
    </w:p>
    <w:p>
      <w:pPr>
        <w:pStyle w:val="3"/>
        <w:tabs>
          <w:tab w:val="right" w:leader="dot" w:pos="14562"/>
        </w:tabs>
        <w:rPr>
          <w:rFonts w:hint="default"/>
          <w:lang w:val="en-US"/>
        </w:rPr>
      </w:pPr>
      <w:r>
        <w:fldChar w:fldCharType="begin"/>
      </w:r>
      <w:r>
        <w:instrText xml:space="preserve"> HYPERLINK \l "_Toc_3_3_0000000011" </w:instrText>
      </w:r>
      <w:r>
        <w:fldChar w:fldCharType="separate"/>
      </w:r>
      <w:r>
        <w:t>二、部门预算安排的总体情况</w:t>
      </w:r>
      <w:r>
        <w:tab/>
      </w:r>
      <w:r>
        <w:rPr>
          <w:rFonts w:hint="default"/>
          <w:lang w:val="en-US"/>
        </w:rPr>
        <w:t>1</w:t>
      </w:r>
      <w:r>
        <w:fldChar w:fldCharType="end"/>
      </w:r>
      <w:r>
        <w:rPr>
          <w:rFonts w:hint="default"/>
          <w:lang w:val="en-US"/>
        </w:rPr>
        <w:t>6</w:t>
      </w:r>
    </w:p>
    <w:p>
      <w:pPr>
        <w:pStyle w:val="3"/>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1</w:t>
      </w:r>
      <w:r>
        <w:fldChar w:fldCharType="end"/>
      </w:r>
      <w:r>
        <w:rPr>
          <w:rFonts w:hint="default"/>
          <w:lang w:val="en-US"/>
        </w:rPr>
        <w:t>7</w:t>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default"/>
          <w:lang w:val="en-US"/>
        </w:rPr>
        <w:t>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default"/>
          <w:lang w:val="en-US"/>
        </w:rPr>
        <w:t>7</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"_Toc_3_3_0000000015" </w:instrText>
      </w:r>
      <w:r>
        <w:fldChar w:fldCharType="separate"/>
      </w:r>
      <w:r>
        <w:t>六、部门主管专项资金预算安排情况及绩效目标</w:t>
      </w:r>
      <w:r>
        <w:tab/>
      </w:r>
      <w:r>
        <w:rPr>
          <w:rFonts w:hint="default"/>
          <w:lang w:val="en-US"/>
        </w:rPr>
        <w:t>2</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rPr>
          <w:rFonts w:hint="default"/>
          <w:lang w:val="en-US"/>
        </w:rPr>
        <w:t>2</w:t>
      </w:r>
      <w:r>
        <w:fldChar w:fldCharType="end"/>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"_Toc_3_3_0000000017" </w:instrText>
      </w:r>
      <w:r>
        <w:fldChar w:fldCharType="separate"/>
      </w:r>
      <w:r>
        <w:t>八、政府采购预算情况</w:t>
      </w:r>
      <w:r>
        <w:tab/>
      </w:r>
      <w:r>
        <w:rPr>
          <w:rFonts w:hint="default"/>
          <w:lang w:val="en-US"/>
        </w:rPr>
        <w:t>2</w:t>
      </w:r>
      <w:r>
        <w:fldChar w:fldCharType="end"/>
      </w:r>
      <w:r>
        <w:rPr>
          <w:rFonts w:hint="default"/>
          <w:lang w:val="en-US"/>
        </w:rPr>
        <w:t>3</w:t>
      </w:r>
    </w:p>
    <w:p>
      <w:pPr>
        <w:pStyle w:val="3"/>
        <w:tabs>
          <w:tab w:val="right" w:leader="dot" w:pos="14562"/>
        </w:tabs>
        <w:rPr>
          <w:rFonts w:hint="default"/>
          <w:lang w:val="en-US"/>
        </w:rPr>
      </w:pPr>
      <w:r>
        <w:fldChar w:fldCharType="begin"/>
      </w:r>
      <w:r>
        <w:instrText xml:space="preserve"> HYPERLINK \l "_Toc_3_3_0000000018" </w:instrText>
      </w:r>
      <w:r>
        <w:fldChar w:fldCharType="separate"/>
      </w:r>
      <w:r>
        <w:t>九、国有资产信息</w:t>
      </w:r>
      <w:r>
        <w:tab/>
      </w:r>
      <w:r>
        <w:rPr>
          <w:rFonts w:hint="default"/>
          <w:lang w:val="en-US"/>
        </w:rPr>
        <w:t>2</w:t>
      </w:r>
      <w:r>
        <w:fldChar w:fldCharType="end"/>
      </w:r>
      <w:r>
        <w:rPr>
          <w:rFonts w:hint="default"/>
          <w:lang w:val="en-US"/>
        </w:rPr>
        <w:t>3</w:t>
      </w:r>
    </w:p>
    <w:p>
      <w:pPr>
        <w:pStyle w:val="3"/>
        <w:tabs>
          <w:tab w:val="right" w:leader="dot" w:pos="14562"/>
        </w:tabs>
        <w:rPr>
          <w:rFonts w:hint="default"/>
          <w:lang w:val="en-US"/>
        </w:rPr>
      </w:pPr>
      <w:r>
        <w:fldChar w:fldCharType="begin"/>
      </w:r>
      <w:r>
        <w:instrText xml:space="preserve"> HYPERLINK \l "_Toc_3_3_0000000019" </w:instrText>
      </w:r>
      <w:r>
        <w:fldChar w:fldCharType="separate"/>
      </w:r>
      <w:r>
        <w:t>十、名词解释</w:t>
      </w:r>
      <w:r>
        <w:tab/>
      </w:r>
      <w:r>
        <w:rPr>
          <w:rFonts w:hint="default"/>
          <w:lang w:val="en-US"/>
        </w:rPr>
        <w:t>2</w:t>
      </w:r>
      <w:r>
        <w:fldChar w:fldCharType="end"/>
      </w:r>
      <w:r>
        <w:rPr>
          <w:rFonts w:hint="default"/>
          <w:lang w:val="en-US"/>
        </w:rPr>
        <w:t>4</w:t>
      </w:r>
    </w:p>
    <w:p>
      <w:pPr>
        <w:pStyle w:val="3"/>
        <w:tabs>
          <w:tab w:val="right" w:leader="dot" w:pos="14562"/>
        </w:tabs>
        <w:rPr>
          <w:rFonts w:hint="default"/>
          <w:lang w:val="en-US"/>
        </w:rPr>
      </w:pPr>
      <w:r>
        <w:fldChar w:fldCharType="begin"/>
      </w:r>
      <w:r>
        <w:instrText xml:space="preserve"> HYPERLINK \l "_Toc_3_3_0000000020" </w:instrText>
      </w:r>
      <w:r>
        <w:fldChar w:fldCharType="separate"/>
      </w:r>
      <w:r>
        <w:t>十一、其他需要说明的事项</w:t>
      </w:r>
      <w:r>
        <w:tab/>
      </w:r>
      <w:r>
        <w:rPr>
          <w:rFonts w:hint="default"/>
          <w:lang w:val="en-US"/>
        </w:rPr>
        <w:t>2</w:t>
      </w:r>
      <w:r>
        <w:fldChar w:fldCharType="end"/>
      </w:r>
      <w:r>
        <w:rPr>
          <w:rFonts w:hint="default"/>
          <w:lang w:val="en-US"/>
        </w:rPr>
        <w:t>5</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202中国共产党昌黎县委员会社会工作部</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80.77</w:t>
            </w:r>
          </w:p>
        </w:tc>
        <w:tc>
          <w:tcPr>
            <w:tcW w:w="4535" w:type="dxa"/>
            <w:vAlign w:val="center"/>
          </w:tcPr>
          <w:p>
            <w:pPr>
              <w:pStyle w:val="13"/>
            </w:pPr>
            <w:r>
              <w:t>一、一般公共服务支出</w:t>
            </w:r>
          </w:p>
        </w:tc>
        <w:tc>
          <w:tcPr>
            <w:tcW w:w="2126" w:type="dxa"/>
            <w:vAlign w:val="center"/>
          </w:tcPr>
          <w:p>
            <w:pPr>
              <w:pStyle w:val="12"/>
            </w:pPr>
            <w:r>
              <w:t>67.33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80.77</w:t>
            </w:r>
          </w:p>
        </w:tc>
        <w:tc>
          <w:tcPr>
            <w:tcW w:w="4535" w:type="dxa"/>
            <w:vAlign w:val="center"/>
          </w:tcPr>
          <w:p>
            <w:pPr>
              <w:pStyle w:val="15"/>
            </w:pPr>
            <w:r>
              <w:t>本年支出合计</w:t>
            </w:r>
          </w:p>
        </w:tc>
        <w:tc>
          <w:tcPr>
            <w:tcW w:w="2126" w:type="dxa"/>
            <w:vAlign w:val="center"/>
          </w:tcPr>
          <w:p>
            <w:pPr>
              <w:pStyle w:val="16"/>
            </w:pPr>
            <w:r>
              <w:t>80.77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80.77</w:t>
            </w:r>
          </w:p>
        </w:tc>
        <w:tc>
          <w:tcPr>
            <w:tcW w:w="4535" w:type="dxa"/>
            <w:vAlign w:val="center"/>
          </w:tcPr>
          <w:p>
            <w:pPr>
              <w:pStyle w:val="15"/>
            </w:pPr>
            <w:r>
              <w:t>支出总计</w:t>
            </w:r>
          </w:p>
        </w:tc>
        <w:tc>
          <w:tcPr>
            <w:tcW w:w="2126" w:type="dxa"/>
            <w:vAlign w:val="center"/>
          </w:tcPr>
          <w:p>
            <w:pPr>
              <w:pStyle w:val="16"/>
            </w:pPr>
            <w:r>
              <w:t>80.77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202中国共产党昌黎县委员会社会工作部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80.77</w:t>
            </w:r>
          </w:p>
        </w:tc>
        <w:tc>
          <w:tcPr>
            <w:tcW w:w="1134" w:type="dxa"/>
            <w:vAlign w:val="center"/>
          </w:tcPr>
          <w:p>
            <w:pPr>
              <w:pStyle w:val="16"/>
            </w:pPr>
            <w:r>
              <w:t>80.77</w:t>
            </w:r>
          </w:p>
        </w:tc>
        <w:tc>
          <w:tcPr>
            <w:tcW w:w="1134" w:type="dxa"/>
            <w:vAlign w:val="center"/>
          </w:tcPr>
          <w:p>
            <w:pPr>
              <w:pStyle w:val="16"/>
            </w:pPr>
            <w:r>
              <w:t>80.77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67.33</w:t>
            </w:r>
          </w:p>
        </w:tc>
        <w:tc>
          <w:tcPr>
            <w:tcW w:w="1134" w:type="dxa"/>
            <w:vAlign w:val="center"/>
          </w:tcPr>
          <w:p>
            <w:pPr>
              <w:pStyle w:val="12"/>
            </w:pPr>
            <w:r>
              <w:t>67.33</w:t>
            </w:r>
          </w:p>
        </w:tc>
        <w:tc>
          <w:tcPr>
            <w:tcW w:w="1134" w:type="dxa"/>
            <w:vAlign w:val="center"/>
          </w:tcPr>
          <w:p>
            <w:pPr>
              <w:pStyle w:val="12"/>
            </w:pPr>
            <w:r>
              <w:t>67.33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20139</w:t>
            </w:r>
          </w:p>
        </w:tc>
        <w:tc>
          <w:tcPr>
            <w:tcW w:w="1559" w:type="dxa"/>
            <w:vAlign w:val="center"/>
          </w:tcPr>
          <w:p>
            <w:pPr>
              <w:pStyle w:val="13"/>
            </w:pPr>
            <w:r>
              <w:t>社会工作事务</w:t>
            </w:r>
          </w:p>
        </w:tc>
        <w:tc>
          <w:tcPr>
            <w:tcW w:w="1134" w:type="dxa"/>
            <w:vAlign w:val="center"/>
          </w:tcPr>
          <w:p>
            <w:pPr>
              <w:pStyle w:val="12"/>
            </w:pPr>
            <w:r>
              <w:t>67.33</w:t>
            </w:r>
          </w:p>
        </w:tc>
        <w:tc>
          <w:tcPr>
            <w:tcW w:w="1134" w:type="dxa"/>
            <w:vAlign w:val="center"/>
          </w:tcPr>
          <w:p>
            <w:pPr>
              <w:pStyle w:val="12"/>
            </w:pPr>
            <w:r>
              <w:t>67.33</w:t>
            </w:r>
          </w:p>
        </w:tc>
        <w:tc>
          <w:tcPr>
            <w:tcW w:w="1134" w:type="dxa"/>
            <w:vAlign w:val="center"/>
          </w:tcPr>
          <w:p>
            <w:pPr>
              <w:pStyle w:val="12"/>
            </w:pPr>
            <w:r>
              <w:t>67.33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2013901</w:t>
            </w:r>
          </w:p>
        </w:tc>
        <w:tc>
          <w:tcPr>
            <w:tcW w:w="1559" w:type="dxa"/>
            <w:vAlign w:val="center"/>
          </w:tcPr>
          <w:p>
            <w:pPr>
              <w:pStyle w:val="13"/>
            </w:pPr>
            <w:r>
              <w:t>行政运行</w:t>
            </w:r>
          </w:p>
        </w:tc>
        <w:tc>
          <w:tcPr>
            <w:tcW w:w="1134" w:type="dxa"/>
            <w:vAlign w:val="center"/>
          </w:tcPr>
          <w:p>
            <w:pPr>
              <w:pStyle w:val="12"/>
            </w:pPr>
            <w:r>
              <w:t>49.33</w:t>
            </w:r>
          </w:p>
        </w:tc>
        <w:tc>
          <w:tcPr>
            <w:tcW w:w="1134" w:type="dxa"/>
            <w:vAlign w:val="center"/>
          </w:tcPr>
          <w:p>
            <w:pPr>
              <w:pStyle w:val="12"/>
            </w:pPr>
            <w:r>
              <w:t>49.33</w:t>
            </w:r>
          </w:p>
        </w:tc>
        <w:tc>
          <w:tcPr>
            <w:tcW w:w="1134" w:type="dxa"/>
            <w:vAlign w:val="center"/>
          </w:tcPr>
          <w:p>
            <w:pPr>
              <w:pStyle w:val="12"/>
            </w:pPr>
            <w:r>
              <w:t>49.33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2013904</w:t>
            </w:r>
          </w:p>
        </w:tc>
        <w:tc>
          <w:tcPr>
            <w:tcW w:w="1559" w:type="dxa"/>
            <w:vAlign w:val="center"/>
          </w:tcPr>
          <w:p>
            <w:pPr>
              <w:pStyle w:val="13"/>
            </w:pPr>
            <w:r>
              <w:t>专项业务</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6.34</w:t>
            </w:r>
          </w:p>
        </w:tc>
        <w:tc>
          <w:tcPr>
            <w:tcW w:w="1134" w:type="dxa"/>
            <w:vAlign w:val="center"/>
          </w:tcPr>
          <w:p>
            <w:pPr>
              <w:pStyle w:val="12"/>
            </w:pPr>
            <w:r>
              <w:t>6.34</w:t>
            </w:r>
          </w:p>
        </w:tc>
        <w:tc>
          <w:tcPr>
            <w:tcW w:w="1134" w:type="dxa"/>
            <w:vAlign w:val="center"/>
          </w:tcPr>
          <w:p>
            <w:pPr>
              <w:pStyle w:val="12"/>
            </w:pPr>
            <w:r>
              <w:t>6.34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6.34</w:t>
            </w:r>
          </w:p>
        </w:tc>
        <w:tc>
          <w:tcPr>
            <w:tcW w:w="1134" w:type="dxa"/>
            <w:vAlign w:val="center"/>
          </w:tcPr>
          <w:p>
            <w:pPr>
              <w:pStyle w:val="12"/>
            </w:pPr>
            <w:r>
              <w:t>6.34</w:t>
            </w:r>
          </w:p>
        </w:tc>
        <w:tc>
          <w:tcPr>
            <w:tcW w:w="1134" w:type="dxa"/>
            <w:vAlign w:val="center"/>
          </w:tcPr>
          <w:p>
            <w:pPr>
              <w:pStyle w:val="12"/>
            </w:pPr>
            <w:r>
              <w:t>6.34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6.34</w:t>
            </w:r>
          </w:p>
        </w:tc>
        <w:tc>
          <w:tcPr>
            <w:tcW w:w="1134" w:type="dxa"/>
            <w:vAlign w:val="center"/>
          </w:tcPr>
          <w:p>
            <w:pPr>
              <w:pStyle w:val="12"/>
            </w:pPr>
            <w:r>
              <w:t>6.34</w:t>
            </w:r>
          </w:p>
        </w:tc>
        <w:tc>
          <w:tcPr>
            <w:tcW w:w="1134" w:type="dxa"/>
            <w:vAlign w:val="center"/>
          </w:tcPr>
          <w:p>
            <w:pPr>
              <w:pStyle w:val="12"/>
            </w:pPr>
            <w:r>
              <w:t>6.34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3.59</w:t>
            </w:r>
          </w:p>
        </w:tc>
        <w:tc>
          <w:tcPr>
            <w:tcW w:w="1134" w:type="dxa"/>
            <w:vAlign w:val="center"/>
          </w:tcPr>
          <w:p>
            <w:pPr>
              <w:pStyle w:val="12"/>
            </w:pPr>
            <w:r>
              <w:t>3.59</w:t>
            </w:r>
          </w:p>
        </w:tc>
        <w:tc>
          <w:tcPr>
            <w:tcW w:w="1134" w:type="dxa"/>
            <w:vAlign w:val="center"/>
          </w:tcPr>
          <w:p>
            <w:pPr>
              <w:pStyle w:val="12"/>
            </w:pPr>
            <w:r>
              <w:t>3.59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3.59</w:t>
            </w:r>
          </w:p>
        </w:tc>
        <w:tc>
          <w:tcPr>
            <w:tcW w:w="1134" w:type="dxa"/>
            <w:vAlign w:val="center"/>
          </w:tcPr>
          <w:p>
            <w:pPr>
              <w:pStyle w:val="12"/>
            </w:pPr>
            <w:r>
              <w:t>3.59</w:t>
            </w:r>
          </w:p>
        </w:tc>
        <w:tc>
          <w:tcPr>
            <w:tcW w:w="1134" w:type="dxa"/>
            <w:vAlign w:val="center"/>
          </w:tcPr>
          <w:p>
            <w:pPr>
              <w:pStyle w:val="12"/>
            </w:pPr>
            <w:r>
              <w:t>3.59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3.59</w:t>
            </w:r>
          </w:p>
        </w:tc>
        <w:tc>
          <w:tcPr>
            <w:tcW w:w="1134" w:type="dxa"/>
            <w:vAlign w:val="center"/>
          </w:tcPr>
          <w:p>
            <w:pPr>
              <w:pStyle w:val="12"/>
            </w:pPr>
            <w:r>
              <w:t>3.59</w:t>
            </w:r>
          </w:p>
        </w:tc>
        <w:tc>
          <w:tcPr>
            <w:tcW w:w="1134" w:type="dxa"/>
            <w:vAlign w:val="center"/>
          </w:tcPr>
          <w:p>
            <w:pPr>
              <w:pStyle w:val="12"/>
            </w:pPr>
            <w:r>
              <w:t>3.59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3.51</w:t>
            </w:r>
          </w:p>
        </w:tc>
        <w:tc>
          <w:tcPr>
            <w:tcW w:w="1134" w:type="dxa"/>
            <w:vAlign w:val="center"/>
          </w:tcPr>
          <w:p>
            <w:pPr>
              <w:pStyle w:val="12"/>
            </w:pPr>
            <w:r>
              <w:t>3.51</w:t>
            </w:r>
          </w:p>
        </w:tc>
        <w:tc>
          <w:tcPr>
            <w:tcW w:w="1134" w:type="dxa"/>
            <w:vAlign w:val="center"/>
          </w:tcPr>
          <w:p>
            <w:pPr>
              <w:pStyle w:val="12"/>
            </w:pPr>
            <w:r>
              <w:t>3.51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3.51</w:t>
            </w:r>
          </w:p>
        </w:tc>
        <w:tc>
          <w:tcPr>
            <w:tcW w:w="1134" w:type="dxa"/>
            <w:vAlign w:val="center"/>
          </w:tcPr>
          <w:p>
            <w:pPr>
              <w:pStyle w:val="12"/>
            </w:pPr>
            <w:r>
              <w:t>3.51</w:t>
            </w:r>
          </w:p>
        </w:tc>
        <w:tc>
          <w:tcPr>
            <w:tcW w:w="1134" w:type="dxa"/>
            <w:vAlign w:val="center"/>
          </w:tcPr>
          <w:p>
            <w:pPr>
              <w:pStyle w:val="12"/>
            </w:pPr>
            <w:r>
              <w:t>3.51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3.51</w:t>
            </w:r>
          </w:p>
        </w:tc>
        <w:tc>
          <w:tcPr>
            <w:tcW w:w="1134" w:type="dxa"/>
            <w:vAlign w:val="center"/>
          </w:tcPr>
          <w:p>
            <w:pPr>
              <w:pStyle w:val="12"/>
            </w:pPr>
            <w:r>
              <w:t>3.51</w:t>
            </w:r>
          </w:p>
        </w:tc>
        <w:tc>
          <w:tcPr>
            <w:tcW w:w="1134" w:type="dxa"/>
            <w:vAlign w:val="center"/>
          </w:tcPr>
          <w:p>
            <w:pPr>
              <w:pStyle w:val="12"/>
            </w:pPr>
            <w:r>
              <w:t>3.51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202中国共产党昌黎县委员会社会工作部</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80.77</w:t>
            </w:r>
          </w:p>
        </w:tc>
        <w:tc>
          <w:tcPr>
            <w:tcW w:w="1361" w:type="dxa"/>
            <w:vAlign w:val="center"/>
          </w:tcPr>
          <w:p>
            <w:pPr>
              <w:pStyle w:val="16"/>
            </w:pPr>
            <w:r>
              <w:t>62.77</w:t>
            </w:r>
          </w:p>
        </w:tc>
        <w:tc>
          <w:tcPr>
            <w:tcW w:w="1361" w:type="dxa"/>
            <w:vAlign w:val="center"/>
          </w:tcPr>
          <w:p>
            <w:pPr>
              <w:pStyle w:val="16"/>
            </w:pPr>
            <w:r>
              <w:t>18.00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67.33</w:t>
            </w:r>
          </w:p>
        </w:tc>
        <w:tc>
          <w:tcPr>
            <w:tcW w:w="1361" w:type="dxa"/>
            <w:vAlign w:val="center"/>
          </w:tcPr>
          <w:p>
            <w:pPr>
              <w:pStyle w:val="12"/>
            </w:pPr>
            <w:r>
              <w:t>49.33</w:t>
            </w: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20139</w:t>
            </w:r>
          </w:p>
        </w:tc>
        <w:tc>
          <w:tcPr>
            <w:tcW w:w="4535" w:type="dxa"/>
            <w:vAlign w:val="center"/>
          </w:tcPr>
          <w:p>
            <w:pPr>
              <w:pStyle w:val="13"/>
            </w:pPr>
            <w:r>
              <w:t>社会工作事务</w:t>
            </w:r>
          </w:p>
        </w:tc>
        <w:tc>
          <w:tcPr>
            <w:tcW w:w="1361" w:type="dxa"/>
            <w:vAlign w:val="center"/>
          </w:tcPr>
          <w:p>
            <w:pPr>
              <w:pStyle w:val="12"/>
            </w:pPr>
            <w:r>
              <w:t>67.33</w:t>
            </w:r>
          </w:p>
        </w:tc>
        <w:tc>
          <w:tcPr>
            <w:tcW w:w="1361" w:type="dxa"/>
            <w:vAlign w:val="center"/>
          </w:tcPr>
          <w:p>
            <w:pPr>
              <w:pStyle w:val="12"/>
            </w:pPr>
            <w:r>
              <w:t>49.33</w:t>
            </w: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2013901</w:t>
            </w:r>
          </w:p>
        </w:tc>
        <w:tc>
          <w:tcPr>
            <w:tcW w:w="4535" w:type="dxa"/>
            <w:vAlign w:val="center"/>
          </w:tcPr>
          <w:p>
            <w:pPr>
              <w:pStyle w:val="13"/>
            </w:pPr>
            <w:r>
              <w:t>行政运行</w:t>
            </w:r>
          </w:p>
        </w:tc>
        <w:tc>
          <w:tcPr>
            <w:tcW w:w="1361" w:type="dxa"/>
            <w:vAlign w:val="center"/>
          </w:tcPr>
          <w:p>
            <w:pPr>
              <w:pStyle w:val="12"/>
            </w:pPr>
            <w:r>
              <w:t>49.33</w:t>
            </w:r>
          </w:p>
        </w:tc>
        <w:tc>
          <w:tcPr>
            <w:tcW w:w="1361" w:type="dxa"/>
            <w:vAlign w:val="center"/>
          </w:tcPr>
          <w:p>
            <w:pPr>
              <w:pStyle w:val="12"/>
            </w:pPr>
            <w:r>
              <w:t>49.33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2013904</w:t>
            </w:r>
          </w:p>
        </w:tc>
        <w:tc>
          <w:tcPr>
            <w:tcW w:w="4535" w:type="dxa"/>
            <w:vAlign w:val="center"/>
          </w:tcPr>
          <w:p>
            <w:pPr>
              <w:pStyle w:val="13"/>
            </w:pPr>
            <w:r>
              <w:t>专项业务</w:t>
            </w: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6.34</w:t>
            </w:r>
          </w:p>
        </w:tc>
        <w:tc>
          <w:tcPr>
            <w:tcW w:w="1361" w:type="dxa"/>
            <w:vAlign w:val="center"/>
          </w:tcPr>
          <w:p>
            <w:pPr>
              <w:pStyle w:val="12"/>
            </w:pPr>
            <w:r>
              <w:t>6.34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6.34</w:t>
            </w:r>
          </w:p>
        </w:tc>
        <w:tc>
          <w:tcPr>
            <w:tcW w:w="1361" w:type="dxa"/>
            <w:vAlign w:val="center"/>
          </w:tcPr>
          <w:p>
            <w:pPr>
              <w:pStyle w:val="12"/>
            </w:pPr>
            <w:r>
              <w:t>6.34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6.34</w:t>
            </w:r>
          </w:p>
        </w:tc>
        <w:tc>
          <w:tcPr>
            <w:tcW w:w="1361" w:type="dxa"/>
            <w:vAlign w:val="center"/>
          </w:tcPr>
          <w:p>
            <w:pPr>
              <w:pStyle w:val="12"/>
            </w:pPr>
            <w:r>
              <w:t>6.34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3.59</w:t>
            </w:r>
          </w:p>
        </w:tc>
        <w:tc>
          <w:tcPr>
            <w:tcW w:w="1361" w:type="dxa"/>
            <w:vAlign w:val="center"/>
          </w:tcPr>
          <w:p>
            <w:pPr>
              <w:pStyle w:val="12"/>
            </w:pPr>
            <w:r>
              <w:t>3.59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3.59</w:t>
            </w:r>
          </w:p>
        </w:tc>
        <w:tc>
          <w:tcPr>
            <w:tcW w:w="1361" w:type="dxa"/>
            <w:vAlign w:val="center"/>
          </w:tcPr>
          <w:p>
            <w:pPr>
              <w:pStyle w:val="12"/>
            </w:pPr>
            <w:r>
              <w:t>3.59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3.59</w:t>
            </w:r>
          </w:p>
        </w:tc>
        <w:tc>
          <w:tcPr>
            <w:tcW w:w="1361" w:type="dxa"/>
            <w:vAlign w:val="center"/>
          </w:tcPr>
          <w:p>
            <w:pPr>
              <w:pStyle w:val="12"/>
            </w:pPr>
            <w:r>
              <w:t>3.59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3.51</w:t>
            </w:r>
          </w:p>
        </w:tc>
        <w:tc>
          <w:tcPr>
            <w:tcW w:w="1361" w:type="dxa"/>
            <w:vAlign w:val="center"/>
          </w:tcPr>
          <w:p>
            <w:pPr>
              <w:pStyle w:val="12"/>
            </w:pPr>
            <w:r>
              <w:t>3.51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3.51</w:t>
            </w:r>
          </w:p>
        </w:tc>
        <w:tc>
          <w:tcPr>
            <w:tcW w:w="1361" w:type="dxa"/>
            <w:vAlign w:val="center"/>
          </w:tcPr>
          <w:p>
            <w:pPr>
              <w:pStyle w:val="12"/>
            </w:pPr>
            <w:r>
              <w:t>3.51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3.51</w:t>
            </w:r>
          </w:p>
        </w:tc>
        <w:tc>
          <w:tcPr>
            <w:tcW w:w="1361" w:type="dxa"/>
            <w:vAlign w:val="center"/>
          </w:tcPr>
          <w:p>
            <w:pPr>
              <w:pStyle w:val="12"/>
            </w:pPr>
            <w:r>
              <w:t>3.51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202中国共产党昌黎县委员会社会工作部</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80.77</w:t>
            </w:r>
          </w:p>
        </w:tc>
        <w:tc>
          <w:tcPr>
            <w:tcW w:w="3402" w:type="dxa"/>
            <w:vAlign w:val="center"/>
          </w:tcPr>
          <w:p>
            <w:pPr>
              <w:pStyle w:val="13"/>
            </w:pPr>
            <w:r>
              <w:t>一、一般公共服务支出</w:t>
            </w:r>
          </w:p>
        </w:tc>
        <w:tc>
          <w:tcPr>
            <w:tcW w:w="1474" w:type="dxa"/>
            <w:vAlign w:val="center"/>
          </w:tcPr>
          <w:p>
            <w:pPr>
              <w:pStyle w:val="12"/>
            </w:pPr>
            <w:r>
              <w:t>67.33</w:t>
            </w:r>
          </w:p>
        </w:tc>
        <w:tc>
          <w:tcPr>
            <w:tcW w:w="1474" w:type="dxa"/>
            <w:vAlign w:val="center"/>
          </w:tcPr>
          <w:p>
            <w:pPr>
              <w:pStyle w:val="12"/>
            </w:pPr>
            <w:r>
              <w:t>67.33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6.34</w:t>
            </w:r>
          </w:p>
        </w:tc>
        <w:tc>
          <w:tcPr>
            <w:tcW w:w="1474" w:type="dxa"/>
            <w:vAlign w:val="center"/>
          </w:tcPr>
          <w:p>
            <w:pPr>
              <w:pStyle w:val="12"/>
            </w:pPr>
            <w:r>
              <w:t>6.34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3.59</w:t>
            </w:r>
          </w:p>
        </w:tc>
        <w:tc>
          <w:tcPr>
            <w:tcW w:w="1474" w:type="dxa"/>
            <w:vAlign w:val="center"/>
          </w:tcPr>
          <w:p>
            <w:pPr>
              <w:pStyle w:val="12"/>
            </w:pPr>
            <w:r>
              <w:t>3.59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3.51</w:t>
            </w:r>
          </w:p>
        </w:tc>
        <w:tc>
          <w:tcPr>
            <w:tcW w:w="1474" w:type="dxa"/>
            <w:vAlign w:val="center"/>
          </w:tcPr>
          <w:p>
            <w:pPr>
              <w:pStyle w:val="12"/>
            </w:pPr>
            <w:r>
              <w:t>3.51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80.77</w:t>
            </w:r>
          </w:p>
        </w:tc>
        <w:tc>
          <w:tcPr>
            <w:tcW w:w="3402" w:type="dxa"/>
            <w:vAlign w:val="center"/>
          </w:tcPr>
          <w:p>
            <w:pPr>
              <w:pStyle w:val="15"/>
            </w:pPr>
            <w:r>
              <w:t>本年支出合计</w:t>
            </w:r>
          </w:p>
        </w:tc>
        <w:tc>
          <w:tcPr>
            <w:tcW w:w="1474" w:type="dxa"/>
            <w:vAlign w:val="center"/>
          </w:tcPr>
          <w:p>
            <w:pPr>
              <w:pStyle w:val="16"/>
            </w:pPr>
            <w:r>
              <w:t>80.77</w:t>
            </w:r>
          </w:p>
        </w:tc>
        <w:tc>
          <w:tcPr>
            <w:tcW w:w="1474" w:type="dxa"/>
            <w:vAlign w:val="center"/>
          </w:tcPr>
          <w:p>
            <w:pPr>
              <w:pStyle w:val="16"/>
            </w:pPr>
            <w:r>
              <w:t>80.77</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80.77</w:t>
            </w:r>
          </w:p>
        </w:tc>
        <w:tc>
          <w:tcPr>
            <w:tcW w:w="3402" w:type="dxa"/>
            <w:vAlign w:val="center"/>
          </w:tcPr>
          <w:p>
            <w:pPr>
              <w:pStyle w:val="15"/>
            </w:pPr>
            <w:r>
              <w:t>支出总计</w:t>
            </w:r>
          </w:p>
        </w:tc>
        <w:tc>
          <w:tcPr>
            <w:tcW w:w="1474" w:type="dxa"/>
            <w:vAlign w:val="center"/>
          </w:tcPr>
          <w:p>
            <w:pPr>
              <w:pStyle w:val="16"/>
            </w:pPr>
            <w:r>
              <w:t>80.77</w:t>
            </w:r>
          </w:p>
        </w:tc>
        <w:tc>
          <w:tcPr>
            <w:tcW w:w="1474" w:type="dxa"/>
            <w:vAlign w:val="center"/>
          </w:tcPr>
          <w:p>
            <w:pPr>
              <w:pStyle w:val="16"/>
            </w:pPr>
            <w:r>
              <w:t>80.77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202中国共产党昌黎县委员会社会工作部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80.77</w:t>
            </w:r>
          </w:p>
        </w:tc>
        <w:tc>
          <w:tcPr>
            <w:tcW w:w="2551" w:type="dxa"/>
            <w:vAlign w:val="center"/>
          </w:tcPr>
          <w:p>
            <w:pPr>
              <w:pStyle w:val="16"/>
            </w:pPr>
            <w:r>
              <w:t>62.77</w:t>
            </w:r>
          </w:p>
        </w:tc>
        <w:tc>
          <w:tcPr>
            <w:tcW w:w="2551" w:type="dxa"/>
            <w:vAlign w:val="center"/>
          </w:tcPr>
          <w:p>
            <w:pPr>
              <w:pStyle w:val="16"/>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67.33</w:t>
            </w:r>
          </w:p>
        </w:tc>
        <w:tc>
          <w:tcPr>
            <w:tcW w:w="2551" w:type="dxa"/>
            <w:vAlign w:val="center"/>
          </w:tcPr>
          <w:p>
            <w:pPr>
              <w:pStyle w:val="12"/>
            </w:pPr>
            <w:r>
              <w:t>49.33</w:t>
            </w: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20139</w:t>
            </w:r>
          </w:p>
        </w:tc>
        <w:tc>
          <w:tcPr>
            <w:tcW w:w="4535" w:type="dxa"/>
            <w:vAlign w:val="center"/>
          </w:tcPr>
          <w:p>
            <w:pPr>
              <w:pStyle w:val="13"/>
            </w:pPr>
            <w:r>
              <w:t>社会工作事务</w:t>
            </w:r>
          </w:p>
        </w:tc>
        <w:tc>
          <w:tcPr>
            <w:tcW w:w="2551" w:type="dxa"/>
            <w:vAlign w:val="center"/>
          </w:tcPr>
          <w:p>
            <w:pPr>
              <w:pStyle w:val="12"/>
            </w:pPr>
            <w:r>
              <w:t>67.33</w:t>
            </w:r>
          </w:p>
        </w:tc>
        <w:tc>
          <w:tcPr>
            <w:tcW w:w="2551" w:type="dxa"/>
            <w:vAlign w:val="center"/>
          </w:tcPr>
          <w:p>
            <w:pPr>
              <w:pStyle w:val="12"/>
            </w:pPr>
            <w:r>
              <w:t>49.33</w:t>
            </w: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2013901</w:t>
            </w:r>
          </w:p>
        </w:tc>
        <w:tc>
          <w:tcPr>
            <w:tcW w:w="4535" w:type="dxa"/>
            <w:vAlign w:val="center"/>
          </w:tcPr>
          <w:p>
            <w:pPr>
              <w:pStyle w:val="13"/>
            </w:pPr>
            <w:r>
              <w:t>行政运行</w:t>
            </w:r>
          </w:p>
        </w:tc>
        <w:tc>
          <w:tcPr>
            <w:tcW w:w="2551" w:type="dxa"/>
            <w:vAlign w:val="center"/>
          </w:tcPr>
          <w:p>
            <w:pPr>
              <w:pStyle w:val="12"/>
            </w:pPr>
            <w:r>
              <w:t>49.33</w:t>
            </w:r>
          </w:p>
        </w:tc>
        <w:tc>
          <w:tcPr>
            <w:tcW w:w="2551" w:type="dxa"/>
            <w:vAlign w:val="center"/>
          </w:tcPr>
          <w:p>
            <w:pPr>
              <w:pStyle w:val="12"/>
            </w:pPr>
            <w:r>
              <w:t>49.33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2013904</w:t>
            </w:r>
          </w:p>
        </w:tc>
        <w:tc>
          <w:tcPr>
            <w:tcW w:w="4535" w:type="dxa"/>
            <w:vAlign w:val="center"/>
          </w:tcPr>
          <w:p>
            <w:pPr>
              <w:pStyle w:val="13"/>
            </w:pPr>
            <w:r>
              <w:t>专项业务</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6.34</w:t>
            </w:r>
          </w:p>
        </w:tc>
        <w:tc>
          <w:tcPr>
            <w:tcW w:w="2551" w:type="dxa"/>
            <w:vAlign w:val="center"/>
          </w:tcPr>
          <w:p>
            <w:pPr>
              <w:pStyle w:val="12"/>
            </w:pPr>
            <w:r>
              <w:t>6.34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6.34</w:t>
            </w:r>
          </w:p>
        </w:tc>
        <w:tc>
          <w:tcPr>
            <w:tcW w:w="2551" w:type="dxa"/>
            <w:vAlign w:val="center"/>
          </w:tcPr>
          <w:p>
            <w:pPr>
              <w:pStyle w:val="12"/>
            </w:pPr>
            <w:r>
              <w:t>6.34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6.34</w:t>
            </w:r>
          </w:p>
        </w:tc>
        <w:tc>
          <w:tcPr>
            <w:tcW w:w="2551" w:type="dxa"/>
            <w:vAlign w:val="center"/>
          </w:tcPr>
          <w:p>
            <w:pPr>
              <w:pStyle w:val="12"/>
            </w:pPr>
            <w:r>
              <w:t>6.34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3.59</w:t>
            </w:r>
          </w:p>
        </w:tc>
        <w:tc>
          <w:tcPr>
            <w:tcW w:w="2551" w:type="dxa"/>
            <w:vAlign w:val="center"/>
          </w:tcPr>
          <w:p>
            <w:pPr>
              <w:pStyle w:val="12"/>
            </w:pPr>
            <w:r>
              <w:t>3.59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3.59</w:t>
            </w:r>
          </w:p>
        </w:tc>
        <w:tc>
          <w:tcPr>
            <w:tcW w:w="2551" w:type="dxa"/>
            <w:vAlign w:val="center"/>
          </w:tcPr>
          <w:p>
            <w:pPr>
              <w:pStyle w:val="12"/>
            </w:pPr>
            <w:r>
              <w:t>3.59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3.59</w:t>
            </w:r>
          </w:p>
        </w:tc>
        <w:tc>
          <w:tcPr>
            <w:tcW w:w="2551" w:type="dxa"/>
            <w:vAlign w:val="center"/>
          </w:tcPr>
          <w:p>
            <w:pPr>
              <w:pStyle w:val="12"/>
            </w:pPr>
            <w:r>
              <w:t>3.59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3.51</w:t>
            </w:r>
          </w:p>
        </w:tc>
        <w:tc>
          <w:tcPr>
            <w:tcW w:w="2551" w:type="dxa"/>
            <w:vAlign w:val="center"/>
          </w:tcPr>
          <w:p>
            <w:pPr>
              <w:pStyle w:val="12"/>
            </w:pPr>
            <w:r>
              <w:t>3.51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3.51</w:t>
            </w:r>
          </w:p>
        </w:tc>
        <w:tc>
          <w:tcPr>
            <w:tcW w:w="2551" w:type="dxa"/>
            <w:vAlign w:val="center"/>
          </w:tcPr>
          <w:p>
            <w:pPr>
              <w:pStyle w:val="12"/>
            </w:pPr>
            <w:r>
              <w:t>3.51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3.51</w:t>
            </w:r>
          </w:p>
        </w:tc>
        <w:tc>
          <w:tcPr>
            <w:tcW w:w="2551" w:type="dxa"/>
            <w:vAlign w:val="center"/>
          </w:tcPr>
          <w:p>
            <w:pPr>
              <w:pStyle w:val="12"/>
            </w:pPr>
            <w:r>
              <w:t>3.51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202中国共产党昌黎县委员会社会工作部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62.77</w:t>
            </w:r>
          </w:p>
        </w:tc>
        <w:tc>
          <w:tcPr>
            <w:tcW w:w="2551" w:type="dxa"/>
            <w:vAlign w:val="center"/>
          </w:tcPr>
          <w:p>
            <w:pPr>
              <w:pStyle w:val="16"/>
            </w:pPr>
            <w:r>
              <w:t>55.32</w:t>
            </w:r>
          </w:p>
        </w:tc>
        <w:tc>
          <w:tcPr>
            <w:tcW w:w="2551" w:type="dxa"/>
            <w:vAlign w:val="center"/>
          </w:tcPr>
          <w:p>
            <w:pPr>
              <w:pStyle w:val="16"/>
            </w:pPr>
            <w:r>
              <w:t>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55.32</w:t>
            </w:r>
          </w:p>
        </w:tc>
        <w:tc>
          <w:tcPr>
            <w:tcW w:w="2551" w:type="dxa"/>
            <w:vAlign w:val="center"/>
          </w:tcPr>
          <w:p>
            <w:pPr>
              <w:pStyle w:val="12"/>
            </w:pPr>
            <w:r>
              <w:t>55.32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23.65</w:t>
            </w:r>
          </w:p>
        </w:tc>
        <w:tc>
          <w:tcPr>
            <w:tcW w:w="2551" w:type="dxa"/>
            <w:vAlign w:val="center"/>
          </w:tcPr>
          <w:p>
            <w:pPr>
              <w:pStyle w:val="12"/>
            </w:pPr>
            <w:r>
              <w:t>23.65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11.83</w:t>
            </w:r>
          </w:p>
        </w:tc>
        <w:tc>
          <w:tcPr>
            <w:tcW w:w="2551" w:type="dxa"/>
            <w:vAlign w:val="center"/>
          </w:tcPr>
          <w:p>
            <w:pPr>
              <w:pStyle w:val="12"/>
            </w:pPr>
            <w:r>
              <w:t>11.83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6.07</w:t>
            </w:r>
          </w:p>
        </w:tc>
        <w:tc>
          <w:tcPr>
            <w:tcW w:w="2551" w:type="dxa"/>
            <w:vAlign w:val="center"/>
          </w:tcPr>
          <w:p>
            <w:pPr>
              <w:pStyle w:val="12"/>
            </w:pPr>
            <w:r>
              <w:t>6.07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6.34</w:t>
            </w:r>
          </w:p>
        </w:tc>
        <w:tc>
          <w:tcPr>
            <w:tcW w:w="2551" w:type="dxa"/>
            <w:vAlign w:val="center"/>
          </w:tcPr>
          <w:p>
            <w:pPr>
              <w:pStyle w:val="12"/>
            </w:pPr>
            <w:r>
              <w:t>6.34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3.59</w:t>
            </w:r>
          </w:p>
        </w:tc>
        <w:tc>
          <w:tcPr>
            <w:tcW w:w="2551" w:type="dxa"/>
            <w:vAlign w:val="center"/>
          </w:tcPr>
          <w:p>
            <w:pPr>
              <w:pStyle w:val="12"/>
            </w:pPr>
            <w:r>
              <w:t>3.59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0.34</w:t>
            </w:r>
          </w:p>
        </w:tc>
        <w:tc>
          <w:tcPr>
            <w:tcW w:w="2551" w:type="dxa"/>
            <w:vAlign w:val="center"/>
          </w:tcPr>
          <w:p>
            <w:pPr>
              <w:pStyle w:val="12"/>
            </w:pPr>
            <w:r>
              <w:t>0.34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3.51</w:t>
            </w:r>
          </w:p>
        </w:tc>
        <w:tc>
          <w:tcPr>
            <w:tcW w:w="2551" w:type="dxa"/>
            <w:vAlign w:val="center"/>
          </w:tcPr>
          <w:p>
            <w:pPr>
              <w:pStyle w:val="12"/>
            </w:pPr>
            <w:r>
              <w:t>3.51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7.45</w:t>
            </w:r>
          </w:p>
        </w:tc>
        <w:tc>
          <w:tcPr>
            <w:tcW w:w="2551" w:type="dxa"/>
            <w:vAlign w:val="center"/>
          </w:tcPr>
          <w:p>
            <w:pPr>
              <w:pStyle w:val="12"/>
            </w:pPr>
          </w:p>
        </w:tc>
        <w:tc>
          <w:tcPr>
            <w:tcW w:w="2551" w:type="dxa"/>
            <w:vAlign w:val="center"/>
          </w:tcPr>
          <w:p>
            <w:pPr>
              <w:pStyle w:val="12"/>
            </w:pPr>
            <w:r>
              <w:t>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2.90</w:t>
            </w:r>
          </w:p>
        </w:tc>
        <w:tc>
          <w:tcPr>
            <w:tcW w:w="2551" w:type="dxa"/>
            <w:vAlign w:val="center"/>
          </w:tcPr>
          <w:p>
            <w:pPr>
              <w:pStyle w:val="12"/>
            </w:pPr>
          </w:p>
        </w:tc>
        <w:tc>
          <w:tcPr>
            <w:tcW w:w="2551" w:type="dxa"/>
            <w:vAlign w:val="center"/>
          </w:tcPr>
          <w:p>
            <w:pPr>
              <w:pStyle w:val="12"/>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0.54</w:t>
            </w:r>
          </w:p>
        </w:tc>
        <w:tc>
          <w:tcPr>
            <w:tcW w:w="2551" w:type="dxa"/>
            <w:vAlign w:val="center"/>
          </w:tcPr>
          <w:p>
            <w:pPr>
              <w:pStyle w:val="12"/>
            </w:pPr>
          </w:p>
        </w:tc>
        <w:tc>
          <w:tcPr>
            <w:tcW w:w="2551" w:type="dxa"/>
            <w:vAlign w:val="center"/>
          </w:tcPr>
          <w:p>
            <w:pPr>
              <w:pStyle w:val="12"/>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3.96</w:t>
            </w:r>
          </w:p>
        </w:tc>
        <w:tc>
          <w:tcPr>
            <w:tcW w:w="2551" w:type="dxa"/>
            <w:vAlign w:val="center"/>
          </w:tcPr>
          <w:p>
            <w:pPr>
              <w:pStyle w:val="12"/>
            </w:pPr>
          </w:p>
        </w:tc>
        <w:tc>
          <w:tcPr>
            <w:tcW w:w="2551" w:type="dxa"/>
            <w:vAlign w:val="center"/>
          </w:tcPr>
          <w:p>
            <w:pPr>
              <w:pStyle w:val="12"/>
            </w:pPr>
            <w:r>
              <w:t>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0.05</w:t>
            </w:r>
          </w:p>
        </w:tc>
        <w:tc>
          <w:tcPr>
            <w:tcW w:w="2551" w:type="dxa"/>
            <w:vAlign w:val="center"/>
          </w:tcPr>
          <w:p>
            <w:pPr>
              <w:pStyle w:val="12"/>
            </w:pPr>
          </w:p>
        </w:tc>
        <w:tc>
          <w:tcPr>
            <w:tcW w:w="2551" w:type="dxa"/>
            <w:vAlign w:val="center"/>
          </w:tcPr>
          <w:p>
            <w:pPr>
              <w:pStyle w:val="12"/>
            </w:pPr>
            <w:r>
              <w:t>0.05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202中国共产党昌黎县委员会社会工作部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202中国共产党昌黎县委员会社会工作部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202中国共产党昌黎县委员会社会工作部</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中国共产党昌黎县委员会社会工作部2025年部门预算信息公开情况说明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中国共产党昌黎县委员会社会工作部2025年部门预算信息公开情况说明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按照《中华人民共和国预算法》、《地方预决算公开操作规程》和《关于进一步推进预算公开工作的实施意见》规定，现将中国共产党昌黎县委员会社会工作部2025年部门预算公开如下：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pPr>
      <w:r>
        <w:rPr>
          <w:rFonts w:ascii="方正楷体_GBK" w:hAnsi="方正楷体_GBK" w:eastAsia="方正楷体_GBK" w:cs="方正楷体_GBK"/>
          <w:b/>
          <w:color w:val="000000"/>
          <w:sz w:val="32"/>
        </w:rPr>
        <w:t>部门职责：</w:t>
      </w:r>
      <w:r>
        <w:rPr>
          <w:rFonts w:hint="eastAsia" w:ascii="Times New Roman" w:hAnsi="Times New Roman" w:eastAsia="方正仿宋_GBK" w:cs="Times New Roman"/>
          <w:sz w:val="28"/>
          <w:szCs w:val="24"/>
          <w:lang w:val="en-US" w:eastAsia="zh-CN" w:bidi="ar-SA"/>
        </w:rPr>
        <w:t>涉密不公开。</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中国共产党昌黎县委员会社会工作部本级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按照预算管理有关规定，目前部门预算的编制实行综合预算管理，即全部收入和支出都反映在预算中。中国共产党昌黎县委员会社会工作部机关及所属事业单位的收支包含在部门预算中。</w:t>
      </w:r>
    </w:p>
    <w:p>
      <w:pPr>
        <w:pStyle w:val="19"/>
      </w:pPr>
      <w:r>
        <w:t>1、收入说明</w:t>
      </w:r>
    </w:p>
    <w:p>
      <w:pPr>
        <w:pStyle w:val="19"/>
      </w:pPr>
      <w:r>
        <w:t>反映本部门当年全部收入。2025年预算收入80.77万元，其中：一般公共预算收入80.77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昌黎县委员会社会工作部年度部门预算中支出预算的总体情况。2025年支出预算80.77万元，其中基本支出62.77万元，包括人员经费55.32万元和日常公用经费7.45万元；项目支出18.00万元，主要为社区建设专项资金：安山镇东毛各庄村、马坨店乡上各庄村办公用房建设项目。</w:t>
      </w:r>
    </w:p>
    <w:p>
      <w:pPr>
        <w:pStyle w:val="19"/>
      </w:pPr>
      <w:r>
        <w:t>3、比上年增减情况</w:t>
      </w:r>
    </w:p>
    <w:p>
      <w:pPr>
        <w:pStyle w:val="19"/>
      </w:pPr>
      <w:r>
        <w:t>2025年预算收支安排80.77万元，较2024年预算增加80.77万元，其中：基本支出增加62.77万元，主要为县委社会工作部是2024年新成立部门，故2024年无预算。项目支出增加18.00万元，主要为按照要求，申请社区建设专项资金：安山镇东毛各庄村、马坨店乡上各庄村办公用房建设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2025年，我部门机关运行经费共计安排7.45万元，主要用于日常维修、办公用房水电费、办公用房取暖费、办公用房物业管理费等日常运行支出。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部门为2025年新预算部门，为落实过紧日子要求，无“三公”需求，较上年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中共县委社会工作部将持续加强基层建设，以党建为引领，融合社工志愿，提升治理效能。加强基层政权建设，为基层赋能减负。建立健全党建引领基层治理协调机制和工作规则，加强基层政权建设，破解基层治理“小马拉大车”突出问题，统筹推进为基层赋能和减负，提升基层治理效能，确保基层工作有序、高效开展。进一步加强居（村）民活动用房建设，完成社区建设项目2个，达到加强社区建设基础设施的效果。积极探索“社工＋志愿”融合发展模式。进一步加强整合“社会志愿者技能＋社会工作服务+社会资源”三方力量，探索“社工＋志愿”融合发展模式；积极开展社会工作者专业技能培训班，提高社会工作者专业水平，以更好地满足社区居民的多元化需求。进一步做好“两企三新”党建工作。紧密围绕党的二十大和二十</w:t>
      </w:r>
      <w:r>
        <w:rPr>
          <w:rFonts w:hint="eastAsia"/>
          <w:lang w:eastAsia="zh-CN"/>
        </w:rPr>
        <w:t>届</w:t>
      </w:r>
      <w:r>
        <w:t>二中、三中全会精神进一步强化“两企三新”党的建设相关工作。以非公党建工作为重点，探索打造“企昌通”服务品牌，开阵“党建惠企”“党建助企”等活动，打造高水平、务实效的党建示范点3至5个，以党建工作引领非公企业高质效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（一）加强县委社会工作部机关建设，提升机关运转水平</w:t>
      </w:r>
    </w:p>
    <w:p>
      <w:pPr>
        <w:pStyle w:val="23"/>
      </w:pPr>
      <w:r>
        <w:t>绩效目标：促进县委社会工作部机关自身水平不断提高，保障机关正常运转。</w:t>
      </w:r>
    </w:p>
    <w:p>
      <w:pPr>
        <w:pStyle w:val="23"/>
      </w:pPr>
      <w:r>
        <w:t>绩效指标：保障机关有序、正常运行，保障日常工作正常进行。</w:t>
      </w:r>
    </w:p>
    <w:p>
      <w:pPr>
        <w:pStyle w:val="23"/>
      </w:pPr>
      <w:r>
        <w:t>（二）落实社区建设项目</w:t>
      </w:r>
    </w:p>
    <w:p>
      <w:pPr>
        <w:pStyle w:val="23"/>
      </w:pPr>
      <w:r>
        <w:t>绩效目标：规范社区建设补助资金项目工程程序，提高社区服务水平。实现城市社区综合服务设施全覆盖，农村社区综合服务设施覆盖率达到80%以上。</w:t>
      </w:r>
    </w:p>
    <w:p>
      <w:pPr>
        <w:pStyle w:val="23"/>
      </w:pPr>
      <w:r>
        <w:t>绩效指标：进一步加强社区居（村）委会办公及活动用房建设，完成社区建设项目2个，达到加强社区基础设施建设的效果。按照配套比例，安排专项资金，确保社区居（村）委会办公用房达到标准。</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1.完善制度建设。制定完善预算管理制度、资金管理办法、工作保障制度等内控管理办法，为全年预算绩效目标的实现奠定制度基础。</w:t>
      </w:r>
    </w:p>
    <w:p>
      <w:pPr>
        <w:pStyle w:val="24"/>
      </w:pPr>
      <w:r>
        <w:t>2.加强支出管理。优化支出结构、编细编实预算、尽快启动项目、及时支付资金、按规定及时下达资金等多种措施，确保支出进度达标。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4.做好绩效自评。按要求开展年度预算绩效自评和重点评价工作，对评价中发现的问题及时整改，调整优化支出结构，提高财政资金使用效益。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5.规范财务资产管理。完善财务管理制度，严格审批程序，加强固定资产登记、使用和报废处置管理，做到收支合理，物尽其用。</w:t>
      </w:r>
    </w:p>
    <w:p>
      <w:pPr>
        <w:pStyle w:val="24"/>
      </w:pPr>
      <w:r>
        <w:t>6.加强内部监督。加强内部监督制度建设，对绩效运行情况、重大支出决策、资产处置及其他重要事项的决策和执行进行督导，配合做好审计、财政监督等外部监督工作，确保财政资金安全有效。</w:t>
      </w:r>
    </w:p>
    <w:p>
      <w:pPr>
        <w:pStyle w:val="24"/>
      </w:pPr>
      <w:r>
        <w:t>7.加强宣传培训调研。加强人员培训，提高职工素质；优化财政资金配置、提高资金使用效益；强化预算绩效管理意识，促进预算绩效管理水平进一步提升。</w:t>
      </w:r>
    </w:p>
    <w:p>
      <w:pPr>
        <w:pStyle w:val="24"/>
        <w:sectPr>
          <w:pgSz w:w="16840" w:h="11900" w:orient="landscape"/>
          <w:pgMar w:top="1361" w:right="1020" w:bottom="1361" w:left="1020" w:header="720" w:footer="720" w:gutter="0"/>
          <w:cols w:space="720" w:num="1"/>
        </w:sectPr>
      </w:pPr>
      <w:r>
        <w:t>8.坚持厉行节约。反对铺张浪费，科学规范分配财政资金，提高财政资金使用效益，建设节约型机关。</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keepNext w:val="0"/>
        <w:keepLines w:val="0"/>
        <w:pageBreakBefore w:val="0"/>
        <w:widowControl/>
        <w:kinsoku/>
        <w:wordWrap/>
        <w:overflowPunct/>
        <w:topLinePunct w:val="0"/>
        <w:autoSpaceDE/>
        <w:autoSpaceDN/>
        <w:bidi w:val="0"/>
        <w:adjustRightInd/>
        <w:snapToGrid/>
        <w:spacing w:before="10" w:after="10" w:line="360" w:lineRule="auto"/>
        <w:ind w:firstLine="1134"/>
        <w:jc w:val="left"/>
        <w:textAlignment w:val="auto"/>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1、2025年省级社区建设专项资金绩效目标表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13032225P00221110001N</w:t>
            </w:r>
          </w:p>
        </w:tc>
        <w:tc>
          <w:tcPr>
            <w:tcW w:w="2835" w:type="dxa"/>
            <w:vAlign w:val="center"/>
          </w:tcPr>
          <w:p>
            <w:pPr>
              <w:pStyle w:val="11"/>
            </w:pPr>
            <w:r>
              <w:t>项目名称</w:t>
            </w:r>
          </w:p>
        </w:tc>
        <w:tc>
          <w:tcPr>
            <w:tcW w:w="6095" w:type="dxa"/>
            <w:gridSpan w:val="3"/>
            <w:vAlign w:val="center"/>
          </w:tcPr>
          <w:p>
            <w:pPr>
              <w:pStyle w:val="13"/>
            </w:pPr>
            <w:r>
              <w:t>2025年省级社区建设专项资金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用于村民委员会工作用房建设、村民活动用房建设和设施设备购置以及社区信息化系统建设支出。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1.实现城市社区综合服务设施全覆盖，农村社区综合服务设施覆盖率达到80%以上。</w:t>
            </w:r>
          </w:p>
          <w:p>
            <w:pPr>
              <w:pStyle w:val="13"/>
            </w:pPr>
            <w:r>
              <w:t>2.规范社区建设补助资金项目工作程序，提高社区服务水平。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补助项目数量</w:t>
            </w:r>
          </w:p>
        </w:tc>
        <w:tc>
          <w:tcPr>
            <w:tcW w:w="5386" w:type="dxa"/>
            <w:vAlign w:val="center"/>
          </w:tcPr>
          <w:p>
            <w:pPr>
              <w:pStyle w:val="13"/>
            </w:pPr>
            <w:r>
              <w:t>补助项目数量</w:t>
            </w:r>
          </w:p>
        </w:tc>
        <w:tc>
          <w:tcPr>
            <w:tcW w:w="2268" w:type="dxa"/>
            <w:vAlign w:val="center"/>
          </w:tcPr>
          <w:p>
            <w:pPr>
              <w:pStyle w:val="13"/>
            </w:pPr>
            <w:r>
              <w:t>≥90个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项目验收合格数量占总项目验收数量的比例</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项目实施至项目完成的时间</w:t>
            </w:r>
          </w:p>
        </w:tc>
        <w:tc>
          <w:tcPr>
            <w:tcW w:w="5386" w:type="dxa"/>
            <w:vAlign w:val="center"/>
          </w:tcPr>
          <w:p>
            <w:pPr>
              <w:pStyle w:val="13"/>
            </w:pPr>
            <w:r>
              <w:t>项目实施至项目完成的时间</w:t>
            </w:r>
          </w:p>
        </w:tc>
        <w:tc>
          <w:tcPr>
            <w:tcW w:w="2268" w:type="dxa"/>
            <w:vAlign w:val="center"/>
          </w:tcPr>
          <w:p>
            <w:pPr>
              <w:pStyle w:val="13"/>
            </w:pPr>
            <w:r>
              <w:t>≤365天</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每个项目最高补助金额标准</w:t>
            </w:r>
          </w:p>
        </w:tc>
        <w:tc>
          <w:tcPr>
            <w:tcW w:w="5386" w:type="dxa"/>
            <w:vAlign w:val="center"/>
          </w:tcPr>
          <w:p>
            <w:pPr>
              <w:pStyle w:val="13"/>
            </w:pPr>
            <w:r>
              <w:t>每个项目最高补助金额标准</w:t>
            </w:r>
          </w:p>
        </w:tc>
        <w:tc>
          <w:tcPr>
            <w:tcW w:w="2268" w:type="dxa"/>
            <w:vAlign w:val="center"/>
          </w:tcPr>
          <w:p>
            <w:pPr>
              <w:pStyle w:val="13"/>
            </w:pPr>
            <w:r>
              <w:t>≤25万元/项目</w:t>
            </w:r>
          </w:p>
        </w:tc>
        <w:tc>
          <w:tcPr>
            <w:tcW w:w="1276" w:type="dxa"/>
            <w:vAlign w:val="center"/>
          </w:tcPr>
          <w:p>
            <w:pPr>
              <w:pStyle w:val="13"/>
            </w:pPr>
            <w:r>
              <w:t>冀财行〔2024〕95号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节俭高效使用资金</w:t>
            </w:r>
          </w:p>
        </w:tc>
        <w:tc>
          <w:tcPr>
            <w:tcW w:w="5386" w:type="dxa"/>
            <w:vAlign w:val="center"/>
          </w:tcPr>
          <w:p>
            <w:pPr>
              <w:pStyle w:val="13"/>
            </w:pPr>
            <w:r>
              <w:t>高效利用社区建设专项资金，节俭开支</w:t>
            </w:r>
          </w:p>
        </w:tc>
        <w:tc>
          <w:tcPr>
            <w:tcW w:w="2268" w:type="dxa"/>
            <w:vAlign w:val="center"/>
          </w:tcPr>
          <w:p>
            <w:pPr>
              <w:pStyle w:val="13"/>
            </w:pPr>
            <w:r>
              <w:t>不高于上年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城市社区综合设施覆盖率</w:t>
            </w:r>
          </w:p>
        </w:tc>
        <w:tc>
          <w:tcPr>
            <w:tcW w:w="5386" w:type="dxa"/>
            <w:vAlign w:val="center"/>
          </w:tcPr>
          <w:p>
            <w:pPr>
              <w:pStyle w:val="13"/>
            </w:pPr>
            <w:r>
              <w:t>城市社区综合设施覆盖率</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农村社区综合服务设施覆盖率</w:t>
            </w:r>
          </w:p>
        </w:tc>
        <w:tc>
          <w:tcPr>
            <w:tcW w:w="5386" w:type="dxa"/>
            <w:vAlign w:val="center"/>
          </w:tcPr>
          <w:p>
            <w:pPr>
              <w:pStyle w:val="13"/>
            </w:pPr>
            <w:r>
              <w:t>农村社区综合服务设施覆盖率</w:t>
            </w:r>
          </w:p>
        </w:tc>
        <w:tc>
          <w:tcPr>
            <w:tcW w:w="2268" w:type="dxa"/>
            <w:vAlign w:val="center"/>
          </w:tcPr>
          <w:p>
            <w:pPr>
              <w:pStyle w:val="13"/>
            </w:pPr>
            <w:r>
              <w:t>≥80%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社区服务设施服务年限</w:t>
            </w:r>
          </w:p>
        </w:tc>
        <w:tc>
          <w:tcPr>
            <w:tcW w:w="5386" w:type="dxa"/>
            <w:vAlign w:val="center"/>
          </w:tcPr>
          <w:p>
            <w:pPr>
              <w:pStyle w:val="13"/>
            </w:pPr>
            <w:r>
              <w:t>社区服务设施服务年限</w:t>
            </w:r>
          </w:p>
        </w:tc>
        <w:tc>
          <w:tcPr>
            <w:tcW w:w="2268" w:type="dxa"/>
            <w:vAlign w:val="center"/>
          </w:tcPr>
          <w:p>
            <w:pPr>
              <w:pStyle w:val="13"/>
            </w:pPr>
            <w:r>
              <w:t>≥8年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村民满意情况</w:t>
            </w:r>
          </w:p>
        </w:tc>
        <w:tc>
          <w:tcPr>
            <w:tcW w:w="2268" w:type="dxa"/>
            <w:vAlign w:val="center"/>
          </w:tcPr>
          <w:p>
            <w:pPr>
              <w:pStyle w:val="13"/>
            </w:pPr>
            <w:r>
              <w:t>≥98%</w:t>
            </w:r>
          </w:p>
        </w:tc>
        <w:tc>
          <w:tcPr>
            <w:tcW w:w="1276" w:type="dxa"/>
            <w:vAlign w:val="center"/>
          </w:tcPr>
          <w:p>
            <w:pPr>
              <w:pStyle w:val="13"/>
            </w:pPr>
            <w:r>
              <w:t>工作计划</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202中国共产党昌黎县委员会社会工作部</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中国共产党昌黎县委员会社会工作部（含所属单位）上年末固定资产金额为3</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750235万元（详见下表）。本年度拟购置固定资产总额为0.00万元，已按要求列入政府采购预算，详见政府采购预算表。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202中国共产党昌黎县委员会社会工作部</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w:t>
            </w:r>
            <w:r>
              <w:rPr>
                <w:rFonts w:hint="eastAsia"/>
                <w:lang w:val="en-US" w:eastAsia="zh-CN"/>
              </w:rPr>
              <w:t>.</w:t>
            </w:r>
            <w:r>
              <w:t>750235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24</w:t>
            </w:r>
          </w:p>
        </w:tc>
        <w:tc>
          <w:tcPr>
            <w:tcW w:w="2835" w:type="dxa"/>
            <w:vAlign w:val="center"/>
          </w:tcPr>
          <w:p>
            <w:pPr>
              <w:pStyle w:val="12"/>
            </w:pPr>
            <w:r>
              <w:t>3</w:t>
            </w:r>
            <w:r>
              <w:rPr>
                <w:rFonts w:hint="eastAsia"/>
                <w:lang w:val="en-US" w:eastAsia="zh-CN"/>
              </w:rPr>
              <w:t>.</w:t>
            </w:r>
            <w:r>
              <w:t>750235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A539F"/>
    <w:rsid w:val="0FC149F8"/>
    <w:rsid w:val="330169D1"/>
    <w:rsid w:val="3BEF86B5"/>
    <w:rsid w:val="3D7744AA"/>
    <w:rsid w:val="3D9D493C"/>
    <w:rsid w:val="47C6470D"/>
    <w:rsid w:val="57FF4449"/>
    <w:rsid w:val="615F8E58"/>
    <w:rsid w:val="65B45360"/>
    <w:rsid w:val="674D2A54"/>
    <w:rsid w:val="6BBB072B"/>
    <w:rsid w:val="6D227FDD"/>
    <w:rsid w:val="75FF4EBF"/>
    <w:rsid w:val="77FFBA5C"/>
    <w:rsid w:val="7E3162C9"/>
    <w:rsid w:val="7FE5D60C"/>
    <w:rsid w:val="FEBDB85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1615</Words>
  <Characters>2109</Characters>
  <TotalTime>15</TotalTime>
  <ScaleCrop>false</ScaleCrop>
  <LinksUpToDate>false</LinksUpToDate>
  <CharactersWithSpaces>2157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2025-01-21T03:05:00Z</dcterms:created>
  <dc:creator>Administrator</dc:creator>
  <cp:lastModifiedBy>greetwall</cp:lastModifiedBy>
  <dcterms:modified xsi:type="dcterms:W3CDTF">2025-09-09T09:02:47Z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734E068969ED4AB6949F757606550017</vt:lpwstr>
  </property>
  <property fmtid="{D5CDD505-2E9C-101B-9397-08002B2CF9AE}" pid="4" name="KSOTemplateDocerSaveRecord">
    <vt:lpwstr>eyJoZGlkIjoiNzEzYjllYjkxMzNmMWMyMmI4ODMyM2Y3NmY0ZDQ4NzAifQ==</vt:lpwstr>
  </property>
</Properties>
</file>