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D7EE5">
      <w:pPr>
        <w:jc w:val="center"/>
        <w:rPr>
          <w:rFonts w:ascii="宋体"/>
          <w:sz w:val="44"/>
        </w:rPr>
      </w:pPr>
      <w:r>
        <w:rPr>
          <w:rFonts w:hint="eastAsia" w:ascii="宋体"/>
          <w:sz w:val="44"/>
        </w:rPr>
        <w:t>昌黎县茹荷镇人民政府</w:t>
      </w:r>
    </w:p>
    <w:p w14:paraId="2A6869DC">
      <w:pPr>
        <w:jc w:val="center"/>
        <w:rPr>
          <w:rFonts w:ascii="宋体"/>
          <w:sz w:val="44"/>
        </w:rPr>
      </w:pPr>
      <w:r>
        <w:rPr>
          <w:rFonts w:ascii="宋体"/>
          <w:sz w:val="44"/>
        </w:rPr>
        <w:t>2021</w:t>
      </w:r>
      <w:r>
        <w:rPr>
          <w:rFonts w:hint="eastAsia" w:ascii="宋体"/>
          <w:sz w:val="44"/>
        </w:rPr>
        <w:t>年部门预算信息公开情况说明</w:t>
      </w:r>
    </w:p>
    <w:p w14:paraId="0824AED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bookmarkStart w:id="1" w:name="_GoBack"/>
      <w:bookmarkEnd w:id="1"/>
      <w:r>
        <w:rPr>
          <w:rFonts w:hint="eastAsia" w:ascii="仿宋" w:hAnsi="仿宋" w:eastAsia="仿宋"/>
          <w:sz w:val="32"/>
          <w:szCs w:val="32"/>
        </w:rPr>
        <w:t>预算法》《地方预决算公开操作规程》和《河北省预决算公开操作规程实施细则》规定，现将昌黎县茹荷镇 2021 年部门预算公开如下：</w:t>
      </w:r>
    </w:p>
    <w:p w14:paraId="47CA4199">
      <w:pPr>
        <w:numPr>
          <w:ilvl w:val="0"/>
          <w:numId w:val="1"/>
        </w:numPr>
        <w:spacing w:line="366" w:lineRule="exact"/>
        <w:rPr>
          <w:rFonts w:ascii="黑体" w:eastAsia="黑体"/>
          <w:sz w:val="32"/>
          <w:szCs w:val="32"/>
        </w:rPr>
      </w:pPr>
      <w:r>
        <w:rPr>
          <w:rFonts w:hint="eastAsia" w:ascii="黑体" w:eastAsia="黑体"/>
          <w:sz w:val="32"/>
          <w:szCs w:val="32"/>
        </w:rPr>
        <w:t>部门职责及机构设置情况</w:t>
      </w:r>
    </w:p>
    <w:p w14:paraId="3D84E9C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涉密，按规定不予公开。</w:t>
      </w:r>
    </w:p>
    <w:p w14:paraId="6B882D33">
      <w:pPr>
        <w:numPr>
          <w:ilvl w:val="0"/>
          <w:numId w:val="1"/>
        </w:numPr>
        <w:spacing w:line="366" w:lineRule="exact"/>
        <w:rPr>
          <w:rFonts w:ascii="黑体" w:eastAsia="黑体"/>
          <w:sz w:val="32"/>
          <w:szCs w:val="32"/>
        </w:rPr>
      </w:pPr>
      <w:bookmarkStart w:id="0" w:name="page4"/>
      <w:bookmarkEnd w:id="0"/>
      <w:r>
        <w:rPr>
          <w:rFonts w:hint="eastAsia" w:ascii="黑体" w:eastAsia="黑体"/>
          <w:sz w:val="32"/>
          <w:szCs w:val="32"/>
        </w:rPr>
        <w:t>部门预算安排的总体情况</w:t>
      </w:r>
    </w:p>
    <w:p w14:paraId="6B6E744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按照预算管理有关规定，目前我县部门预算的编制实行综合预算管理，即全部收入和支出都反映在预算中。昌黎县茹荷镇人民政府的收支包含在部门预算中。2021年部门预算安排1258.57万元，其中：一般公共预算拨款</w:t>
      </w:r>
      <w:r>
        <w:rPr>
          <w:rFonts w:ascii="仿宋" w:hAnsi="仿宋" w:eastAsia="仿宋"/>
          <w:sz w:val="32"/>
          <w:szCs w:val="32"/>
        </w:rPr>
        <w:t>1258.57</w:t>
      </w:r>
      <w:r>
        <w:rPr>
          <w:rFonts w:hint="eastAsia" w:ascii="仿宋" w:hAnsi="仿宋" w:eastAsia="仿宋"/>
          <w:sz w:val="32"/>
          <w:szCs w:val="32"/>
        </w:rPr>
        <w:t>万元,政府性基金预算拨款0万元。</w:t>
      </w:r>
    </w:p>
    <w:p w14:paraId="6C4AB5A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1、收入说明</w:t>
      </w:r>
    </w:p>
    <w:p w14:paraId="5961610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部门预算收支总表和部门预算收入总表中收入反映茹荷镇政府当年全部收入。2021年财政拨款总收入1258.57万元，其中：一般公共预算拨款1258.57万元，政府性基金预算收入0万元。</w:t>
      </w:r>
    </w:p>
    <w:p w14:paraId="571902EA">
      <w:pPr>
        <w:spacing w:line="429" w:lineRule="exact"/>
        <w:ind w:left="640"/>
        <w:rPr>
          <w:rFonts w:ascii="仿宋" w:hAnsi="仿宋" w:eastAsia="仿宋"/>
          <w:sz w:val="32"/>
          <w:szCs w:val="32"/>
        </w:rPr>
      </w:pPr>
      <w:r>
        <w:rPr>
          <w:rFonts w:hint="eastAsia" w:ascii="仿宋" w:hAnsi="仿宋" w:eastAsia="仿宋"/>
          <w:sz w:val="32"/>
          <w:szCs w:val="32"/>
        </w:rPr>
        <w:t>2、支出说明</w:t>
      </w:r>
    </w:p>
    <w:p w14:paraId="74D8F0A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收支预算总表支出栏、基本支出表、项目支出表按经济分类和支出功能分类科目编制，反映昌黎县茹荷镇政府年度部门预算中支出预算的总体情况。2021年预算总支出1258.57万元。其中：基本支出</w:t>
      </w:r>
      <w:r>
        <w:rPr>
          <w:rFonts w:ascii="仿宋" w:hAnsi="仿宋" w:eastAsia="仿宋"/>
          <w:sz w:val="32"/>
          <w:szCs w:val="32"/>
        </w:rPr>
        <w:t>797.53</w:t>
      </w:r>
      <w:r>
        <w:rPr>
          <w:rFonts w:hint="eastAsia" w:ascii="仿宋" w:hAnsi="仿宋" w:eastAsia="仿宋"/>
          <w:sz w:val="32"/>
          <w:szCs w:val="32"/>
        </w:rPr>
        <w:t>万元，包括人员经费支出</w:t>
      </w:r>
      <w:r>
        <w:rPr>
          <w:rFonts w:ascii="仿宋" w:hAnsi="仿宋" w:eastAsia="仿宋"/>
          <w:sz w:val="32"/>
          <w:szCs w:val="32"/>
        </w:rPr>
        <w:t>746.47</w:t>
      </w:r>
      <w:r>
        <w:rPr>
          <w:rFonts w:hint="eastAsia" w:ascii="仿宋" w:hAnsi="仿宋" w:eastAsia="仿宋"/>
          <w:sz w:val="32"/>
          <w:szCs w:val="32"/>
        </w:rPr>
        <w:t>万元和日常公用经费</w:t>
      </w:r>
      <w:r>
        <w:rPr>
          <w:rFonts w:ascii="仿宋" w:hAnsi="仿宋" w:eastAsia="仿宋"/>
          <w:sz w:val="32"/>
          <w:szCs w:val="32"/>
        </w:rPr>
        <w:t>51.06</w:t>
      </w:r>
      <w:r>
        <w:rPr>
          <w:rFonts w:hint="eastAsia" w:ascii="仿宋" w:hAnsi="仿宋" w:eastAsia="仿宋"/>
          <w:sz w:val="32"/>
          <w:szCs w:val="32"/>
        </w:rPr>
        <w:t>万元；项目支出</w:t>
      </w:r>
      <w:r>
        <w:rPr>
          <w:rFonts w:ascii="仿宋" w:hAnsi="仿宋" w:eastAsia="仿宋"/>
          <w:sz w:val="32"/>
          <w:szCs w:val="32"/>
        </w:rPr>
        <w:t>461.04</w:t>
      </w:r>
      <w:r>
        <w:rPr>
          <w:rFonts w:hint="eastAsia" w:ascii="仿宋" w:hAnsi="仿宋" w:eastAsia="仿宋"/>
          <w:sz w:val="32"/>
          <w:szCs w:val="32"/>
        </w:rPr>
        <w:t>万元，主要包括村级转移支付、村级办公经费、服务群众专项经费等项目支出。</w:t>
      </w:r>
    </w:p>
    <w:p w14:paraId="588D1F9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3、比上年增减情况</w:t>
      </w:r>
    </w:p>
    <w:p w14:paraId="2C89938A">
      <w:pPr>
        <w:spacing w:line="500" w:lineRule="exact"/>
        <w:ind w:firstLine="640" w:firstLineChars="200"/>
        <w:jc w:val="left"/>
        <w:rPr>
          <w:rFonts w:ascii="黑体" w:eastAsia="黑体"/>
          <w:sz w:val="32"/>
          <w:szCs w:val="32"/>
        </w:rPr>
      </w:pPr>
      <w:r>
        <w:rPr>
          <w:rFonts w:hint="eastAsia" w:ascii="仿宋" w:hAnsi="仿宋" w:eastAsia="仿宋"/>
          <w:sz w:val="32"/>
          <w:szCs w:val="32"/>
        </w:rPr>
        <w:t>反映部门与上年比较的增减变化情况。</w:t>
      </w:r>
      <w:r>
        <w:rPr>
          <w:rFonts w:ascii="仿宋" w:hAnsi="仿宋" w:eastAsia="仿宋"/>
          <w:sz w:val="32"/>
          <w:szCs w:val="32"/>
        </w:rPr>
        <w:t>2021</w:t>
      </w:r>
      <w:r>
        <w:rPr>
          <w:rFonts w:hint="eastAsia" w:ascii="仿宋" w:hAnsi="仿宋" w:eastAsia="仿宋"/>
          <w:sz w:val="32"/>
          <w:szCs w:val="32"/>
        </w:rPr>
        <w:t>年预算收支安排</w:t>
      </w:r>
      <w:r>
        <w:rPr>
          <w:rFonts w:ascii="仿宋" w:hAnsi="仿宋" w:eastAsia="仿宋"/>
          <w:sz w:val="32"/>
          <w:szCs w:val="32"/>
        </w:rPr>
        <w:t>1258.57</w:t>
      </w:r>
      <w:r>
        <w:rPr>
          <w:rFonts w:hint="eastAsia" w:ascii="仿宋" w:hAnsi="仿宋" w:eastAsia="仿宋"/>
          <w:sz w:val="32"/>
          <w:szCs w:val="32"/>
        </w:rPr>
        <w:t xml:space="preserve">万元，较2020年预算增加198.71万元，其中：基本支出增加10.64万元，主要因为人员工资上调;项目支出增加188.07万元,主要因为农村道路建设支出增加以及村干部基础职务补贴增加。        </w:t>
      </w:r>
      <w:r>
        <w:rPr>
          <w:rFonts w:hint="eastAsia" w:ascii="黑体" w:eastAsia="黑体"/>
          <w:sz w:val="32"/>
          <w:szCs w:val="32"/>
        </w:rPr>
        <w:t xml:space="preserve">              </w:t>
      </w:r>
    </w:p>
    <w:p w14:paraId="09CD7BED">
      <w:pPr>
        <w:numPr>
          <w:ilvl w:val="0"/>
          <w:numId w:val="1"/>
        </w:numPr>
        <w:spacing w:line="366" w:lineRule="exact"/>
        <w:rPr>
          <w:rFonts w:ascii="黑体" w:eastAsia="黑体"/>
          <w:sz w:val="32"/>
          <w:szCs w:val="32"/>
        </w:rPr>
      </w:pPr>
      <w:r>
        <w:rPr>
          <w:rFonts w:hint="eastAsia" w:ascii="黑体" w:eastAsia="黑体"/>
          <w:sz w:val="32"/>
          <w:szCs w:val="32"/>
        </w:rPr>
        <w:t>机关运行经费安排情况</w:t>
      </w:r>
    </w:p>
    <w:p w14:paraId="1CD2008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 xml:space="preserve">我镇 2021年度机关运行费部门预算安排38.14万元，其中办公费10万元，办公取暖费8万元，公务用车运行维护费5万，公务交通补贴11.34万元。公务接待费0.8万元，工会经费1. 8万元，党组织活动经费0万元。 </w:t>
      </w:r>
    </w:p>
    <w:p w14:paraId="08EE89F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比2020年预算安排数43.45万元减少9.79万元，其原因为人员减少，相应减少工会经费和公务交通补贴。</w:t>
      </w:r>
    </w:p>
    <w:p w14:paraId="46F042CA">
      <w:pPr>
        <w:numPr>
          <w:ilvl w:val="0"/>
          <w:numId w:val="1"/>
        </w:numPr>
        <w:spacing w:line="366" w:lineRule="exact"/>
        <w:rPr>
          <w:rFonts w:ascii="黑体" w:eastAsia="黑体"/>
          <w:sz w:val="32"/>
          <w:szCs w:val="32"/>
        </w:rPr>
      </w:pPr>
      <w:r>
        <w:rPr>
          <w:rFonts w:hint="eastAsia" w:ascii="黑体" w:eastAsia="黑体"/>
          <w:sz w:val="32"/>
          <w:szCs w:val="32"/>
        </w:rPr>
        <w:t>财政拨款“三公”经费预算情况及增减变化原因</w:t>
      </w:r>
    </w:p>
    <w:p w14:paraId="7EB2048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2021年部门预算一般公共预算“三公”经费财政拨款预算5.8万元，与2020年预算数持平，其中：</w:t>
      </w:r>
    </w:p>
    <w:p w14:paraId="784CE3B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1、因公出国（境）费0万元，与2020年预算数持平。</w:t>
      </w:r>
    </w:p>
    <w:p w14:paraId="3DBFA06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2、公务用车购置及运行维护费支出5万元，其中：公务用车购置费0 万元，与2019年预算数持平。公务用车运行费5万元，与2020年预算数持平。</w:t>
      </w:r>
    </w:p>
    <w:p w14:paraId="7874F4C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3、公务接待费0.8万元，与2020年预算数持平。</w:t>
      </w:r>
    </w:p>
    <w:p w14:paraId="08863C1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增减变化原因：2020年没有因公出国（境）、公务用车购置费预算计划。2021年与2020年公务用车数量无变化，因此公务用车购置及运行维护费预算情况与上年预算无差别。公务接待费2021年与上年持平。公务接待费预算安排与上年比未作调整。 预算与2020年预算数持平。</w:t>
      </w:r>
    </w:p>
    <w:p w14:paraId="4A366EE0">
      <w:pPr>
        <w:numPr>
          <w:ilvl w:val="0"/>
          <w:numId w:val="1"/>
        </w:numPr>
        <w:spacing w:line="366" w:lineRule="exact"/>
        <w:rPr>
          <w:rFonts w:ascii="黑体" w:eastAsia="黑体"/>
          <w:sz w:val="32"/>
          <w:szCs w:val="32"/>
        </w:rPr>
      </w:pPr>
      <w:r>
        <w:rPr>
          <w:rFonts w:hint="eastAsia" w:ascii="黑体" w:eastAsia="黑体"/>
          <w:sz w:val="32"/>
          <w:szCs w:val="32"/>
        </w:rPr>
        <w:t>政府采购预算情况</w:t>
      </w:r>
    </w:p>
    <w:p w14:paraId="58D035E2">
      <w:pPr>
        <w:ind w:left="643"/>
        <w:rPr>
          <w:rFonts w:ascii="仿宋" w:hAnsi="仿宋" w:eastAsia="仿宋"/>
          <w:sz w:val="32"/>
          <w:szCs w:val="32"/>
        </w:rPr>
      </w:pPr>
      <w:r>
        <w:rPr>
          <w:rFonts w:hint="eastAsia" w:ascii="仿宋" w:hAnsi="仿宋" w:eastAsia="仿宋"/>
          <w:sz w:val="32"/>
          <w:szCs w:val="32"/>
        </w:rPr>
        <w:t>2021部门预算我镇未安排政府采购预算。</w:t>
      </w:r>
    </w:p>
    <w:p w14:paraId="4796E6E2">
      <w:pPr>
        <w:numPr>
          <w:ilvl w:val="0"/>
          <w:numId w:val="1"/>
        </w:numPr>
        <w:spacing w:line="366" w:lineRule="exact"/>
        <w:rPr>
          <w:rFonts w:ascii="黑体" w:eastAsia="黑体"/>
          <w:sz w:val="32"/>
          <w:szCs w:val="32"/>
        </w:rPr>
      </w:pPr>
      <w:r>
        <w:rPr>
          <w:rFonts w:hint="eastAsia" w:ascii="黑体" w:eastAsia="黑体"/>
          <w:sz w:val="32"/>
          <w:szCs w:val="32"/>
        </w:rPr>
        <w:t>国有资产信息</w:t>
      </w:r>
    </w:p>
    <w:p w14:paraId="47D07F58">
      <w:pPr>
        <w:spacing w:line="500" w:lineRule="exact"/>
        <w:ind w:firstLine="640" w:firstLineChars="200"/>
        <w:jc w:val="left"/>
        <w:rPr>
          <w:rFonts w:ascii="仿宋" w:hAnsi="仿宋" w:eastAsia="仿宋"/>
          <w:sz w:val="32"/>
          <w:szCs w:val="32"/>
        </w:rPr>
      </w:pPr>
      <w:r>
        <w:rPr>
          <w:rFonts w:hint="eastAsia" w:ascii="仿宋" w:hAnsi="仿宋" w:eastAsia="仿宋" w:cs="宋体"/>
          <w:color w:val="000000"/>
          <w:kern w:val="0"/>
          <w:sz w:val="32"/>
          <w:szCs w:val="32"/>
        </w:rPr>
        <w:t>2</w:t>
      </w:r>
      <w:r>
        <w:rPr>
          <w:rFonts w:hint="eastAsia" w:ascii="仿宋" w:hAnsi="仿宋" w:eastAsia="仿宋"/>
          <w:sz w:val="32"/>
          <w:szCs w:val="32"/>
        </w:rPr>
        <w:t>021年初我单位固定资产为</w:t>
      </w:r>
      <w:r>
        <w:rPr>
          <w:rFonts w:ascii="仿宋" w:hAnsi="仿宋" w:eastAsia="仿宋"/>
          <w:sz w:val="32"/>
          <w:szCs w:val="32"/>
        </w:rPr>
        <w:t>187</w:t>
      </w:r>
      <w:r>
        <w:rPr>
          <w:rFonts w:hint="eastAsia" w:ascii="仿宋" w:hAnsi="仿宋" w:eastAsia="仿宋"/>
          <w:sz w:val="32"/>
          <w:szCs w:val="32"/>
        </w:rPr>
        <w:t>.</w:t>
      </w:r>
      <w:r>
        <w:rPr>
          <w:rFonts w:ascii="仿宋" w:hAnsi="仿宋" w:eastAsia="仿宋"/>
          <w:sz w:val="32"/>
          <w:szCs w:val="32"/>
        </w:rPr>
        <w:t>01</w:t>
      </w:r>
      <w:r>
        <w:rPr>
          <w:rFonts w:hint="eastAsia" w:ascii="仿宋" w:hAnsi="仿宋" w:eastAsia="仿宋"/>
          <w:sz w:val="32"/>
          <w:szCs w:val="32"/>
        </w:rPr>
        <w:t>万元，房屋建筑物50.4万元，汽车3辆，一般公务用车1辆，一般执法执勤用车2辆，合计原值14.56万元、其他资产122.05万元。</w:t>
      </w:r>
    </w:p>
    <w:p w14:paraId="32A88E2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2021年部门预算我镇年没有计划购置固定资产。</w:t>
      </w:r>
    </w:p>
    <w:p w14:paraId="0CA27444">
      <w:pPr>
        <w:numPr>
          <w:ilvl w:val="0"/>
          <w:numId w:val="1"/>
        </w:numPr>
        <w:spacing w:line="366" w:lineRule="exact"/>
        <w:rPr>
          <w:rFonts w:ascii="黑体" w:eastAsia="黑体"/>
          <w:sz w:val="32"/>
          <w:szCs w:val="32"/>
        </w:rPr>
      </w:pPr>
      <w:r>
        <w:rPr>
          <w:rFonts w:hint="eastAsia" w:ascii="黑体" w:eastAsia="黑体"/>
          <w:sz w:val="32"/>
          <w:szCs w:val="32"/>
        </w:rPr>
        <w:t xml:space="preserve">名词解释 </w:t>
      </w:r>
    </w:p>
    <w:p w14:paraId="5BA7FCA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1、财政拨款收入：指由财政拨款形成的部门收入。按现行管理制度，部门预算中反映的财政拨款仅包括一般公共预算拨款和政府性基金预算拨款。</w:t>
      </w:r>
    </w:p>
    <w:p w14:paraId="52C0A92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2、事业收入：指所属事业单位开展专业业务活动及辅助活动所取得的收入。</w:t>
      </w:r>
    </w:p>
    <w:p w14:paraId="57455EC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3、经营收入：指所属事业单位在专业业务活动及其辅助活动之外开展非独立核算经营活动取得的收入。</w:t>
      </w:r>
    </w:p>
    <w:p w14:paraId="3A9C341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4、其他收入：指预算单位在“财政拨款收入”、“事业收入”、“经营收入”之外取得收入，主要是所属行政事业单位按规定动用的售房收入、存款利息收入等。</w:t>
      </w:r>
    </w:p>
    <w:p w14:paraId="7C0909A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5、一般公共服务支出：反应政府提供一般公共服务的支</w:t>
      </w:r>
    </w:p>
    <w:p w14:paraId="1EDA6F0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（1）一般公共服务支出（类）人大事务（款）：行政运行（项）指人大部门用于保障机构正常运转的基本支出以及必要的项目支出。</w:t>
      </w:r>
    </w:p>
    <w:p w14:paraId="097550C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（2）一般公共服务支出（类）政府办公厅（室）及相关机构事务（款）行政运行（项）是指包括实行公务员管理的事业单位的基本支出。</w:t>
      </w:r>
    </w:p>
    <w:p w14:paraId="22AE87D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 一般公共服务支出（类）政府办公厅（室）及相关机构事务（款）行政运行（项）是指反映事业单位（包括实行公务员管理的事业单位）后勤服务中心、医务室等附属事业单位。</w:t>
      </w:r>
    </w:p>
    <w:p w14:paraId="74140E5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（4）一般公共服务支出（类）政府办公厅（室）及相关机构事务（款）信访事务（项）：反映各级政府用于接待群众来信来访方面的项目支出。</w:t>
      </w:r>
    </w:p>
    <w:p w14:paraId="48F8500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（5）一般公共服务支出（类）政府办公厅（室）及相关机构事务（款）事业运行（项）：反应事业单位的基本支出，不包括行政单位（包括实行公务员管理的事业单位）后勤服务中心、医务室等附属事业单位。</w:t>
      </w:r>
    </w:p>
    <w:p w14:paraId="2183561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（6）一般公共服务支出（类）政府办公厅（室）及相关机构事务（款）其他政府办公厅（室）及相关机构事务支出（项）：反应除上述项目以外的其他政府办公厅（室）及相关机构事务支出。</w:t>
      </w:r>
    </w:p>
    <w:p w14:paraId="02367E3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（7） 一般公共服务支出（类）统计信息事务（款）事业运行（项）反映事业单位的基本支出，不包括行政单位（包括实行公务员管理的事业单位）后勤服务中心、医务室等附属事业单位。</w:t>
      </w:r>
    </w:p>
    <w:p w14:paraId="602627C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（8）一般公共服务支出（类）财政事务（款）其他财政事务支出（项）：反映除上述项目以外其他财政事务方面的支出。</w:t>
      </w:r>
    </w:p>
    <w:p w14:paraId="42A3004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（9）一般公共服务支出（类）群众团体事务（款）行政运行（项）：反映行政单位（包括实行公务员管理的事业单位）的基本支出。</w:t>
      </w:r>
    </w:p>
    <w:p w14:paraId="4D08486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（10）一般公共服务支出（类）党委办公厅（室）及相关机构事务行政运行（项）：反映行政单位（包括实行公务员管理的事业单位）的基本支出。</w:t>
      </w:r>
    </w:p>
    <w:p w14:paraId="57B3FCE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6、教育支出（类）普通教育（款）学前教育（项）：反映各部门举办的学前教育支出。</w:t>
      </w:r>
    </w:p>
    <w:p w14:paraId="3791987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7、文化体育与传媒支出（类）广播（款）其他文化体育与传媒支出（项）:反映除上述项目以外其他文化体育与传媒方面的支出。</w:t>
      </w:r>
    </w:p>
    <w:p w14:paraId="19BBE80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8、社会保障和就业支出：反应政府在社会保障与就业方面的支出。</w:t>
      </w:r>
    </w:p>
    <w:p w14:paraId="0B85163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（1）社会保障和就业支出（类）抚恤（款）死亡抚恤（项）：反映按规定用于烈士和牺牲、病故人员家属的一次性和定期抚恤金以及丧葬补助费。</w:t>
      </w:r>
    </w:p>
    <w:p w14:paraId="6A1F9C0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（2）社会保障和就业支出（类）抚恤（款）伤残抚恤：反映按规定用于烈士和牺牲、病故人员家属的一次性和定期抚恤金及丧葬补助费。</w:t>
      </w:r>
    </w:p>
    <w:p w14:paraId="0A9CA27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社会保障和就业支出（类）抚恤（款）复原员、退伍军人生活补助(项)：反映在乡退伍红军老战士（含西路军红军老战士、红军失散人员）、1954年10月31日前入伍的在乡复员军人、按规定办理带病回乡手续的退伍军人生活补助。</w:t>
      </w:r>
    </w:p>
    <w:p w14:paraId="3FA878F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（4）社会保障和就业支出（类）抚恤（款）义务兵优待(项)：反映用于义务兵优待方面的支出。</w:t>
      </w:r>
    </w:p>
    <w:p w14:paraId="03CE3FE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（5）社会保障和就业支出（类）抚恤（款）其他优抚支出：反映除上述项目以外其他用于优抚方面的支出。</w:t>
      </w:r>
    </w:p>
    <w:p w14:paraId="554B673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6）社会保障和就业支出（类）财政对基本养老基金的补助（款）财政对企业职工基本养老基金的补助（项）：反映财政对基本养老保险基金的补助支出。财政对机关事业单位基本养老保险基金的补助，不在此科目反映。</w:t>
      </w:r>
    </w:p>
    <w:p w14:paraId="66B267F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9、医疗卫生支出：反映政府医疗卫生方面的支出。</w:t>
      </w:r>
    </w:p>
    <w:p w14:paraId="15131DE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（1）医疗卫生与计划生育支出（类）计划生育事务（款）其他计划生育事务支出（项）：反映上述项目以外其他用于计划生育管理事务方面的支出。</w:t>
      </w:r>
    </w:p>
    <w:p w14:paraId="73FA7DC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（2）医疗卫生与计划生育支出（类）行政事业单位医疗（款）行政单位医疗（项）指财政集中安排行政单位和参照公务员管理的事业单位的医疗保险经费支出。</w:t>
      </w:r>
    </w:p>
    <w:p w14:paraId="13950DD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（3）医疗卫生与计划生育支出（类）行政事业单位医疗（款）事业单位医疗（项）指财政集中安排事业单位的医疗保险经费支出。</w:t>
      </w:r>
    </w:p>
    <w:p w14:paraId="767D5E8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 xml:space="preserve"> 10、农林水支出：反映政府农林水方面的支出。</w:t>
      </w:r>
    </w:p>
    <w:p w14:paraId="773878F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（1）农林水支出（类）农业（款）事业运行（项）：反映用于农业事业单位基本支出，事业单位设施、系统运行与资产维护等方面的支出。</w:t>
      </w:r>
    </w:p>
    <w:p w14:paraId="6BB7DC2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（2）农林水支出（类）农业（款）其他农业支出（项）：反映除上述项目外其他用于农业方面的支出。</w:t>
      </w:r>
    </w:p>
    <w:p w14:paraId="244A87E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（3）农林水支出（类）农村综合改革（款）对村级一事一义补助（项）反映农村税费改革后对村极公益建设一事一议的补助支出。</w:t>
      </w:r>
    </w:p>
    <w:p w14:paraId="4164B3D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（4）农林水支出（类）农村综合改革（款）对村民委员会和党支部的补助支出（项）反映各级财政对村民委员会和村党支部的补助支出，以及支持建立县级基本财力保障机制安排的村级组织运转奖补资金。</w:t>
      </w:r>
    </w:p>
    <w:p w14:paraId="2BD7916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11、住房保障支出（类）住房改革支出（款）：住房公积金（项）是按照《住房公积金管理条例》的规定，由单位及其在职职工缴存的长期住房储金。该项政策始于上世纪九十年代中期，在全国机关、企事业单位在职职工中普遍实施，最低不低于5%，最高不超过12%，缴存基数为职工本人上年工资，目前已实施近20 年时间。目前，茹荷镇人民政府单位和职工的缴存比例为8%。</w:t>
      </w:r>
    </w:p>
    <w:p w14:paraId="1CE8CC0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12、基本支出：指为保障机构正常运转、完成日常工作任务而发生的人员支出和公用支出。</w:t>
      </w:r>
    </w:p>
    <w:p w14:paraId="6CEBA52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13、项目支出：指在基本支出之外为完成特定行政任务和事业发展目标所发生的支出。</w:t>
      </w:r>
    </w:p>
    <w:p w14:paraId="29EB44F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14、事业单位经营支出：指事业单位在专业业务活动及其辅助活动之外开展非独立核算经营活动发生的支出。</w:t>
      </w:r>
    </w:p>
    <w:p w14:paraId="4F33958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15、政府性基金：是指各级人民政府及其所属部门根据法律、行政法规和中共中央、国务院文件规定，为支持特定公共基础设施建设和公共事业发展，向公民、法人和其他组织无偿征收的具有专项用途的财政资金。</w:t>
      </w:r>
    </w:p>
    <w:p w14:paraId="0070492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16、“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1034FE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17、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BAD5E1">
      <w:pPr>
        <w:numPr>
          <w:ilvl w:val="0"/>
          <w:numId w:val="1"/>
        </w:numPr>
        <w:spacing w:line="366" w:lineRule="exact"/>
        <w:rPr>
          <w:rFonts w:ascii="黑体" w:eastAsia="黑体"/>
          <w:sz w:val="32"/>
          <w:szCs w:val="32"/>
        </w:rPr>
      </w:pPr>
      <w:r>
        <w:rPr>
          <w:rFonts w:hint="eastAsia" w:ascii="黑体" w:eastAsia="黑体"/>
          <w:sz w:val="32"/>
          <w:szCs w:val="32"/>
        </w:rPr>
        <w:t>其他需要说明的事项</w:t>
      </w:r>
    </w:p>
    <w:p w14:paraId="6A54B91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2021年部门预算我镇未安排政府性基金预算。</w:t>
      </w:r>
    </w:p>
    <w:p w14:paraId="0F9043AC">
      <w:pPr>
        <w:spacing w:line="500" w:lineRule="exact"/>
        <w:ind w:firstLine="640" w:firstLineChars="200"/>
        <w:jc w:val="left"/>
        <w:rPr>
          <w:rFonts w:ascii="仿宋" w:hAnsi="仿宋" w:eastAsia="仿宋"/>
          <w:sz w:val="32"/>
          <w:szCs w:val="32"/>
        </w:rPr>
        <w:sectPr>
          <w:footerReference r:id="rId3" w:type="default"/>
          <w:pgSz w:w="11907" w:h="16839"/>
          <w:pgMar w:top="1984" w:right="1304" w:bottom="1134" w:left="1304" w:header="851" w:footer="992" w:gutter="0"/>
          <w:cols w:space="720" w:num="1"/>
          <w:docGrid w:type="lines" w:linePitch="312" w:charSpace="0"/>
        </w:sectPr>
      </w:pPr>
      <w:r>
        <w:rPr>
          <w:rFonts w:hint="eastAsia" w:ascii="仿宋" w:hAnsi="仿宋" w:eastAsia="仿宋"/>
          <w:sz w:val="32"/>
          <w:szCs w:val="32"/>
        </w:rPr>
        <w:t>2021年部门预算我镇未安排国有资本经营预算。</w:t>
      </w:r>
    </w:p>
    <w:p w14:paraId="331DF193">
      <w:pPr>
        <w:spacing w:line="500" w:lineRule="exact"/>
        <w:jc w:val="left"/>
        <w:rPr>
          <w:rFonts w:ascii="仿宋" w:hAnsi="仿宋" w:eastAsia="仿宋"/>
          <w:sz w:val="32"/>
          <w:szCs w:val="32"/>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D417">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02F99CA3">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C3151"/>
    <w:multiLevelType w:val="multilevel"/>
    <w:tmpl w:val="006C3151"/>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A6212"/>
    <w:rsid w:val="00030905"/>
    <w:rsid w:val="000432A7"/>
    <w:rsid w:val="00067F48"/>
    <w:rsid w:val="00092D2E"/>
    <w:rsid w:val="00093675"/>
    <w:rsid w:val="000B50EF"/>
    <w:rsid w:val="000C4369"/>
    <w:rsid w:val="000F446C"/>
    <w:rsid w:val="00135E29"/>
    <w:rsid w:val="00161C27"/>
    <w:rsid w:val="0016310B"/>
    <w:rsid w:val="00193BA2"/>
    <w:rsid w:val="001B59A8"/>
    <w:rsid w:val="00227EF3"/>
    <w:rsid w:val="0028642C"/>
    <w:rsid w:val="002A4CEA"/>
    <w:rsid w:val="002C517B"/>
    <w:rsid w:val="002C6B6D"/>
    <w:rsid w:val="002E6E18"/>
    <w:rsid w:val="00324B9B"/>
    <w:rsid w:val="00334076"/>
    <w:rsid w:val="0033425E"/>
    <w:rsid w:val="00377195"/>
    <w:rsid w:val="003A1583"/>
    <w:rsid w:val="003C7FCC"/>
    <w:rsid w:val="00406776"/>
    <w:rsid w:val="00415382"/>
    <w:rsid w:val="004340CC"/>
    <w:rsid w:val="004346ED"/>
    <w:rsid w:val="004626FE"/>
    <w:rsid w:val="004769F6"/>
    <w:rsid w:val="004A6212"/>
    <w:rsid w:val="004B2815"/>
    <w:rsid w:val="005037C1"/>
    <w:rsid w:val="005215CC"/>
    <w:rsid w:val="005440AD"/>
    <w:rsid w:val="005E64F2"/>
    <w:rsid w:val="005F4986"/>
    <w:rsid w:val="00620425"/>
    <w:rsid w:val="00623335"/>
    <w:rsid w:val="006256F3"/>
    <w:rsid w:val="00661EED"/>
    <w:rsid w:val="006624E4"/>
    <w:rsid w:val="00670D5C"/>
    <w:rsid w:val="006D1599"/>
    <w:rsid w:val="006E237D"/>
    <w:rsid w:val="006E25E1"/>
    <w:rsid w:val="006E6D28"/>
    <w:rsid w:val="00724256"/>
    <w:rsid w:val="0074701D"/>
    <w:rsid w:val="007603F8"/>
    <w:rsid w:val="0076408B"/>
    <w:rsid w:val="00787555"/>
    <w:rsid w:val="007A6FBB"/>
    <w:rsid w:val="007F5421"/>
    <w:rsid w:val="00852727"/>
    <w:rsid w:val="0085793E"/>
    <w:rsid w:val="008735C9"/>
    <w:rsid w:val="00874E65"/>
    <w:rsid w:val="008766E5"/>
    <w:rsid w:val="00876B13"/>
    <w:rsid w:val="00895A3A"/>
    <w:rsid w:val="008A378E"/>
    <w:rsid w:val="008F1598"/>
    <w:rsid w:val="009004AE"/>
    <w:rsid w:val="00901773"/>
    <w:rsid w:val="009319EE"/>
    <w:rsid w:val="0097158B"/>
    <w:rsid w:val="009B47D2"/>
    <w:rsid w:val="009C1487"/>
    <w:rsid w:val="009C7188"/>
    <w:rsid w:val="009E5257"/>
    <w:rsid w:val="00A30A31"/>
    <w:rsid w:val="00A7275D"/>
    <w:rsid w:val="00AB5514"/>
    <w:rsid w:val="00B010C4"/>
    <w:rsid w:val="00B4332C"/>
    <w:rsid w:val="00BA02E6"/>
    <w:rsid w:val="00BD2AD7"/>
    <w:rsid w:val="00BE6624"/>
    <w:rsid w:val="00C04EF2"/>
    <w:rsid w:val="00C059DF"/>
    <w:rsid w:val="00C14FC1"/>
    <w:rsid w:val="00C16350"/>
    <w:rsid w:val="00C4388A"/>
    <w:rsid w:val="00C67B95"/>
    <w:rsid w:val="00C72004"/>
    <w:rsid w:val="00C93EEB"/>
    <w:rsid w:val="00CA01AE"/>
    <w:rsid w:val="00D01980"/>
    <w:rsid w:val="00D24B04"/>
    <w:rsid w:val="00D33E82"/>
    <w:rsid w:val="00D37009"/>
    <w:rsid w:val="00D73644"/>
    <w:rsid w:val="00D911F8"/>
    <w:rsid w:val="00D9796F"/>
    <w:rsid w:val="00D97E9B"/>
    <w:rsid w:val="00DD747F"/>
    <w:rsid w:val="00DE627E"/>
    <w:rsid w:val="00E113C6"/>
    <w:rsid w:val="00E76EC2"/>
    <w:rsid w:val="00EC31B1"/>
    <w:rsid w:val="00ED12C5"/>
    <w:rsid w:val="00EE4596"/>
    <w:rsid w:val="00EF496F"/>
    <w:rsid w:val="00F75346"/>
    <w:rsid w:val="00FA1D04"/>
    <w:rsid w:val="00FD17D3"/>
    <w:rsid w:val="00FD1C6E"/>
    <w:rsid w:val="00FF5393"/>
    <w:rsid w:val="00FF6B6F"/>
    <w:rsid w:val="41C91AB7"/>
    <w:rsid w:val="5CBA20C2"/>
    <w:rsid w:val="69E63BD1"/>
    <w:rsid w:val="7E5E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7"/>
      </w:tabs>
      <w:snapToGrid w:val="0"/>
      <w:jc w:val="left"/>
    </w:pPr>
    <w:rPr>
      <w:sz w:val="18"/>
    </w:rPr>
  </w:style>
  <w:style w:type="paragraph" w:styleId="4">
    <w:name w:val="header"/>
    <w:basedOn w:val="1"/>
    <w:qFormat/>
    <w:uiPriority w:val="0"/>
    <w:pPr>
      <w:pBdr>
        <w:bottom w:val="single" w:color="auto" w:sz="6" w:space="1"/>
      </w:pBdr>
      <w:tabs>
        <w:tab w:val="center" w:pos="4153"/>
        <w:tab w:val="right" w:pos="8307"/>
      </w:tabs>
      <w:snapToGrid w:val="0"/>
      <w:jc w:val="center"/>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3890</Words>
  <Characters>4093</Characters>
  <Lines>29</Lines>
  <Paragraphs>8</Paragraphs>
  <TotalTime>283</TotalTime>
  <ScaleCrop>false</ScaleCrop>
  <LinksUpToDate>false</LinksUpToDate>
  <CharactersWithSpaces>4127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2022-09-06T02:50:00Z</dcterms:created>
  <dc:creator>PC</dc:creator>
  <cp:lastModifiedBy>随缘</cp:lastModifiedBy>
  <cp:lastPrinted>2021-02-08T05:18:00Z</cp:lastPrinted>
  <dcterms:modified xsi:type="dcterms:W3CDTF">2025-09-16T02:50:41Z</dcterms:modified>
  <dc:title>XXX （部门全称）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07B34017030E422597D476223DB4860C</vt:lpwstr>
  </property>
  <property fmtid="{D5CDD505-2E9C-101B-9397-08002B2CF9AE}" pid="4" name="KSOTemplateDocerSaveRecord">
    <vt:lpwstr>eyJoZGlkIjoiZGZlMDY1ZDNmOWY2YWY5MDA2NTQ1NjBhMzIwYjlmYzQiLCJ1c2VySWQiOiI5NTgzNTkyODkifQ==</vt:lpwstr>
  </property>
</Properties>
</file>