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xlsx" ContentType="application/vnd.openxmlformats-officedocument.spreadsheetml.sheet"/>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auto"/>
        <w:rPr>
          <w:rFonts w:ascii="楷体_GB2312" w:eastAsia="楷体_GB2312" w:cs="楷体_GB2312" w:hAnsi="楷体_GB2312"/>
          <w:color w:val="000000"/>
          <w:sz w:val="40"/>
          <w:szCs w:val="40"/>
        </w:rPr>
      </w:pPr>
      <w:r>
        <w:drawing>
          <wp:anchor distT="0" distB="0" distL="114300" distR="114300" simplePos="0" relativeHeight="2" behindDoc="1" locked="0" layoutInCell="1" hidden="0" allowOverlap="1">
            <wp:simplePos x="0" y="0"/>
            <wp:positionH relativeFrom="column">
              <wp:posOffset>-1692910</wp:posOffset>
            </wp:positionH>
            <wp:positionV relativeFrom="paragraph">
              <wp:posOffset>-1319530</wp:posOffset>
            </wp:positionV>
            <wp:extent cx="8646795" cy="11107419"/>
            <wp:effectExtent l="-9525" t="-9525" r="1905" b="5080"/>
            <wp:wrapNone/>
            <wp:docPr id="1027" name="图片 15" descr="7b0a202020202266696c746572223a202230220a7d0a"/>
            <wp:cNvGraphicFramePr>
              <a:graphicFrameLocks noChangeAspect="1"/>
            </wp:cNvGraphicFramePr>
            <a:graphic>
              <a:graphicData uri="http://schemas.openxmlformats.org/drawingml/2006/picture">
                <pic:pic>
                  <pic:nvPicPr>
                    <pic:cNvPr id="2" name="图片 15 2"/>
                    <pic:cNvPicPr/>
                  </pic:nvPicPr>
                  <pic:blipFill>
                    <a:blip r:embed="rId3">
                      <a:lum bright="5999"/>
                    </a:blip>
                    <a:srcRect t="559" b="3637"/>
                    <a:stretch>
                      <a:fillRect/>
                    </a:stretch>
                  </pic:blipFill>
                  <pic:spPr>
                    <a:xfrm rot="0">
                      <a:off x="0" y="0"/>
                      <a:ext cx="8646795" cy="11107419"/>
                    </a:xfrm>
                    <a:prstGeom prst="rect"/>
                    <a:noFill/>
                    <a:ln w="9525" cmpd="sng" cap="flat">
                      <a:noFill/>
                      <a:prstDash val="solid"/>
                      <a:miter/>
                    </a:ln>
                  </pic:spPr>
                </pic:pic>
              </a:graphicData>
            </a:graphic>
          </wp:anchor>
        </w:drawing>
      </w:r>
      <w:r>
        <mc:AlternateContent>
          <mc:Choice Requires="wps">
            <w:drawing>
              <wp:anchor distT="0" distB="0" distL="114297" distR="114297" simplePos="0" relativeHeight="31" behindDoc="0" locked="0" layoutInCell="1" hidden="0" allowOverlap="1">
                <wp:simplePos x="0" y="0"/>
                <wp:positionH relativeFrom="column">
                  <wp:posOffset>-546735</wp:posOffset>
                </wp:positionH>
                <wp:positionV relativeFrom="paragraph">
                  <wp:posOffset>253365</wp:posOffset>
                </wp:positionV>
                <wp:extent cx="6431280" cy="2862579"/>
                <wp:wrapNone/>
                <wp:docPr id="1026" name="_x0000_s1026 6 6" descr="7b0a2020202022776f7264617274223a20227b5c2269645c223a32353030323136362c5c227469645c223a5c225c227d220a7d0a"/>
                <wp:cNvGraphicFramePr>
                  <a:graphicFrameLocks noChangeAspect="0"/>
                </wp:cNvGraphicFramePr>
                <a:graphic>
                  <a:graphicData uri="http://schemas.microsoft.com/office/word/2010/wordprocessingShape">
                    <wps:wsp>
                      <wps:cNvSpPr/>
                      <wps:spPr>
                        <a:xfrm rot="0">
                          <a:off x="0" y="0"/>
                          <a:ext cx="6431280" cy="2862579"/>
                        </a:xfrm>
                        <a:prstGeom prst="rect"/>
                        <a:noFill/>
                        <a:ln w="9525" cmpd="sng" cap="flat">
                          <a:noFill/>
                          <a:prstDash val="solid"/>
                          <a:miter/>
                        </a:ln>
                      </wps:spPr>
                      <wps:txbx id="3">
                        <w:txbxContent>
                          <w:p>
                            <w:pPr>
                              <w:spacing w:line="1400" w:lineRule="exact"/>
                              <w:jc w:val="left"/>
                              <w:rPr>
                                <w:rFonts w:ascii="方正小标宋_GBK" w:eastAsia="方正小标宋_GBK" w:cs="方正小标宋_GBK" w:hAnsi="方正小标宋_GBK"/>
                                <w:b/>
                                <w:bCs/>
                                <w:color w:val="0D0D0D"/>
                                <w:sz w:val="112"/>
                                <w:szCs w:val="112"/>
                              </w:rPr>
                            </w:pPr>
                            <w:r>
                              <w:rPr>
                                <w:rFonts w:ascii="方正小标宋_GBK" w:eastAsia="方正小标宋_GBK" w:cs="方正小标宋_GBK" w:hAnsi="方正小标宋_GBK" w:hint="eastAsia"/>
                                <w:b/>
                                <w:bCs/>
                                <w:color w:val="0D0D0D"/>
                                <w:sz w:val="112"/>
                                <w:szCs w:val="112"/>
                              </w:rPr>
                              <w:t>2024年度</w:t>
                            </w:r>
                          </w:p>
                          <w:p>
                            <w:pPr>
                              <w:spacing w:line="1400" w:lineRule="exact"/>
                              <w:jc w:val="left"/>
                              <w:rPr>
                                <w:rFonts w:ascii="方正小标宋_GBK" w:eastAsia="方正小标宋_GBK" w:cs="方正小标宋_GBK" w:hAnsi="方正小标宋_GBK"/>
                                <w:b/>
                                <w:bCs/>
                                <w:color w:val="0D0D0D"/>
                                <w:sz w:val="112"/>
                                <w:szCs w:val="112"/>
                              </w:rPr>
                            </w:pPr>
                            <w:r>
                              <w:rPr>
                                <w:rFonts w:ascii="方正小标宋_GBK" w:eastAsia="方正小标宋_GBK" w:cs="方正小标宋_GBK" w:hAnsi="方正小标宋_GBK" w:hint="eastAsia"/>
                                <w:b/>
                                <w:bCs/>
                                <w:color w:val="0D0D0D"/>
                                <w:sz w:val="112"/>
                                <w:szCs w:val="112"/>
                              </w:rPr>
                              <w:t>部门决算公开文本</w:t>
                            </w:r>
                          </w:p>
                        </w:txbxContent>
                      </wps:txbx>
                      <wps:bodyPr vert="horz" wrap="square" lIns="91440" tIns="45720" rIns="91440" bIns="45720" anchor="t" anchorCtr="0" upright="1">
                        <a:noAutofit/>
                      </wps:bodyPr>
                    </wps:wsp>
                  </a:graphicData>
                </a:graphic>
              </wp:anchor>
            </w:drawing>
          </mc:Choice>
          <mc:Fallback>
            <w:pict>
              <v:shape type="#_x0000_t202" id="_x0000_s1026 6 6" o:spid="_x0000_s4" filled="f" stroked="f" alt="7b0a2020202022776f7264617274223a20227b5c2269645c223a32353030323136362c5c227469645c223a5c225c227d220a7d0a" style="position:absolute;margin-left:-43.05pt;margin-top:19.95pt;width:506.4pt;height:225.4pt;z-index:31;mso-position-horizontal:absolute;mso-position-vertical:absolute;mso-wrap-distance-left:8.99983pt;mso-wrap-distance-right:8.99983pt;mso-wrap-style:square;">
                <v:stroke color="#000000"/>
                <v:textbox id="849" inset="2.54mm,1.27mm,2.54mm,1.27mm" o:insetmode="custom" style="layout-flow:horizontal;v-text-anchor:top;">
                  <w:txbxContent>
                    <w:p>
                      <w:pPr>
                        <w:spacing w:line="1400" w:lineRule="exact"/>
                        <w:jc w:val="left"/>
                        <w:rPr>
                          <w:rFonts w:ascii="方正小标宋_GBK" w:eastAsia="方正小标宋_GBK" w:cs="方正小标宋_GBK" w:hAnsi="方正小标宋_GBK"/>
                          <w:b/>
                          <w:bCs/>
                          <w:color w:val="0D0D0D"/>
                          <w:sz w:val="112"/>
                          <w:szCs w:val="112"/>
                        </w:rPr>
                      </w:pPr>
                      <w:r>
                        <w:rPr>
                          <w:rFonts w:ascii="方正小标宋_GBK" w:eastAsia="方正小标宋_GBK" w:cs="方正小标宋_GBK" w:hAnsi="方正小标宋_GBK" w:hint="eastAsia"/>
                          <w:b/>
                          <w:bCs/>
                          <w:color w:val="0D0D0D"/>
                          <w:sz w:val="112"/>
                          <w:szCs w:val="112"/>
                        </w:rPr>
                        <w:t>2024年度</w:t>
                      </w:r>
                    </w:p>
                    <w:p>
                      <w:pPr>
                        <w:spacing w:line="1400" w:lineRule="exact"/>
                        <w:jc w:val="left"/>
                        <w:rPr>
                          <w:rFonts w:ascii="方正小标宋_GBK" w:eastAsia="方正小标宋_GBK" w:cs="方正小标宋_GBK" w:hAnsi="方正小标宋_GBK"/>
                          <w:b/>
                          <w:bCs/>
                          <w:color w:val="0D0D0D"/>
                          <w:sz w:val="112"/>
                          <w:szCs w:val="112"/>
                        </w:rPr>
                      </w:pPr>
                      <w:r>
                        <w:rPr>
                          <w:rFonts w:ascii="方正小标宋_GBK" w:eastAsia="方正小标宋_GBK" w:cs="方正小标宋_GBK" w:hAnsi="方正小标宋_GBK" w:hint="eastAsia"/>
                          <w:b/>
                          <w:bCs/>
                          <w:color w:val="0D0D0D"/>
                          <w:sz w:val="112"/>
                          <w:szCs w:val="112"/>
                        </w:rPr>
                        <w:t>部门决算公开文本</w:t>
                      </w:r>
                    </w:p>
                  </w:txbxContent>
                </v:textbox>
              </v:shape>
            </w:pict>
          </mc:Fallback>
        </mc:AlternateContent>
      </w: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rPr>
          <w:rFonts w:ascii="楷体_GB2312" w:eastAsia="楷体_GB2312" w:cs="楷体_GB2312" w:hAnsi="楷体_GB2312"/>
          <w:color w:val="000000"/>
          <w:sz w:val="40"/>
          <w:szCs w:val="40"/>
        </w:rPr>
      </w:pPr>
    </w:p>
    <w:p>
      <w:pPr>
        <w:spacing w:line="600" w:lineRule="auto"/>
        <w:jc w:val="left"/>
        <w:rPr>
          <w:rFonts w:ascii="楷体_GB2312" w:eastAsia="楷体_GB2312" w:cs="楷体_GB2312" w:hAnsi="楷体_GB2312"/>
          <w:color w:val="000000"/>
          <w:sz w:val="40"/>
          <w:szCs w:val="40"/>
        </w:rPr>
      </w:pPr>
      <w:r>
        <w:rPr>
          <w:rFonts w:ascii="黑体" w:eastAsia="黑体" w:cs="黑体" w:hAnsi="黑体" w:hint="eastAsia"/>
          <w:color w:val="000000"/>
          <w:sz w:val="40"/>
          <w:szCs w:val="40"/>
        </w:rPr>
        <w:t>预算代码</w:t>
      </w:r>
      <w:r>
        <w:rPr>
          <w:rFonts w:ascii="楷体_GB2312" w:eastAsia="楷体_GB2312" w:cs="楷体_GB2312" w:hAnsi="楷体_GB2312" w:hint="eastAsia"/>
          <w:color w:val="000000"/>
          <w:sz w:val="40"/>
          <w:szCs w:val="40"/>
        </w:rPr>
        <w:t>：420</w:t>
      </w:r>
    </w:p>
    <w:p>
      <w:pPr>
        <w:spacing w:line="600" w:lineRule="auto"/>
        <w:jc w:val="left"/>
        <w:rPr>
          <w:rFonts w:ascii="楷体_GB2312" w:eastAsia="楷体_GB2312" w:cs="楷体_GB2312" w:hAnsi="楷体_GB2312"/>
          <w:color w:val="000000"/>
          <w:sz w:val="40"/>
          <w:szCs w:val="40"/>
        </w:rPr>
      </w:pPr>
      <w:r>
        <w:rPr>
          <w:rFonts w:ascii="黑体" w:eastAsia="黑体" w:cs="黑体" w:hAnsi="黑体" w:hint="eastAsia"/>
          <w:color w:val="000000"/>
          <w:sz w:val="40"/>
          <w:szCs w:val="40"/>
        </w:rPr>
        <w:t>部门名称</w:t>
      </w:r>
      <w:r>
        <w:rPr>
          <w:rFonts w:ascii="楷体_GB2312" w:eastAsia="楷体_GB2312" w:cs="楷体_GB2312" w:hAnsi="楷体_GB2312" w:hint="eastAsia"/>
          <w:color w:val="000000"/>
          <w:sz w:val="40"/>
          <w:szCs w:val="40"/>
        </w:rPr>
        <w:t>：昌黎县黄金海岸旅游发展中心（本级）</w:t>
      </w:r>
    </w:p>
    <w:p>
      <w:pPr>
        <w:spacing w:line="600" w:lineRule="auto"/>
        <w:rPr>
          <w:rFonts w:ascii="楷体_GB2312" w:eastAsia="楷体_GB2312" w:cs="楷体_GB2312" w:hAnsi="楷体_GB2312"/>
          <w:color w:val="000000"/>
          <w:sz w:val="40"/>
          <w:szCs w:val="40"/>
        </w:rPr>
        <w:sectPr>
          <w:footerReference w:type="default" r:id="rId2"/>
          <w:pgSz w:w="11906" w:h="16838"/>
          <w:pgMar w:top="2098" w:right="1417" w:bottom="1871" w:left="1417" w:header="851" w:footer="992" w:gutter="0"/>
          <w:pgNumType w:start="1"/>
          <w:cols w:num="1" w:space="720"/>
          <w:docGrid w:type="lines" w:linePitch="312" w:charSpace="0"/>
        </w:sectPr>
      </w:pPr>
    </w:p>
    <w:p>
      <w:pPr>
        <w:spacing w:line="600" w:lineRule="auto"/>
        <w:jc w:val="center"/>
        <w:rPr>
          <w:rFonts w:ascii="楷体_GB2312" w:eastAsia="楷体_GB2312" w:cs="楷体_GB2312" w:hAnsi="楷体_GB2312"/>
          <w:color w:val="000000"/>
          <w:sz w:val="40"/>
          <w:szCs w:val="40"/>
        </w:rPr>
      </w:pPr>
    </w:p>
    <w:p>
      <w:pPr>
        <w:rPr>
          <w:rFonts w:ascii="黑体" w:eastAsia="黑体" w:cs="黑体" w:hAnsi="黑体"/>
          <w:b/>
          <w:bCs/>
          <w:sz w:val="32"/>
          <w:szCs w:val="36"/>
          <w:highlight w:val="yellow"/>
        </w:rPr>
      </w:pPr>
    </w:p>
    <w:p>
      <w:pPr>
        <w:widowControl/>
        <w:spacing w:line="360" w:lineRule="auto"/>
        <w:jc w:val="center"/>
        <w:rPr>
          <w:rFonts w:ascii="Times New Roman" w:eastAsia="方正小标宋_GBK" w:hAnsi="Times New Roman"/>
          <w:sz w:val="72"/>
          <w:szCs w:val="72"/>
        </w:rPr>
      </w:pPr>
      <w:r>
        <w:rPr>
          <w:rFonts w:ascii="Times New Roman" w:eastAsia="方正小标宋_GBK" w:hAnsi="Times New Roman"/>
          <w:sz w:val="72"/>
          <w:szCs w:val="72"/>
        </w:rPr>
        <w:t>昌黎县黄金海岸旅游发展中心</w:t>
      </w:r>
    </w:p>
    <w:p>
      <w:pPr>
        <w:widowControl/>
        <w:spacing w:line="360" w:lineRule="auto"/>
        <w:jc w:val="center"/>
        <w:rPr>
          <w:rFonts w:ascii="Times New Roman" w:eastAsia="方正小标宋_GBK" w:hAnsi="Times New Roman"/>
          <w:sz w:val="72"/>
          <w:szCs w:val="72"/>
        </w:rPr>
      </w:pPr>
      <w:r>
        <w:rPr>
          <w:rFonts w:ascii="Times New Roman" w:eastAsia="仿宋_GB2312" w:hAnsi="Times New Roman"/>
          <w:sz w:val="72"/>
          <w:szCs w:val="72"/>
        </w:rPr>
        <w:t>2024</w:t>
      </w:r>
      <w:r>
        <w:rPr>
          <w:rFonts w:ascii="Times New Roman" w:eastAsia="方正小标宋_GBK" w:hAnsi="Times New Roman"/>
          <w:sz w:val="72"/>
          <w:szCs w:val="72"/>
        </w:rPr>
        <w:t>年度部门决算公开文本</w:t>
      </w:r>
    </w:p>
    <w:p>
      <w:pPr>
        <w:spacing w:line="36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480" w:lineRule="auto"/>
        <w:rPr>
          <w:rFonts w:ascii="黑体" w:eastAsia="黑体" w:cs="黑体" w:hAnsi="黑体"/>
          <w:sz w:val="56"/>
          <w:szCs w:val="72"/>
        </w:rPr>
      </w:pPr>
    </w:p>
    <w:p>
      <w:pPr>
        <w:widowControl/>
        <w:spacing w:line="360" w:lineRule="auto"/>
        <w:jc w:val="center"/>
        <w:rPr>
          <w:rFonts w:ascii="Times New Roman" w:eastAsia="楷体_GB2312" w:hAnsi="Times New Roman"/>
          <w:sz w:val="44"/>
          <w:szCs w:val="44"/>
        </w:rPr>
      </w:pPr>
      <w:r>
        <w:rPr>
          <w:rFonts w:ascii="Times New Roman" w:eastAsia="楷体_GB2312" w:hAnsi="Times New Roman"/>
          <w:sz w:val="44"/>
          <w:szCs w:val="44"/>
        </w:rPr>
        <w:t>昌黎县黄金海岸旅游发展中心 (</w:t>
      </w:r>
      <w:r>
        <w:rPr>
          <w:rFonts w:ascii="Times New Roman" w:eastAsia="楷体_GB2312" w:hAnsi="Times New Roman" w:hint="eastAsia"/>
          <w:sz w:val="44"/>
          <w:szCs w:val="44"/>
        </w:rPr>
        <w:t>部门</w:t>
      </w:r>
      <w:r>
        <w:rPr>
          <w:rFonts w:ascii="Times New Roman" w:eastAsia="楷体_GB2312" w:hAnsi="Times New Roman"/>
          <w:sz w:val="44"/>
          <w:szCs w:val="44"/>
        </w:rPr>
        <w:t>名称，加盖公章）</w:t>
      </w:r>
    </w:p>
    <w:p>
      <w:pPr>
        <w:widowControl/>
        <w:spacing w:line="360" w:lineRule="auto"/>
        <w:jc w:val="center"/>
        <w:rPr>
          <w:rFonts w:ascii="Times New Roman" w:eastAsia="楷体_GB2312" w:hAnsi="Times New Roman"/>
          <w:sz w:val="44"/>
          <w:szCs w:val="44"/>
        </w:rPr>
      </w:pPr>
      <w:r>
        <w:rPr>
          <w:rFonts w:ascii="Times New Roman" w:eastAsia="楷体_GB2312" w:hAnsi="Times New Roman"/>
          <w:sz w:val="44"/>
          <w:szCs w:val="44"/>
        </w:rPr>
        <w:t>二〇二五年八月</w:t>
      </w:r>
    </w:p>
    <w:p>
      <w:pPr>
        <w:snapToGrid w:val="0"/>
        <w:jc w:val="left"/>
        <w:rPr>
          <w:rFonts w:ascii="楷体_GB2312" w:eastAsia="楷体_GB2312" w:cs="楷体_GB2312" w:hAnsi="楷体_GB2312"/>
          <w:color w:val="000000"/>
          <w:sz w:val="44"/>
          <w:szCs w:val="44"/>
        </w:rPr>
      </w:pPr>
    </w:p>
    <w:p>
      <w:pPr>
        <w:snapToGrid w:val="0"/>
        <w:jc w:val="left"/>
        <w:rPr>
          <w:rFonts w:ascii="楷体_GB2312" w:eastAsia="楷体_GB2312" w:cs="楷体_GB2312" w:hAnsi="楷体_GB2312"/>
          <w:color w:val="000000"/>
          <w:sz w:val="44"/>
          <w:szCs w:val="44"/>
        </w:rPr>
        <w:sectPr>
          <w:footerReference w:type="default" r:id="rId4"/>
          <w:pgSz w:w="11906" w:h="16838"/>
          <w:pgMar w:top="1531" w:right="1984" w:bottom="1531" w:left="2098" w:header="851" w:footer="992" w:gutter="0"/>
          <w:cols w:num="1" w:space="720"/>
          <w:docGrid w:type="lines" w:linePitch="312" w:charSpace="0"/>
        </w:sectPr>
      </w:pPr>
    </w:p>
    <w:p>
      <w:pPr>
        <w:widowControl/>
        <w:spacing w:line="600" w:lineRule="exact"/>
        <w:jc w:val="left"/>
        <w:rPr>
          <w:rFonts w:ascii="黑体" w:eastAsia="黑体" w:cs="黑体" w:hAnsi="黑体"/>
          <w:bCs/>
          <w:sz w:val="32"/>
          <w:szCs w:val="32"/>
        </w:rPr>
      </w:pPr>
    </w:p>
    <w:p>
      <w:pPr>
        <w:tabs>
          <w:tab w:val="left" w:pos="2728"/>
        </w:tabs>
        <w:jc w:val="center"/>
        <w:rPr>
          <w:rFonts w:ascii="黑体" w:eastAsia="黑体" w:cs="Times New Roman" w:hAnsi="Times New Roman"/>
          <w:sz w:val="48"/>
          <w:szCs w:val="48"/>
        </w:rPr>
      </w:pPr>
    </w:p>
    <w:p>
      <w:pPr>
        <w:widowControl/>
        <w:spacing w:line="360" w:lineRule="auto"/>
        <w:jc w:val="center"/>
        <w:outlineLvl w:val="0"/>
        <w:rPr>
          <w:rFonts w:ascii="Times New Roman" w:eastAsia="黑体" w:hAnsi="Times New Roman"/>
          <w:sz w:val="44"/>
          <w:szCs w:val="44"/>
        </w:rPr>
      </w:pPr>
      <w:r>
        <w:rPr>
          <w:rFonts w:ascii="Times New Roman" w:eastAsia="黑体" w:hAnsi="Times New Roman"/>
          <w:sz w:val="44"/>
          <w:szCs w:val="44"/>
        </w:rPr>
        <w:t>目  录</w:t>
      </w:r>
    </w:p>
    <w:p>
      <w:pPr>
        <w:widowControl/>
        <w:spacing w:after="160" w:line="580" w:lineRule="exact"/>
        <w:ind w:firstLineChars="200" w:firstLine="640"/>
        <w:rPr>
          <w:rFonts w:ascii="Times New Roman" w:eastAsia="黑体" w:cs="Times New Roman" w:hAnsi="Times New Roman"/>
          <w:sz w:val="32"/>
          <w:szCs w:val="32"/>
        </w:rPr>
      </w:pPr>
    </w:p>
    <w:p>
      <w:pPr>
        <w:widowControl/>
        <w:spacing w:line="360" w:lineRule="auto"/>
        <w:jc w:val="left"/>
        <w:rPr>
          <w:rFonts w:ascii="Times New Roman" w:eastAsia="黑体" w:hAnsi="Times New Roman"/>
          <w:sz w:val="32"/>
          <w:szCs w:val="32"/>
        </w:rPr>
      </w:pPr>
      <w:r>
        <w:rPr>
          <w:rFonts w:ascii="Times New Roman" w:eastAsia="黑体" w:hAnsi="Times New Roman"/>
          <w:sz w:val="32"/>
          <w:szCs w:val="32"/>
        </w:rPr>
        <w:t>第一部分</w:t>
      </w:r>
      <w:r>
        <w:rPr>
          <w:rFonts w:ascii="Times New Roman" w:eastAsia="黑体" w:hAnsi="Times New Roman" w:hint="eastAsia"/>
          <w:sz w:val="32"/>
          <w:szCs w:val="32"/>
        </w:rPr>
        <w:t>部门</w:t>
      </w:r>
      <w:r>
        <w:rPr>
          <w:rFonts w:ascii="Times New Roman" w:eastAsia="黑体" w:hAnsi="Times New Roman"/>
          <w:sz w:val="32"/>
          <w:szCs w:val="32"/>
        </w:rPr>
        <w:t>概况</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hint="eastAsia"/>
          <w:sz w:val="32"/>
          <w:szCs w:val="32"/>
        </w:rPr>
        <w:t>部门</w:t>
      </w:r>
      <w:r>
        <w:rPr>
          <w:rFonts w:ascii="Times New Roman" w:eastAsia="仿宋_GB2312" w:hAnsi="Times New Roman"/>
          <w:sz w:val="32"/>
          <w:szCs w:val="32"/>
        </w:rPr>
        <w:t>职责</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二、机构设置</w:t>
      </w:r>
    </w:p>
    <w:p>
      <w:pPr>
        <w:widowControl/>
        <w:spacing w:line="360" w:lineRule="auto"/>
        <w:jc w:val="left"/>
        <w:outlineLvl w:val="0"/>
        <w:rPr>
          <w:rFonts w:ascii="Times New Roman" w:eastAsia="黑体" w:hAnsi="Times New Roman"/>
          <w:sz w:val="32"/>
          <w:szCs w:val="32"/>
        </w:rPr>
      </w:pPr>
      <w:r>
        <w:rPr>
          <w:rFonts w:ascii="Times New Roman" w:eastAsia="黑体" w:hAnsi="Times New Roman"/>
          <w:sz w:val="32"/>
          <w:szCs w:val="32"/>
        </w:rPr>
        <w:t>第二部分 2024年度部门决算报表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一、收入支出决算总表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二、收入决算表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三、支出决算表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四、财政拨款收入支出决算总表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五、一般公共预算财政拨款支出决算表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六、一般公共预算财政拨款基本支出决算明细表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七、政府性基金预算财政拨款收入支出决算表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八、国有资本经营预算财政拨款支出决算表</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九、财政拨款“三公”经费支出决算表</w:t>
      </w:r>
    </w:p>
    <w:p>
      <w:pPr>
        <w:widowControl/>
        <w:spacing w:line="360" w:lineRule="auto"/>
        <w:jc w:val="left"/>
        <w:rPr>
          <w:rFonts w:ascii="Times New Roman" w:eastAsia="黑体" w:hAnsi="Times New Roman"/>
          <w:sz w:val="32"/>
          <w:szCs w:val="32"/>
        </w:rPr>
      </w:pPr>
      <w:r>
        <w:rPr>
          <w:rFonts w:ascii="Times New Roman" w:eastAsia="黑体" w:hAnsi="Times New Roman"/>
          <w:sz w:val="32"/>
          <w:szCs w:val="32"/>
        </w:rPr>
        <w:t>第三部分 2024年度部门决算情况说明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一、收入支出决算总体情况说明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二、收入决算情况说明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三、支出决算情况说明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四、财政拨款收入支出决算总体情况说明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五、财政拨款“三公”经费支出决算情况说明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六、机关运行经费支出说明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七、政府采购支出说明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八、国有资产占用情况说明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九、关于2024年度绩效评价情况的说明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十、其他需要说明的情况</w:t>
      </w:r>
    </w:p>
    <w:p>
      <w:pPr>
        <w:widowControl/>
        <w:spacing w:line="360" w:lineRule="auto"/>
        <w:jc w:val="left"/>
        <w:rPr>
          <w:rFonts w:ascii="Times New Roman" w:eastAsia="黑体" w:hAnsi="Times New Roman"/>
          <w:sz w:val="32"/>
          <w:szCs w:val="32"/>
        </w:rPr>
      </w:pPr>
      <w:r>
        <w:rPr>
          <w:rFonts w:ascii="Times New Roman" w:eastAsia="黑体" w:hAnsi="Times New Roman"/>
          <w:sz w:val="32"/>
          <w:szCs w:val="32"/>
        </w:rPr>
        <w:t>第四部分 名词解释</w:t>
      </w:r>
    </w:p>
    <w:p>
      <w:pPr>
        <w:widowControl/>
        <w:spacing w:after="160" w:line="580" w:lineRule="exact"/>
        <w:rPr>
          <w:rFonts w:ascii="Times New Roman" w:eastAsia="黑体" w:cs="Times New Roman" w:hAnsi="Times New Roman"/>
          <w:sz w:val="32"/>
          <w:szCs w:val="32"/>
        </w:rPr>
        <w:sectPr>
          <w:headerReference w:type="default" r:id="rId5"/>
          <w:headerReference w:type="first" r:id="rId6"/>
          <w:footerReference w:type="default" r:id="rId7"/>
          <w:footerReference w:type="first" r:id="rId8"/>
          <w:pgSz w:w="11906" w:h="16838"/>
          <w:pgMar w:top="1474" w:right="1531" w:bottom="1474" w:left="1531" w:header="851" w:footer="992" w:gutter="0"/>
          <w:cols w:num="1" w:space="0"/>
          <w:titlePg/>
          <w:docGrid w:type="lines" w:linePitch="312" w:charSpace="0"/>
        </w:sectPr>
      </w:pPr>
    </w:p>
    <w:p>
      <w:pPr>
        <w:widowControl/>
        <w:spacing w:line="360" w:lineRule="auto"/>
        <w:jc w:val="center"/>
        <w:outlineLvl w:val="0"/>
        <w:rPr>
          <w:rFonts w:ascii="Times New Roman" w:eastAsia="黑体" w:hAnsi="Times New Roman"/>
          <w:sz w:val="44"/>
          <w:szCs w:val="44"/>
        </w:rPr>
      </w:pPr>
      <w:r>
        <w:rPr>
          <w:rFonts w:ascii="Times New Roman" w:eastAsia="黑体" w:hAnsi="Times New Roman"/>
          <w:sz w:val="44"/>
          <w:szCs w:val="44"/>
        </w:rPr>
        <w:t>第一部分</w:t>
      </w:r>
      <w:r>
        <w:rPr>
          <w:rFonts w:ascii="Times New Roman" w:eastAsia="黑体" w:hAnsi="Times New Roman" w:hint="eastAsia"/>
          <w:sz w:val="44"/>
          <w:szCs w:val="44"/>
        </w:rPr>
        <w:t>部门</w:t>
      </w:r>
      <w:r>
        <w:rPr>
          <w:rFonts w:ascii="Times New Roman" w:eastAsia="黑体" w:hAnsi="Times New Roman"/>
          <w:sz w:val="44"/>
          <w:szCs w:val="44"/>
        </w:rPr>
        <w:t>概况</w:t>
      </w:r>
    </w:p>
    <w:p>
      <w:pPr>
        <w:widowControl/>
        <w:spacing w:line="360" w:lineRule="auto"/>
        <w:jc w:val="left"/>
        <w:outlineLvl w:val="1"/>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hint="eastAsia"/>
          <w:sz w:val="32"/>
          <w:szCs w:val="32"/>
        </w:rPr>
        <w:t>部门</w:t>
      </w:r>
      <w:r>
        <w:rPr>
          <w:rFonts w:ascii="Times New Roman" w:eastAsia="黑体" w:hAnsi="Times New Roman"/>
          <w:sz w:val="32"/>
          <w:szCs w:val="32"/>
        </w:rPr>
        <w:t>职责</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（一）贯彻执行国家、省、市有关法律、法规和政策，研究拟定园区的发展计划和工作目标，经批准后实施。 （二）督导园区内各职能部门、服务部门制定各项规章制度并监督实施，统筹指导园区各项工作。 （三）对园区内企业及下属旅游景区进行监督和管理；负债园区内各项投资建设资金的筹集、管理和使用。 （四）负责制定招商引资安排，开展项目推介和招商工作；分析调度经济运作情况；负责园区安全生产责任制落实和安全检查等工作。 （五）负责园区内的市政建设规划、基础设施的管理工作；协调与监督新建、改建和扩建基础设施项目的实施；负责园区项目的规划管理；承办领导交办的其他工作。 （六）负责园区市容市貌、绿化美化、卫生保洁等管理工作；会同有关单位对园区的建筑市场、旅游商品市场进行管理。 （七）行使县政府和有关职能部门依法授予的其他职能，对园区进行监督、管理。 （八）承办县政府交办的其他事项。</w:t>
      </w:r>
    </w:p>
    <w:p>
      <w:pPr>
        <w:widowControl/>
        <w:spacing w:line="360" w:lineRule="auto"/>
        <w:jc w:val="left"/>
        <w:outlineLvl w:val="1"/>
        <w:rPr>
          <w:rFonts w:ascii="Times New Roman" w:eastAsia="黑体" w:hAnsi="Times New Roman"/>
          <w:sz w:val="32"/>
          <w:szCs w:val="32"/>
        </w:rPr>
      </w:pPr>
      <w:r>
        <w:rPr>
          <w:rFonts w:ascii="Times New Roman" w:eastAsia="黑体" w:hAnsi="Times New Roman"/>
          <w:sz w:val="32"/>
          <w:szCs w:val="32"/>
        </w:rPr>
        <w:t>二、机构设置</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从决算编报</w:t>
      </w:r>
      <w:r>
        <w:rPr>
          <w:rFonts w:ascii="Times New Roman" w:eastAsia="仿宋_GB2312" w:hAnsi="Times New Roman" w:hint="eastAsia"/>
          <w:sz w:val="32"/>
          <w:szCs w:val="32"/>
        </w:rPr>
        <w:t>部门</w:t>
      </w:r>
      <w:r>
        <w:rPr>
          <w:rFonts w:ascii="Times New Roman" w:eastAsia="仿宋_GB2312" w:hAnsi="Times New Roman"/>
          <w:sz w:val="32"/>
          <w:szCs w:val="32"/>
        </w:rPr>
        <w:t>构成看，纳入2024年度本部门决算汇编范围的独立核算</w:t>
      </w:r>
      <w:r>
        <w:rPr>
          <w:rFonts w:ascii="Times New Roman" w:eastAsia="仿宋_GB2312" w:hAnsi="Times New Roman" w:hint="eastAsia"/>
          <w:sz w:val="32"/>
          <w:szCs w:val="32"/>
        </w:rPr>
        <w:t>部门</w:t>
      </w:r>
      <w:r>
        <w:rPr>
          <w:rFonts w:ascii="Times New Roman" w:eastAsia="仿宋_GB2312" w:hAnsi="Times New Roman"/>
          <w:sz w:val="32"/>
          <w:szCs w:val="32"/>
        </w:rPr>
        <w:t>（以下简称“单位”）共1个，具体情况如下：</w:t>
      </w:r>
    </w:p>
    <w:tbl>
      <w:tblPr>
        <w:tblpPr w:leftFromText="180" w:rightFromText="180" w:vertAnchor="text" w:horzAnchor="page" w:tblpXSpec="center" w:tblpY="10"/>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985"/>
        <w:gridCol w:w="3485"/>
        <w:gridCol w:w="2445"/>
        <w:gridCol w:w="2665"/>
      </w:tblGrid>
      <w:tr>
        <w:trPr>
          <w:trHeight w:val="811"/>
        </w:trPr>
        <w:tc>
          <w:tcPr>
            <w:tcW w:w="985" w:type="dxa"/>
            <w:vAlign w:val="center"/>
          </w:tcPr>
          <w:p>
            <w:pPr>
              <w:spacing w:line="560" w:lineRule="exact"/>
              <w:jc w:val="center"/>
              <w:rPr>
                <w:rFonts w:ascii="仿宋_GB2312" w:eastAsia="仿宋_GB2312" w:cs="ArialUnicodeMS"/>
                <w:b/>
                <w:bCs/>
                <w:sz w:val="28"/>
                <w:szCs w:val="28"/>
              </w:rPr>
            </w:pPr>
            <w:r>
              <w:rPr>
                <w:rFonts w:ascii="仿宋_GB2312" w:eastAsia="仿宋_GB2312" w:cs="ArialUnicodeMS" w:hint="eastAsia"/>
                <w:b/>
                <w:bCs/>
                <w:sz w:val="28"/>
                <w:szCs w:val="28"/>
              </w:rPr>
              <w:t>序号</w:t>
            </w:r>
          </w:p>
        </w:tc>
        <w:tc>
          <w:tcPr>
            <w:tcW w:w="3485" w:type="dxa"/>
            <w:vAlign w:val="center"/>
          </w:tcPr>
          <w:p>
            <w:pPr>
              <w:spacing w:line="560" w:lineRule="exact"/>
              <w:jc w:val="center"/>
              <w:rPr>
                <w:rFonts w:ascii="仿宋_GB2312" w:eastAsia="仿宋_GB2312" w:cs="ArialUnicodeMS"/>
                <w:b/>
                <w:bCs/>
                <w:sz w:val="28"/>
                <w:szCs w:val="28"/>
              </w:rPr>
            </w:pPr>
            <w:r>
              <w:rPr>
                <w:rFonts w:ascii="仿宋_GB2312" w:eastAsia="仿宋_GB2312" w:cs="ArialUnicodeMS" w:hint="eastAsia"/>
                <w:b/>
                <w:bCs/>
                <w:sz w:val="28"/>
                <w:szCs w:val="28"/>
              </w:rPr>
              <w:t>单位名称</w:t>
            </w:r>
          </w:p>
        </w:tc>
        <w:tc>
          <w:tcPr>
            <w:tcW w:w="2445" w:type="dxa"/>
            <w:vAlign w:val="center"/>
          </w:tcPr>
          <w:p>
            <w:pPr>
              <w:spacing w:line="560" w:lineRule="exact"/>
              <w:jc w:val="center"/>
              <w:rPr>
                <w:rFonts w:ascii="仿宋_GB2312" w:eastAsia="仿宋_GB2312" w:cs="ArialUnicodeMS"/>
                <w:b/>
                <w:bCs/>
                <w:sz w:val="28"/>
                <w:szCs w:val="28"/>
              </w:rPr>
            </w:pPr>
            <w:r>
              <w:rPr>
                <w:rFonts w:ascii="仿宋_GB2312" w:eastAsia="仿宋_GB2312" w:cs="ArialUnicodeMS" w:hint="eastAsia"/>
                <w:b/>
                <w:bCs/>
                <w:sz w:val="28"/>
                <w:szCs w:val="28"/>
              </w:rPr>
              <w:t>单位基本性质</w:t>
            </w:r>
          </w:p>
        </w:tc>
        <w:tc>
          <w:tcPr>
            <w:tcW w:w="2665" w:type="dxa"/>
            <w:vAlign w:val="center"/>
          </w:tcPr>
          <w:p>
            <w:pPr>
              <w:spacing w:line="560" w:lineRule="exact"/>
              <w:jc w:val="center"/>
              <w:rPr>
                <w:rFonts w:ascii="仿宋_GB2312" w:eastAsia="仿宋_GB2312" w:cs="ArialUnicodeMS"/>
                <w:b/>
                <w:bCs/>
                <w:sz w:val="28"/>
                <w:szCs w:val="28"/>
              </w:rPr>
            </w:pPr>
            <w:r>
              <w:rPr>
                <w:rFonts w:ascii="仿宋_GB2312" w:eastAsia="仿宋_GB2312" w:cs="ArialUnicodeMS" w:hint="eastAsia"/>
                <w:b/>
                <w:bCs/>
                <w:sz w:val="28"/>
                <w:szCs w:val="28"/>
              </w:rPr>
              <w:t>经费形式</w:t>
            </w:r>
          </w:p>
        </w:tc>
      </w:tr>
      <w:tr>
        <w:trPr>
          <w:trHeight w:val="596"/>
        </w:trPr>
        <w:tc>
          <w:tcPr>
            <w:tcW w:w="985" w:type="dxa"/>
          </w:tcPr>
          <w:p>
            <w:pPr>
              <w:spacing w:line="560" w:lineRule="exact"/>
              <w:jc w:val="center"/>
              <w:rPr>
                <w:rFonts w:ascii="仿宋_GB2312" w:eastAsia="仿宋_GB2312" w:cs="ArialUnicodeMS"/>
                <w:sz w:val="28"/>
                <w:szCs w:val="28"/>
              </w:rPr>
            </w:pPr>
            <w:r>
              <w:rPr>
                <w:rFonts w:ascii="仿宋_GB2312" w:eastAsia="仿宋_GB2312" w:cs="ArialUnicodeMS" w:hint="eastAsia"/>
                <w:sz w:val="28"/>
                <w:szCs w:val="28"/>
              </w:rPr>
              <w:t>1</w:t>
            </w:r>
          </w:p>
        </w:tc>
        <w:tc>
          <w:tcPr>
            <w:tcW w:w="3485" w:type="dxa"/>
            <w:tcBorders>
              <w:top w:val="single" w:sz="4" w:space="0" w:color="auto"/>
              <w:left w:val="single" w:sz="4" w:space="0" w:color="auto"/>
              <w:right w:val="single" w:sz="4" w:space="0" w:color="auto"/>
            </w:tcBorders>
          </w:tcPr>
          <w:p>
            <w:pPr>
              <w:spacing w:line="560" w:lineRule="exact"/>
              <w:jc w:val="center"/>
              <w:rPr>
                <w:rFonts w:ascii="仿宋_GB2312" w:eastAsia="仿宋_GB2312" w:cs="ArialUnicodeMS"/>
                <w:sz w:val="28"/>
                <w:szCs w:val="28"/>
              </w:rPr>
            </w:pPr>
            <w:r>
              <w:rPr>
                <w:rFonts w:ascii="仿宋_GB2312" w:eastAsia="仿宋_GB2312" w:cs="ArialUnicodeMS" w:hint="eastAsia"/>
                <w:sz w:val="28"/>
                <w:szCs w:val="28"/>
              </w:rPr>
              <w:t>昌黎县黄金海岸旅游发展中心（本级）</w:t>
            </w:r>
          </w:p>
        </w:tc>
        <w:tc>
          <w:tcPr>
            <w:tcW w:w="2445" w:type="dxa"/>
            <w:tcBorders>
              <w:top w:val="single" w:sz="4" w:space="0" w:color="auto"/>
              <w:left w:val="single" w:sz="4" w:space="0" w:color="auto"/>
              <w:right w:val="single" w:sz="4" w:space="0" w:color="auto"/>
            </w:tcBorders>
          </w:tcPr>
          <w:p>
            <w:pPr>
              <w:spacing w:line="560" w:lineRule="exact"/>
              <w:jc w:val="center"/>
              <w:rPr>
                <w:rFonts w:ascii="仿宋_GB2312" w:eastAsia="仿宋_GB2312" w:cs="ArialUnicodeMS"/>
                <w:sz w:val="28"/>
                <w:szCs w:val="28"/>
              </w:rPr>
            </w:pPr>
            <w:r>
              <w:rPr>
                <w:rFonts w:ascii="仿宋" w:eastAsia="仿宋" w:cs="ArialUnicodeMS" w:hint="eastAsia"/>
                <w:sz w:val="28"/>
                <w:szCs w:val="28"/>
              </w:rPr>
              <w:t>经费自理事业单位</w:t>
            </w:r>
          </w:p>
        </w:tc>
        <w:tc>
          <w:tcPr>
            <w:tcW w:w="2665" w:type="dxa"/>
          </w:tcPr>
          <w:p>
            <w:pPr>
              <w:spacing w:line="560" w:lineRule="exact"/>
              <w:jc w:val="center"/>
              <w:rPr>
                <w:rFonts w:ascii="仿宋_GB2312" w:eastAsia="仿宋_GB2312" w:cs="ArialUnicodeMS"/>
                <w:sz w:val="28"/>
                <w:szCs w:val="28"/>
              </w:rPr>
            </w:pPr>
            <w:r>
              <w:rPr>
                <w:rFonts w:ascii="仿宋" w:eastAsia="仿宋" w:cs="Times New Roman" w:hint="eastAsia"/>
                <w:sz w:val="28"/>
                <w:szCs w:val="28"/>
              </w:rPr>
              <w:t>财政性资金零补助</w:t>
            </w:r>
          </w:p>
        </w:tc>
      </w:tr>
    </w:tbl>
    <w:p>
      <w:pPr>
        <w:widowControl/>
        <w:spacing w:after="16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我部门无二级预算单位，因此，</w:t>
      </w:r>
      <w:r>
        <w:rPr>
          <w:rFonts w:ascii="Times New Roman" w:eastAsia="仿宋_GB2312" w:hAnsi="Times New Roman" w:hint="eastAsia"/>
          <w:sz w:val="32"/>
          <w:szCs w:val="32"/>
        </w:rPr>
        <w:t>昌黎县黄金海岸旅游发展中心</w:t>
      </w:r>
      <w:r>
        <w:rPr>
          <w:rFonts w:ascii="Times New Roman" w:eastAsia="仿宋_GB2312" w:hAnsi="Times New Roman"/>
          <w:sz w:val="32"/>
          <w:szCs w:val="32"/>
        </w:rPr>
        <w:t>2024年度部门决算即</w:t>
      </w:r>
      <w:r>
        <w:rPr>
          <w:rFonts w:ascii="Times New Roman" w:eastAsia="仿宋_GB2312" w:hAnsi="Times New Roman" w:hint="eastAsia"/>
          <w:sz w:val="32"/>
          <w:szCs w:val="32"/>
        </w:rPr>
        <w:t>昌黎县黄金海岸旅游发展中心</w:t>
      </w:r>
      <w:r>
        <w:rPr>
          <w:rFonts w:ascii="Times New Roman" w:eastAsia="仿宋_GB2312" w:hAnsi="Times New Roman"/>
          <w:sz w:val="32"/>
          <w:szCs w:val="32"/>
        </w:rPr>
        <w:t>本级2024年度决算。</w:t>
      </w:r>
    </w:p>
    <w:p>
      <w:pPr>
        <w:autoSpaceDE w:val="0"/>
        <w:autoSpaceDN w:val="0"/>
        <w:spacing w:line="610" w:lineRule="exact"/>
        <w:ind w:firstLineChars="200" w:firstLine="640"/>
        <w:rPr>
          <w:rFonts w:ascii="黑体" w:eastAsia="黑体"/>
          <w:b/>
          <w:color w:val="000000"/>
          <w:sz w:val="32"/>
          <w:szCs w:val="32"/>
        </w:rPr>
      </w:pPr>
      <w:r>
        <w:rPr>
          <w:rFonts w:ascii="仿宋_GB2312" w:eastAsia="仿宋_GB2312" w:hint="eastAsia"/>
          <w:color w:val="000000"/>
          <w:sz w:val="32"/>
          <w:szCs w:val="32"/>
        </w:rPr>
        <w:t>我</w:t>
      </w:r>
      <w:r>
        <w:rPr>
          <w:rFonts w:ascii="Times New Roman" w:eastAsia="仿宋_GB2312" w:hAnsi="Times New Roman" w:hint="eastAsia"/>
          <w:sz w:val="32"/>
          <w:szCs w:val="32"/>
        </w:rPr>
        <w:t>单位</w:t>
      </w:r>
      <w:r>
        <w:rPr>
          <w:rFonts w:ascii="仿宋_GB2312" w:eastAsia="仿宋_GB2312" w:hint="eastAsia"/>
          <w:color w:val="000000"/>
          <w:sz w:val="32"/>
          <w:szCs w:val="32"/>
        </w:rPr>
        <w:t>共设有4个内设股室，主要包括：</w:t>
      </w:r>
    </w:p>
    <w:p>
      <w:pPr>
        <w:autoSpaceDE w:val="0"/>
        <w:autoSpaceDN w:val="0"/>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（一）办公室（人事股、财务股、工委办公室）</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负责单位日常事务性工作，协调各股室、直属单位工作；负责文秘、信息、信访、保密、保卫、文书档案、会议组织及后期工作；负责接待和管理工作；负责党务工作及下属单位的组织人事管理、工资、档案、职称评定、年度考核、老干部、共青团和妇联工作；负责党风廉政建设、纪检监察工作；负责对财政支出财政资金的管理与使用，对本单位及下属单位的财务及国有资产进行监督管理，负责编制年度财务计划、会计制度并监督执行，负责园区各项投资建设资金的筹集、管理与使用；承办领导交办的其他工作。</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（二）安全监察股</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负责园区内及下属单位的安全生产责任制落实和安全检查、安保工作；在园区管委的统一部署下，协调各职能部门，做好园区内及下属单位旅游市场秩序整治工作，创造和谐、稳定、有序的旅游市场环境；承办领导交办的其他工作。</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（三）开发建设股</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负责编制园区项目规划、专项规划，对园区发展形势调研，做出可行性分析，负责实施园区内基础设施建设；负责制定招商引资安排，开展项目推介和招商工作；收集分析招商引资工作动态；为投资者提供法律、政策、投资环境等方面的咨询服务，负责园区内企业的统计、管理工作；负责园区内及下属停产企业的联系；分析、调度园区经济动作情况；负责园区内旅游行业管理；承办领导交办的其他工作。</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（四）城建环保股</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负责园区内的市政建设、基础设施的管理工作；协调与监督新建、改建和扩建基础设施项目的实施；负责园区市容市貌、绿化美化、卫生保洁等管理工作；会同相关单位对园区的建筑市场、旅游商品市场进行管理；承办领导交办的其他工作。</w:t>
      </w:r>
    </w:p>
    <w:p>
      <w:pPr>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我单位为一级预算单位，无独立核算下属单位。我单位财政补助人员320人。</w:t>
      </w:r>
    </w:p>
    <w:p>
      <w:pPr>
        <w:widowControl/>
        <w:spacing w:after="160"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根据部门决算编报要求，纳入我部门2024年度部门决算编报的单位只有一家昌黎县黄金海岸旅游发展中心。</w:t>
      </w:r>
    </w:p>
    <w:p>
      <w:pPr>
        <w:widowControl/>
        <w:spacing w:line="360" w:lineRule="auto"/>
        <w:jc w:val="center"/>
        <w:outlineLvl w:val="0"/>
        <w:rPr>
          <w:rFonts w:ascii="Times New Roman" w:eastAsia="黑体" w:hAnsi="Times New Roman"/>
          <w:sz w:val="44"/>
          <w:szCs w:val="44"/>
        </w:rPr>
      </w:pPr>
      <w:r>
        <w:rPr>
          <w:rFonts w:ascii="Times New Roman" w:eastAsia="黑体" w:hAnsi="Times New Roman"/>
          <w:sz w:val="44"/>
          <w:szCs w:val="44"/>
        </w:rPr>
        <w:t>第二部分</w:t>
      </w:r>
      <w:r>
        <w:rPr>
          <w:rFonts w:ascii="Times New Roman" w:eastAsia="仿宋_GB2312" w:hAnsi="Times New Roman"/>
          <w:sz w:val="44"/>
          <w:szCs w:val="44"/>
        </w:rPr>
        <w:t>2024</w:t>
      </w:r>
      <w:r>
        <w:rPr>
          <w:rFonts w:ascii="Times New Roman" w:eastAsia="黑体" w:hAnsi="Times New Roman"/>
          <w:sz w:val="44"/>
          <w:szCs w:val="44"/>
        </w:rPr>
        <w:t>年度部门决算表</w:t>
      </w:r>
    </w:p>
    <w:tbl>
      <w:tblPr>
        <w:jc w:val="left"/>
        <w:tblInd w:w="-1817" w:type="dxa"/>
        <w:tblW w:w="72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3345"/>
        <w:gridCol w:w="623"/>
        <w:gridCol w:w="613"/>
        <w:gridCol w:w="1318"/>
        <w:gridCol w:w="1626"/>
        <w:gridCol w:w="1549"/>
        <w:gridCol w:w="623"/>
        <w:gridCol w:w="1931"/>
        <w:gridCol w:w="35"/>
      </w:tblGrid>
      <w:tr>
        <w:trPr>
          <w:trHeight w:val="361"/>
          <w:gridAfter w:val="1"/>
          <w:wAfter w:w="35" w:type="dxa"/>
        </w:trPr>
        <w:tc>
          <w:tcPr>
            <w:tcW w:w="4985" w:type="pct"/>
            <w:gridSpan w:val="8"/>
            <w:tcBorders>
              <w:top w:val="nil"/>
              <w:left w:val="nil"/>
              <w:bottom w:val="nil"/>
              <w:right w:val="nil"/>
            </w:tcBorders>
            <w:noWrap/>
            <w:vAlign w:val="bottom"/>
          </w:tcPr>
          <w:p>
            <w:pPr>
              <w:widowControl/>
              <w:jc w:val="center"/>
              <w:textAlignment w:val="bottom"/>
              <w:rPr>
                <w:rFonts w:ascii="宋体" w:hAnsi="宋体"/>
                <w:color w:val="000000"/>
                <w:sz w:val="20"/>
                <w:szCs w:val="20"/>
              </w:rPr>
            </w:pPr>
            <w:r>
              <w:rPr>
                <w:rFonts w:ascii="方正仿宋_GB2312" w:eastAsia="方正仿宋_GB2312" w:cs="方正仿宋_GB2312" w:hAnsi="方正仿宋_GB2312" w:hint="eastAsia"/>
                <w:bCs/>
                <w:sz w:val="32"/>
                <w:szCs w:val="32"/>
              </w:rPr>
              <w:t>收入支出决算总表</w:t>
            </w:r>
          </w:p>
        </w:tc>
      </w:tr>
      <w:tr>
        <w:trPr>
          <w:trHeight w:val="357"/>
          <w:gridAfter w:val="1"/>
          <w:wAfter w:w="35" w:type="dxa"/>
        </w:trPr>
        <w:tc>
          <w:tcPr>
            <w:tcW w:w="4985" w:type="pct"/>
            <w:gridSpan w:val="8"/>
            <w:tcBorders>
              <w:top w:val="nil"/>
              <w:left w:val="nil"/>
              <w:bottom w:val="nil"/>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 xml:space="preserve"> 公开</w:t>
            </w:r>
            <w:r>
              <w:rPr>
                <w:rFonts w:ascii="Times New Roman" w:cs="Times New Roman" w:hAnsi="Times New Roman" w:hint="eastAsia"/>
                <w:color w:val="000000"/>
                <w:sz w:val="20"/>
                <w:szCs w:val="20"/>
              </w:rPr>
              <w:t>01</w:t>
            </w:r>
            <w:r>
              <w:rPr>
                <w:rFonts w:ascii="方正仿宋_GB2312" w:eastAsia="方正仿宋_GB2312" w:cs="方正仿宋_GB2312" w:hAnsi="方正仿宋_GB2312" w:hint="eastAsia"/>
                <w:color w:val="000000"/>
                <w:sz w:val="20"/>
                <w:szCs w:val="20"/>
              </w:rPr>
              <w:t>表</w:t>
            </w:r>
          </w:p>
        </w:tc>
      </w:tr>
      <w:tr>
        <w:trPr>
          <w:trHeight w:val="351"/>
          <w:gridAfter w:val="1"/>
          <w:wAfter w:w="35" w:type="dxa"/>
        </w:trPr>
        <w:tc>
          <w:tcPr>
            <w:tcW w:w="1964" w:type="pct"/>
            <w:gridSpan w:val="3"/>
            <w:tcBorders>
              <w:top w:val="nil"/>
              <w:left w:val="nil"/>
              <w:bottom w:val="single" w:sz="4" w:space="0" w:color="auto"/>
              <w:right w:val="nil"/>
            </w:tcBorders>
            <w:noWrap/>
            <w:vAlign w:val="bottom"/>
          </w:tcPr>
          <w:p>
            <w:pPr>
              <w:rPr>
                <w:rFonts w:ascii="宋体" w:hAnsi="宋体"/>
                <w:color w:val="000000"/>
                <w:sz w:val="20"/>
                <w:szCs w:val="20"/>
              </w:rPr>
            </w:pPr>
            <w:r>
              <w:rPr>
                <w:rFonts w:ascii="方正仿宋_GB2312" w:eastAsia="方正仿宋_GB2312" w:cs="方正仿宋_GB2312" w:hAnsi="方正仿宋_GB2312" w:hint="eastAsia"/>
                <w:color w:val="000000"/>
                <w:sz w:val="20"/>
                <w:szCs w:val="20"/>
              </w:rPr>
              <w:t>部门（单位）：昌黎县黄金海岸旅游发展中心（本级）</w:t>
            </w:r>
          </w:p>
        </w:tc>
        <w:tc>
          <w:tcPr>
            <w:tcW w:w="1262" w:type="pct"/>
            <w:gridSpan w:val="2"/>
            <w:tcBorders>
              <w:top w:val="nil"/>
              <w:left w:val="nil"/>
              <w:bottom w:val="single" w:sz="4" w:space="0" w:color="auto"/>
              <w:right w:val="nil"/>
            </w:tcBorders>
            <w:noWrap/>
            <w:vAlign w:val="bottom"/>
          </w:tcPr>
          <w:p>
            <w:pPr>
              <w:jc w:val="center"/>
              <w:rPr>
                <w:rFonts w:ascii="宋体" w:hAnsi="宋体"/>
                <w:color w:val="000000"/>
                <w:sz w:val="20"/>
                <w:szCs w:val="20"/>
              </w:rPr>
            </w:pPr>
            <w:r>
              <w:rPr>
                <w:rFonts w:ascii="Times New Roman" w:cs="Times New Roman" w:hAnsi="Times New Roman" w:hint="eastAsia"/>
                <w:color w:val="000000"/>
                <w:sz w:val="20"/>
                <w:szCs w:val="20"/>
              </w:rPr>
              <w:t>2024</w:t>
            </w:r>
            <w:r>
              <w:rPr>
                <w:rFonts w:ascii="方正仿宋_GB2312" w:eastAsia="方正仿宋_GB2312" w:cs="方正仿宋_GB2312" w:hAnsi="方正仿宋_GB2312" w:hint="eastAsia"/>
                <w:color w:val="000000"/>
                <w:sz w:val="20"/>
                <w:szCs w:val="20"/>
              </w:rPr>
              <w:t>年度</w:t>
            </w:r>
          </w:p>
        </w:tc>
        <w:tc>
          <w:tcPr>
            <w:tcW w:w="1757" w:type="pct"/>
            <w:gridSpan w:val="3"/>
            <w:tcBorders>
              <w:top w:val="nil"/>
              <w:left w:val="nil"/>
              <w:bottom w:val="single" w:sz="4" w:space="0" w:color="auto"/>
              <w:right w:val="nil"/>
            </w:tcBorders>
            <w:noWrap/>
            <w:vAlign w:val="bottom"/>
          </w:tcPr>
          <w:p>
            <w:pPr>
              <w:jc w:val="right"/>
              <w:rPr>
                <w:rFonts w:ascii="宋体" w:hAnsi="宋体"/>
                <w:color w:val="000000"/>
                <w:sz w:val="20"/>
                <w:szCs w:val="20"/>
              </w:rPr>
            </w:pPr>
            <w:r>
              <w:rPr>
                <w:rFonts w:ascii="方正仿宋_GB2312" w:eastAsia="方正仿宋_GB2312" w:cs="方正仿宋_GB2312" w:hAnsi="方正仿宋_GB2312" w:hint="eastAsia"/>
                <w:color w:val="000000"/>
                <w:sz w:val="20"/>
                <w:szCs w:val="20"/>
              </w:rPr>
              <w:t>金额单位：万元</w:t>
            </w:r>
          </w:p>
        </w:tc>
      </w:tr>
      <w:tr>
        <w:trPr>
          <w:trHeight w:val="544"/>
          <w:gridAfter w:val="1"/>
          <w:wAfter w:w="35" w:type="dxa"/>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收入</w:t>
            </w:r>
          </w:p>
        </w:tc>
        <w:tc>
          <w:tcPr>
            <w:tcW w:w="2456" w:type="pct"/>
            <w:gridSpan w:val="4"/>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支出</w:t>
            </w: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项目</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行次</w:t>
            </w:r>
          </w:p>
        </w:tc>
        <w:tc>
          <w:tcPr>
            <w:tcW w:w="826" w:type="pct"/>
            <w:gridSpan w:val="2"/>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决算数</w:t>
            </w:r>
          </w:p>
        </w:tc>
        <w:tc>
          <w:tcPr>
            <w:tcW w:w="1361" w:type="pct"/>
            <w:gridSpan w:val="2"/>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项目</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行次</w:t>
            </w:r>
          </w:p>
        </w:tc>
        <w:tc>
          <w:tcPr>
            <w:tcW w:w="826" w:type="pct"/>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决算数</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栏次</w:t>
            </w:r>
          </w:p>
        </w:tc>
        <w:tc>
          <w:tcPr>
            <w:tcW w:w="267" w:type="pct"/>
            <w:tcBorders>
              <w:top w:val="nil"/>
              <w:left w:val="nil"/>
              <w:bottom w:val="single" w:sz="4" w:space="0" w:color="000000"/>
              <w:right w:val="single" w:sz="4" w:space="0" w:color="000000"/>
            </w:tcBorders>
            <w:noWrap/>
            <w:vAlign w:val="center"/>
          </w:tcPr>
          <w:p>
            <w:pPr>
              <w:jc w:val="center"/>
              <w:rPr>
                <w:rFonts w:ascii="宋体" w:hAnsi="宋体"/>
                <w:color w:val="000000"/>
                <w:sz w:val="20"/>
                <w:szCs w:val="20"/>
              </w:rPr>
            </w:pPr>
          </w:p>
        </w:tc>
        <w:tc>
          <w:tcPr>
            <w:tcW w:w="826" w:type="pct"/>
            <w:gridSpan w:val="2"/>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Times New Roman" w:cs="Times New Roman" w:hAnsi="Times New Roman" w:hint="eastAsia"/>
                <w:color w:val="000000"/>
                <w:sz w:val="20"/>
                <w:szCs w:val="20"/>
              </w:rPr>
              <w:t>1</w:t>
            </w:r>
          </w:p>
        </w:tc>
        <w:tc>
          <w:tcPr>
            <w:tcW w:w="1361" w:type="pct"/>
            <w:gridSpan w:val="2"/>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栏次</w:t>
            </w:r>
          </w:p>
        </w:tc>
        <w:tc>
          <w:tcPr>
            <w:tcW w:w="267" w:type="pct"/>
            <w:tcBorders>
              <w:top w:val="nil"/>
              <w:left w:val="nil"/>
              <w:bottom w:val="single" w:sz="4" w:space="0" w:color="000000"/>
              <w:right w:val="single" w:sz="4" w:space="0" w:color="000000"/>
            </w:tcBorders>
            <w:noWrap/>
            <w:vAlign w:val="center"/>
          </w:tcPr>
          <w:p>
            <w:pPr>
              <w:jc w:val="center"/>
              <w:rPr>
                <w:rFonts w:ascii="宋体" w:hAnsi="宋体"/>
                <w:color w:val="000000"/>
                <w:sz w:val="20"/>
                <w:szCs w:val="20"/>
              </w:rPr>
            </w:pPr>
          </w:p>
        </w:tc>
        <w:tc>
          <w:tcPr>
            <w:tcW w:w="826" w:type="pct"/>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Times New Roman" w:cs="Times New Roman" w:hAnsi="Times New Roman" w:hint="eastAsia"/>
                <w:color w:val="000000"/>
                <w:sz w:val="20"/>
                <w:szCs w:val="20"/>
              </w:rPr>
              <w:t>2</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一、一般公共预算财政拨款收入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宋体" w:hAnsi="宋体"/>
                <w:color w:val="000000"/>
                <w:sz w:val="20"/>
                <w:szCs w:val="20"/>
              </w:rPr>
              <w:t>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3,314.81</w:t>
            </w: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一、一般公共服务支出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32</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二、政府性基金预算财政拨款收入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30.00</w:t>
            </w: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二、外交支出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33</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三、国有资本经营预算财政拨款收入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三、国防支出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34</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四、上级补助收入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四、公共安全支出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35</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五、事业收入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五、教育支出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36</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六、经营收入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六、科学技术支出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37</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七、附属单位上缴收入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七、文化旅游体育与传媒支出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38</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3,314.81</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八、其他收入</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八、社会保障和就业支出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39</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九、卫生健康支出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十、节能环保支出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41</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十一、城乡社区支出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42</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十二、农林水支出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43</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十三、交通运输支出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44</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auto"/>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auto"/>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14</w:t>
            </w:r>
          </w:p>
        </w:tc>
        <w:tc>
          <w:tcPr>
            <w:tcW w:w="826" w:type="pct"/>
            <w:gridSpan w:val="2"/>
            <w:tcBorders>
              <w:top w:val="nil"/>
              <w:left w:val="nil"/>
              <w:bottom w:val="single" w:sz="4" w:space="0" w:color="auto"/>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auto"/>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十四、资源勘探工业信息等支出</w:t>
            </w:r>
          </w:p>
        </w:tc>
        <w:tc>
          <w:tcPr>
            <w:tcW w:w="267" w:type="pct"/>
            <w:tcBorders>
              <w:top w:val="nil"/>
              <w:left w:val="nil"/>
              <w:bottom w:val="single" w:sz="4" w:space="0" w:color="auto"/>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45</w:t>
            </w:r>
          </w:p>
        </w:tc>
        <w:tc>
          <w:tcPr>
            <w:tcW w:w="826" w:type="pct"/>
            <w:tcBorders>
              <w:top w:val="nil"/>
              <w:left w:val="nil"/>
              <w:bottom w:val="single" w:sz="4" w:space="0" w:color="auto"/>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46</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47</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48</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49</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50</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51</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21</w:t>
            </w:r>
          </w:p>
        </w:tc>
        <w:tc>
          <w:tcPr>
            <w:tcW w:w="826"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single" w:sz="4" w:space="0" w:color="auto"/>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52</w:t>
            </w:r>
          </w:p>
        </w:tc>
        <w:tc>
          <w:tcPr>
            <w:tcW w:w="826" w:type="pct"/>
            <w:tcBorders>
              <w:top w:val="single" w:sz="4" w:space="0" w:color="auto"/>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二十二、灾害防治及应急管理支出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53</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二十三、其他支出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54</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30.00</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二十四、债务还本支出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55</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二十五、债务付息支出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56</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二十六、抗疫特别国债安排的支出</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57</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本年收入合计</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c>
          <w:tcPr>
            <w:tcW w:w="1361" w:type="pct"/>
            <w:gridSpan w:val="2"/>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本年支出合计</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58</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使用非财政拨款结余（含专用结余）</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结余分配</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59</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年初结转和结余</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年末结转和结余</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60</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61</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总计</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c>
          <w:tcPr>
            <w:tcW w:w="1361" w:type="pct"/>
            <w:gridSpan w:val="2"/>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总计</w:t>
            </w:r>
          </w:p>
        </w:tc>
        <w:tc>
          <w:tcPr>
            <w:tcW w:w="26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62</w:t>
            </w:r>
          </w:p>
        </w:tc>
        <w:tc>
          <w:tcPr>
            <w:tcW w:w="82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r>
      <w:tr>
        <w:trPr>
          <w:trHeight w:val="308"/>
        </w:trPr>
        <w:tc>
          <w:tcPr>
            <w:tcW w:w="5000" w:type="pct"/>
            <w:gridSpan w:val="9"/>
            <w:tcBorders>
              <w:top w:val="nil"/>
              <w:left w:val="nil"/>
              <w:bottom w:val="nil"/>
              <w:right w:val="nil"/>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注：1.本表反映部门本年度的总收支和年末结转结余情况。</w:t>
            </w:r>
          </w:p>
          <w:p>
            <w:pPr>
              <w:widowControl/>
              <w:ind w:firstLineChars="200" w:firstLine="400"/>
              <w:jc w:val="left"/>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2.本套报表金额转换时可能存在尾数误差。</w:t>
            </w:r>
          </w:p>
        </w:tc>
      </w:tr>
    </w:tbl>
    <w:p>
      <w:pPr>
        <w:rPr>
          <w:rFonts w:ascii="仿宋_GB2312" w:eastAsia="仿宋_GB2312" w:hAnsi="宋体"/>
          <w:b/>
          <w:sz w:val="32"/>
          <w:szCs w:val="32"/>
        </w:rPr>
      </w:pPr>
    </w:p>
    <w:p>
      <w:pPr>
        <w:rPr>
          <w:rFonts w:ascii="仿宋_GB2312" w:eastAsia="仿宋_GB2312" w:hAnsi="宋体"/>
          <w:b/>
          <w:sz w:val="32"/>
          <w:szCs w:val="32"/>
        </w:rPr>
      </w:pPr>
      <w:r>
        <w:rPr>
          <w:rFonts w:ascii="仿宋_GB2312" w:eastAsia="仿宋_GB2312" w:hAnsi="宋体" w:hint="eastAsia"/>
          <w:b/>
          <w:sz w:val="32"/>
          <w:szCs w:val="32"/>
        </w:rPr>
        <w:br w:type="page"/>
      </w:r>
    </w:p>
    <w:tbl>
      <w:tblPr>
        <w:jc w:val="center"/>
        <w:tblW w:w="923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1040"/>
        <w:gridCol w:w="1160"/>
        <w:gridCol w:w="1037"/>
        <w:gridCol w:w="1037"/>
        <w:gridCol w:w="1037"/>
        <w:gridCol w:w="964"/>
        <w:gridCol w:w="367"/>
        <w:gridCol w:w="597"/>
        <w:gridCol w:w="1027"/>
        <w:gridCol w:w="964"/>
      </w:tblGrid>
      <w:tr>
        <w:trPr>
          <w:trHeight w:val="550"/>
        </w:trPr>
        <w:tc>
          <w:tcPr>
            <w:tcW w:w="9230" w:type="dxa"/>
            <w:gridSpan w:val="10"/>
            <w:tcBorders>
              <w:top w:val="nil"/>
              <w:left w:val="nil"/>
              <w:bottom w:val="nil"/>
              <w:right w:val="nil"/>
            </w:tcBorders>
            <w:noWrap/>
            <w:vAlign w:val="bottom"/>
          </w:tcPr>
          <w:p>
            <w:pPr>
              <w:widowControl/>
              <w:jc w:val="center"/>
              <w:textAlignment w:val="bottom"/>
              <w:rPr>
                <w:rFonts w:ascii="宋体" w:hAnsi="宋体"/>
                <w:color w:val="000000"/>
                <w:sz w:val="20"/>
                <w:szCs w:val="20"/>
              </w:rPr>
            </w:pPr>
            <w:r>
              <w:rPr>
                <w:rFonts w:ascii="方正仿宋_GB2312" w:eastAsia="方正仿宋_GB2312" w:cs="方正仿宋_GB2312" w:hAnsi="方正仿宋_GB2312" w:hint="eastAsia"/>
                <w:bCs/>
                <w:sz w:val="32"/>
                <w:szCs w:val="32"/>
              </w:rPr>
              <w:t>收入决算表</w:t>
            </w:r>
          </w:p>
        </w:tc>
      </w:tr>
      <w:tr>
        <w:trPr>
          <w:trHeight w:val="300"/>
        </w:trPr>
        <w:tc>
          <w:tcPr>
            <w:tcW w:w="9230" w:type="dxa"/>
            <w:gridSpan w:val="10"/>
            <w:tcBorders>
              <w:top w:val="nil"/>
              <w:left w:val="nil"/>
              <w:bottom w:val="nil"/>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公开</w:t>
            </w:r>
            <w:r>
              <w:rPr>
                <w:rFonts w:ascii="Times New Roman" w:cs="Times New Roman" w:hAnsi="Times New Roman" w:hint="eastAsia"/>
                <w:color w:val="000000"/>
                <w:sz w:val="20"/>
                <w:szCs w:val="20"/>
              </w:rPr>
              <w:t>02</w:t>
            </w:r>
            <w:r>
              <w:rPr>
                <w:rFonts w:ascii="方正仿宋_GB2312" w:eastAsia="方正仿宋_GB2312" w:cs="方正仿宋_GB2312" w:hAnsi="方正仿宋_GB2312" w:hint="eastAsia"/>
                <w:color w:val="000000"/>
                <w:sz w:val="20"/>
                <w:szCs w:val="20"/>
              </w:rPr>
              <w:t>表</w:t>
            </w:r>
          </w:p>
        </w:tc>
      </w:tr>
      <w:tr>
        <w:trPr>
          <w:trHeight w:val="300"/>
        </w:trPr>
        <w:tc>
          <w:tcPr>
            <w:tcW w:w="3237" w:type="dxa"/>
            <w:gridSpan w:val="3"/>
            <w:tcBorders>
              <w:top w:val="nil"/>
              <w:left w:val="nil"/>
              <w:bottom w:val="single" w:sz="4" w:space="0" w:color="auto"/>
              <w:right w:val="nil"/>
            </w:tcBorders>
            <w:noWrap/>
            <w:vAlign w:val="bottom"/>
          </w:tcPr>
          <w:p>
            <w:pP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 xml:space="preserve">部门（单位）：昌黎县黄金海岸旅游发展中心（本级）                                                                                                         </w:t>
            </w:r>
          </w:p>
        </w:tc>
        <w:tc>
          <w:tcPr>
            <w:tcW w:w="3405" w:type="dxa"/>
            <w:gridSpan w:val="4"/>
            <w:tcBorders>
              <w:top w:val="nil"/>
              <w:left w:val="nil"/>
              <w:bottom w:val="single" w:sz="4" w:space="0" w:color="auto"/>
              <w:right w:val="nil"/>
            </w:tcBorders>
            <w:noWrap/>
            <w:vAlign w:val="bottom"/>
          </w:tcPr>
          <w:p>
            <w:pPr>
              <w:jc w:val="center"/>
              <w:rPr>
                <w:rFonts w:ascii="方正仿宋_GB2312" w:eastAsia="方正仿宋_GB2312" w:cs="方正仿宋_GB2312" w:hAnsi="方正仿宋_GB2312"/>
                <w:color w:val="000000"/>
                <w:sz w:val="20"/>
                <w:szCs w:val="20"/>
              </w:rPr>
            </w:pPr>
            <w:r>
              <w:rPr>
                <w:rFonts w:ascii="Times New Roman" w:eastAsia="方正仿宋_GB2312" w:cs="Times New Roman" w:hAnsi="Times New Roman"/>
                <w:color w:val="000000"/>
                <w:sz w:val="20"/>
                <w:szCs w:val="20"/>
              </w:rPr>
              <w:t>202</w:t>
            </w:r>
            <w:r>
              <w:rPr>
                <w:rFonts w:ascii="Times New Roman" w:eastAsia="方正仿宋_GB2312" w:cs="Times New Roman" w:hAnsi="Times New Roman" w:hint="eastAsia"/>
                <w:color w:val="000000"/>
                <w:sz w:val="20"/>
                <w:szCs w:val="20"/>
              </w:rPr>
              <w:t>4</w:t>
            </w:r>
            <w:r>
              <w:rPr>
                <w:rFonts w:ascii="方正仿宋_GB2312" w:eastAsia="方正仿宋_GB2312" w:cs="方正仿宋_GB2312" w:hAnsi="方正仿宋_GB2312" w:hint="eastAsia"/>
                <w:color w:val="000000"/>
                <w:sz w:val="20"/>
                <w:szCs w:val="20"/>
              </w:rPr>
              <w:t>年度</w:t>
            </w:r>
          </w:p>
        </w:tc>
        <w:tc>
          <w:tcPr>
            <w:tcW w:w="2588" w:type="dxa"/>
            <w:gridSpan w:val="3"/>
            <w:tcBorders>
              <w:top w:val="nil"/>
              <w:left w:val="nil"/>
              <w:bottom w:val="single" w:sz="4" w:space="0" w:color="auto"/>
              <w:right w:val="nil"/>
            </w:tcBorders>
            <w:noWrap/>
            <w:vAlign w:val="bottom"/>
          </w:tcPr>
          <w:p>
            <w:pPr>
              <w:jc w:val="righ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金额单位：万元</w:t>
            </w:r>
          </w:p>
        </w:tc>
      </w:tr>
      <w:tr>
        <w:trPr>
          <w:trHeight w:val="510"/>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w:t>
            </w:r>
          </w:p>
        </w:tc>
        <w:tc>
          <w:tcPr>
            <w:tcW w:w="1037" w:type="dxa"/>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上级补助收入</w:t>
            </w:r>
          </w:p>
        </w:tc>
        <w:tc>
          <w:tcPr>
            <w:tcW w:w="964" w:type="dxa"/>
            <w:vMerge w:val="restart"/>
            <w:tcBorders>
              <w:top w:val="single" w:sz="4" w:space="0" w:color="auto"/>
              <w:left w:val="nil"/>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经营收入</w:t>
            </w:r>
          </w:p>
        </w:tc>
        <w:tc>
          <w:tcPr>
            <w:tcW w:w="1027" w:type="dxa"/>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其他收入</w:t>
            </w:r>
          </w:p>
        </w:tc>
      </w:tr>
      <w:tr>
        <w:trPr>
          <w:trHeight w:val="312"/>
        </w:trPr>
        <w:tc>
          <w:tcPr>
            <w:tcW w:w="1040" w:type="dxa"/>
            <w:vMerge w:val="restart"/>
            <w:tcBorders>
              <w:top w:val="nil"/>
              <w:left w:val="single" w:sz="4" w:space="0" w:color="000000"/>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科目名称</w:t>
            </w: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312"/>
        </w:trPr>
        <w:tc>
          <w:tcPr>
            <w:tcW w:w="1040" w:type="dxa"/>
            <w:vMerge/>
            <w:tcBorders>
              <w:top w:val="nil"/>
              <w:left w:val="single" w:sz="4" w:space="0" w:color="000000"/>
              <w:bottom w:val="single" w:sz="4" w:space="0" w:color="000000"/>
              <w:right w:val="single" w:sz="4" w:space="0" w:color="000000"/>
            </w:tcBorders>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312"/>
        </w:trPr>
        <w:tc>
          <w:tcPr>
            <w:tcW w:w="1040" w:type="dxa"/>
            <w:vMerge/>
            <w:tcBorders>
              <w:top w:val="nil"/>
              <w:left w:val="single" w:sz="4" w:space="0" w:color="000000"/>
              <w:bottom w:val="single" w:sz="4" w:space="0" w:color="000000"/>
              <w:right w:val="single" w:sz="4" w:space="0" w:color="000000"/>
            </w:tcBorders>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1037" w:type="dxa"/>
            <w:vMerge/>
            <w:tcBorders>
              <w:top w:val="single" w:sz="4" w:space="0" w:color="000000"/>
              <w:left w:val="nil"/>
              <w:bottom w:val="single" w:sz="4" w:space="0" w:color="000000"/>
              <w:right w:val="single" w:sz="4" w:space="0" w:color="000000"/>
            </w:tcBorders>
            <w:vAlign w:val="center"/>
          </w:tcPr>
          <w:p/>
        </w:tc>
        <w:tc>
          <w:tcPr>
            <w:tcW w:w="964" w:type="dxa"/>
            <w:vMerge/>
            <w:tcBorders>
              <w:left w:val="nil"/>
              <w:bottom w:val="single" w:sz="4" w:space="0" w:color="000000"/>
              <w:right w:val="single" w:sz="4" w:space="0" w:color="000000"/>
            </w:tcBorders>
            <w:vAlign w:val="center"/>
          </w:tcPr>
          <w:p/>
        </w:tc>
        <w:tc>
          <w:tcPr>
            <w:tcW w:w="964" w:type="dxa"/>
            <w:gridSpan w:val="2"/>
            <w:vMerge/>
            <w:tcBorders>
              <w:top w:val="single" w:sz="4" w:space="0" w:color="000000"/>
              <w:left w:val="nil"/>
              <w:bottom w:val="single" w:sz="4" w:space="0" w:color="000000"/>
              <w:right w:val="single" w:sz="4" w:space="0" w:color="000000"/>
            </w:tcBorders>
            <w:vAlign w:val="center"/>
          </w:tcPr>
          <w:p/>
        </w:tc>
        <w:tc>
          <w:tcPr>
            <w:tcW w:w="1027" w:type="dxa"/>
            <w:vMerge/>
            <w:tcBorders>
              <w:top w:val="single" w:sz="4" w:space="0" w:color="000000"/>
              <w:left w:val="nil"/>
              <w:bottom w:val="single" w:sz="4" w:space="0" w:color="000000"/>
              <w:right w:val="single" w:sz="4" w:space="0" w:color="000000"/>
            </w:tcBorders>
            <w:vAlign w:val="center"/>
          </w:tcPr>
          <w:p/>
        </w:tc>
        <w:tc>
          <w:tcPr>
            <w:tcW w:w="964" w:type="dxa"/>
            <w:vMerge/>
            <w:tcBorders>
              <w:top w:val="single" w:sz="4" w:space="0" w:color="000000"/>
              <w:left w:val="nil"/>
              <w:bottom w:val="single" w:sz="4" w:space="0" w:color="000000"/>
              <w:right w:val="single" w:sz="4" w:space="0" w:color="000000"/>
            </w:tcBorders>
            <w:vAlign w:val="center"/>
          </w:tcPr>
          <w:p/>
        </w:tc>
      </w:tr>
      <w:tr>
        <w:trPr>
          <w:trHeight w:val="454"/>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栏次</w:t>
            </w:r>
          </w:p>
        </w:tc>
        <w:tc>
          <w:tcPr>
            <w:tcW w:w="1037" w:type="dxa"/>
            <w:tcBorders>
              <w:top w:val="nil"/>
              <w:left w:val="nil"/>
              <w:bottom w:val="single" w:sz="4" w:space="0" w:color="000000"/>
              <w:right w:val="single" w:sz="4" w:space="0" w:color="000000"/>
            </w:tcBorders>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1</w:t>
            </w:r>
          </w:p>
        </w:tc>
        <w:tc>
          <w:tcPr>
            <w:tcW w:w="1037" w:type="dxa"/>
            <w:tcBorders>
              <w:top w:val="nil"/>
              <w:left w:val="nil"/>
              <w:bottom w:val="single" w:sz="4" w:space="0" w:color="000000"/>
              <w:right w:val="single" w:sz="4" w:space="0" w:color="000000"/>
            </w:tcBorders>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2</w:t>
            </w:r>
          </w:p>
        </w:tc>
        <w:tc>
          <w:tcPr>
            <w:tcW w:w="1037" w:type="dxa"/>
            <w:tcBorders>
              <w:top w:val="nil"/>
              <w:left w:val="nil"/>
              <w:bottom w:val="single" w:sz="4" w:space="0" w:color="000000"/>
              <w:right w:val="single" w:sz="4" w:space="0" w:color="000000"/>
            </w:tcBorders>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3</w:t>
            </w:r>
          </w:p>
        </w:tc>
        <w:tc>
          <w:tcPr>
            <w:tcW w:w="964" w:type="dxa"/>
            <w:tcBorders>
              <w:top w:val="nil"/>
              <w:left w:val="nil"/>
              <w:bottom w:val="single" w:sz="4" w:space="0" w:color="000000"/>
              <w:right w:val="single" w:sz="4" w:space="0" w:color="000000"/>
            </w:tcBorders>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5</w:t>
            </w:r>
          </w:p>
        </w:tc>
        <w:tc>
          <w:tcPr>
            <w:tcW w:w="1027" w:type="dxa"/>
            <w:tcBorders>
              <w:top w:val="nil"/>
              <w:left w:val="nil"/>
              <w:bottom w:val="single" w:sz="4" w:space="0" w:color="000000"/>
              <w:right w:val="single" w:sz="4" w:space="0" w:color="000000"/>
            </w:tcBorders>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6</w:t>
            </w:r>
          </w:p>
        </w:tc>
        <w:tc>
          <w:tcPr>
            <w:tcW w:w="964" w:type="dxa"/>
            <w:tcBorders>
              <w:top w:val="nil"/>
              <w:left w:val="nil"/>
              <w:bottom w:val="single" w:sz="4" w:space="0" w:color="000000"/>
              <w:right w:val="single" w:sz="4" w:space="0" w:color="000000"/>
            </w:tcBorders>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7</w:t>
            </w:r>
          </w:p>
        </w:tc>
      </w:tr>
      <w:tr>
        <w:trPr>
          <w:trHeight w:val="567"/>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合计</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3,344.81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3,344.81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207</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文化旅游体育与传媒支出</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3,314.81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3,314.81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20701</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文化和旅游</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3,314.81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3,314.81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2070199</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其他文化和旅游支出</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3,314.81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3,314.81</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229</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其他支出</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22904</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其他政府性基金及对应专项债务收入安排的支出</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2290402</w:t>
            </w:r>
          </w:p>
        </w:tc>
        <w:tc>
          <w:tcPr>
            <w:tcW w:w="1160"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spacing w:val="-2"/>
                <w:sz w:val="20"/>
                <w:szCs w:val="20"/>
              </w:rPr>
              <w:t>其他地方自行试点项目收益专项债券收入安排的支出</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103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9230" w:type="dxa"/>
            <w:gridSpan w:val="10"/>
            <w:tcBorders>
              <w:top w:val="nil"/>
              <w:left w:val="nil"/>
              <w:bottom w:val="nil"/>
              <w:right w:val="nil"/>
            </w:tcBorders>
            <w:noWrap/>
            <w:vAlign w:val="center"/>
          </w:tcPr>
          <w:p>
            <w:pPr>
              <w:widowControl/>
              <w:jc w:val="left"/>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注：本表反映部门本年度取得的各项收入情况。</w:t>
            </w:r>
          </w:p>
        </w:tc>
      </w:tr>
    </w:tbl>
    <w:p>
      <w:pPr>
        <w:rPr>
          <w:rFonts w:ascii="仿宋_GB2312" w:eastAsia="仿宋_GB2312" w:hAnsi="宋体"/>
          <w:b/>
          <w:sz w:val="32"/>
          <w:szCs w:val="32"/>
        </w:rPr>
      </w:pPr>
    </w:p>
    <w:p>
      <w:pPr>
        <w:rPr>
          <w:rFonts w:ascii="黑体" w:eastAsia="黑体" w:hAnsi="黑体"/>
          <w:bCs/>
          <w:sz w:val="32"/>
          <w:szCs w:val="32"/>
        </w:rPr>
      </w:pPr>
      <w:r>
        <w:rPr>
          <w:rFonts w:ascii="仿宋_GB2312" w:eastAsia="仿宋_GB2312" w:hAnsi="宋体" w:hint="eastAsia"/>
          <w:b/>
          <w:sz w:val="32"/>
          <w:szCs w:val="32"/>
        </w:rPr>
        <w:br w:type="page"/>
      </w:r>
    </w:p>
    <w:tbl>
      <w:tblPr>
        <w:jc w:val="center"/>
        <w:tblW w:w="5812"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1040"/>
        <w:gridCol w:w="1187"/>
        <w:gridCol w:w="1127"/>
        <w:gridCol w:w="127"/>
        <w:gridCol w:w="998"/>
        <w:gridCol w:w="1125"/>
        <w:gridCol w:w="499"/>
        <w:gridCol w:w="626"/>
        <w:gridCol w:w="1125"/>
        <w:gridCol w:w="1492"/>
      </w:tblGrid>
      <w:tr>
        <w:trPr>
          <w:trHeight w:val="550"/>
        </w:trPr>
        <w:tc>
          <w:tcPr>
            <w:tcW w:w="5000" w:type="pct"/>
            <w:gridSpan w:val="10"/>
            <w:tcBorders>
              <w:top w:val="nil"/>
              <w:left w:val="nil"/>
              <w:bottom w:val="nil"/>
              <w:right w:val="nil"/>
            </w:tcBorders>
            <w:noWrap/>
            <w:vAlign w:val="bottom"/>
          </w:tcPr>
          <w:p>
            <w:pPr>
              <w:jc w:val="center"/>
              <w:outlineLvl w:val="1"/>
              <w:rPr>
                <w:rFonts w:ascii="宋体" w:hAnsi="宋体"/>
                <w:color w:val="000000"/>
                <w:sz w:val="20"/>
                <w:szCs w:val="20"/>
              </w:rPr>
            </w:pPr>
            <w:r>
              <w:rPr>
                <w:rFonts w:ascii="方正仿宋_GB2312" w:eastAsia="方正仿宋_GB2312" w:cs="方正仿宋_GB2312" w:hAnsi="方正仿宋_GB2312" w:hint="eastAsia"/>
                <w:bCs/>
                <w:sz w:val="32"/>
                <w:szCs w:val="32"/>
              </w:rPr>
              <w:br w:type="page"/>
              <w:t>支出决算表</w:t>
            </w:r>
          </w:p>
        </w:tc>
      </w:tr>
      <w:tr>
        <w:trPr>
          <w:trHeight w:val="300"/>
        </w:trPr>
        <w:tc>
          <w:tcPr>
            <w:tcW w:w="5000" w:type="pct"/>
            <w:gridSpan w:val="10"/>
            <w:tcBorders>
              <w:top w:val="nil"/>
              <w:left w:val="nil"/>
              <w:bottom w:val="nil"/>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公开</w:t>
            </w:r>
            <w:r>
              <w:rPr>
                <w:rFonts w:ascii="Times New Roman" w:cs="Times New Roman" w:hAnsi="Times New Roman"/>
                <w:color w:val="000000"/>
                <w:sz w:val="20"/>
                <w:szCs w:val="20"/>
              </w:rPr>
              <w:t>03</w:t>
            </w:r>
            <w:r>
              <w:rPr>
                <w:rFonts w:ascii="方正仿宋_GB2312" w:eastAsia="方正仿宋_GB2312" w:cs="方正仿宋_GB2312" w:hAnsi="方正仿宋_GB2312" w:hint="eastAsia"/>
                <w:color w:val="000000"/>
                <w:sz w:val="20"/>
                <w:szCs w:val="20"/>
              </w:rPr>
              <w:t>表</w:t>
            </w:r>
          </w:p>
        </w:tc>
      </w:tr>
      <w:tr>
        <w:trPr>
          <w:trHeight w:val="300"/>
        </w:trPr>
        <w:tc>
          <w:tcPr>
            <w:tcW w:w="1862" w:type="pct"/>
            <w:gridSpan w:val="4"/>
            <w:tcBorders>
              <w:top w:val="nil"/>
              <w:left w:val="nil"/>
              <w:bottom w:val="single" w:sz="4" w:space="0" w:color="auto"/>
              <w:right w:val="nil"/>
            </w:tcBorders>
            <w:noWrap/>
            <w:vAlign w:val="bottom"/>
          </w:tcPr>
          <w:p>
            <w:pPr>
              <w:widowControl/>
              <w:jc w:val="lef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 xml:space="preserve">部门（单位）：昌黎县黄金海岸旅游发展中心（本级） </w:t>
            </w:r>
            <w:r>
              <w:rPr>
                <w:rFonts w:ascii="宋体" w:hAnsi="宋体" w:hint="eastAsia"/>
                <w:color w:val="000000"/>
                <w:sz w:val="20"/>
                <w:szCs w:val="20"/>
              </w:rPr>
              <w:t xml:space="preserve">                                                                                                         </w:t>
            </w:r>
          </w:p>
        </w:tc>
        <w:tc>
          <w:tcPr>
            <w:tcW w:w="1403" w:type="pct"/>
            <w:gridSpan w:val="3"/>
            <w:tcBorders>
              <w:top w:val="nil"/>
              <w:left w:val="nil"/>
              <w:bottom w:val="single" w:sz="4" w:space="0" w:color="auto"/>
              <w:right w:val="nil"/>
            </w:tcBorders>
            <w:noWrap/>
            <w:vAlign w:val="bottom"/>
          </w:tcPr>
          <w:p>
            <w:pPr>
              <w:widowControl/>
              <w:jc w:val="center"/>
              <w:textAlignment w:val="bottom"/>
              <w:rPr>
                <w:rFonts w:ascii="宋体" w:hAnsi="宋体"/>
                <w:color w:val="000000"/>
                <w:sz w:val="20"/>
                <w:szCs w:val="20"/>
              </w:rPr>
            </w:pPr>
            <w:r>
              <w:rPr>
                <w:rFonts w:ascii="Times New Roman" w:cs="Times New Roman" w:hAnsi="Times New Roman"/>
                <w:color w:val="000000"/>
                <w:sz w:val="20"/>
                <w:szCs w:val="20"/>
              </w:rPr>
              <w:t>202</w:t>
            </w:r>
            <w:r>
              <w:rPr>
                <w:rFonts w:ascii="Times New Roman" w:cs="Times New Roman" w:hAnsi="Times New Roman" w:hint="eastAsia"/>
                <w:color w:val="000000"/>
                <w:sz w:val="20"/>
                <w:szCs w:val="20"/>
              </w:rPr>
              <w:t>4</w:t>
            </w:r>
            <w:r>
              <w:rPr>
                <w:rFonts w:ascii="方正仿宋_GB2312" w:eastAsia="方正仿宋_GB2312" w:cs="方正仿宋_GB2312" w:hAnsi="方正仿宋_GB2312" w:hint="eastAsia"/>
                <w:color w:val="000000"/>
                <w:sz w:val="20"/>
                <w:szCs w:val="20"/>
              </w:rPr>
              <w:t>年度</w:t>
            </w:r>
          </w:p>
        </w:tc>
        <w:tc>
          <w:tcPr>
            <w:tcW w:w="1734" w:type="pct"/>
            <w:gridSpan w:val="3"/>
            <w:tcBorders>
              <w:top w:val="nil"/>
              <w:left w:val="nil"/>
              <w:bottom w:val="single" w:sz="4" w:space="0" w:color="auto"/>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 xml:space="preserve"> 金额单位：万元</w:t>
            </w:r>
          </w:p>
        </w:tc>
      </w:tr>
      <w:tr>
        <w:trPr>
          <w:trHeight w:val="510"/>
        </w:trPr>
        <w:tc>
          <w:tcPr>
            <w:tcW w:w="1191" w:type="pct"/>
            <w:gridSpan w:val="2"/>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w:t>
            </w:r>
          </w:p>
        </w:tc>
        <w:tc>
          <w:tcPr>
            <w:tcW w:w="603" w:type="pct"/>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本年支出合计</w:t>
            </w:r>
          </w:p>
        </w:tc>
        <w:tc>
          <w:tcPr>
            <w:tcW w:w="602" w:type="pct"/>
            <w:gridSpan w:val="2"/>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基本支出</w:t>
            </w:r>
          </w:p>
        </w:tc>
        <w:tc>
          <w:tcPr>
            <w:tcW w:w="602" w:type="pct"/>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项目支出</w:t>
            </w:r>
          </w:p>
        </w:tc>
        <w:tc>
          <w:tcPr>
            <w:tcW w:w="602" w:type="pct"/>
            <w:gridSpan w:val="2"/>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上缴上级支出</w:t>
            </w:r>
          </w:p>
        </w:tc>
        <w:tc>
          <w:tcPr>
            <w:tcW w:w="602" w:type="pct"/>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经营支出</w:t>
            </w:r>
          </w:p>
        </w:tc>
        <w:tc>
          <w:tcPr>
            <w:tcW w:w="795" w:type="pct"/>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对附属单位补助支出</w:t>
            </w:r>
          </w:p>
        </w:tc>
      </w:tr>
      <w:tr>
        <w:trPr>
          <w:trHeight w:val="312"/>
        </w:trPr>
        <w:tc>
          <w:tcPr>
            <w:tcW w:w="556" w:type="pct"/>
            <w:vMerge w:val="restart"/>
            <w:tcBorders>
              <w:top w:val="nil"/>
              <w:left w:val="single" w:sz="4" w:space="0" w:color="000000"/>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科目代码</w:t>
            </w:r>
          </w:p>
        </w:tc>
        <w:tc>
          <w:tcPr>
            <w:tcW w:w="635" w:type="pct"/>
            <w:vMerge w:val="restar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科目名称</w:t>
            </w: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312"/>
        </w:trPr>
        <w:tc>
          <w:tcPr>
            <w:tcW w:w="556" w:type="pct"/>
            <w:vMerge/>
            <w:tcBorders>
              <w:top w:val="nil"/>
              <w:left w:val="single" w:sz="4" w:space="0" w:color="000000"/>
              <w:bottom w:val="single" w:sz="4" w:space="0" w:color="000000"/>
              <w:right w:val="single" w:sz="4" w:space="0" w:color="000000"/>
            </w:tcBorders>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312"/>
        </w:trPr>
        <w:tc>
          <w:tcPr>
            <w:tcW w:w="556" w:type="pct"/>
            <w:vMerge/>
            <w:tcBorders>
              <w:top w:val="nil"/>
              <w:left w:val="single" w:sz="4" w:space="0" w:color="000000"/>
              <w:bottom w:val="single" w:sz="4" w:space="0" w:color="000000"/>
              <w:right w:val="single" w:sz="4" w:space="0" w:color="000000"/>
            </w:tcBorders>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602" w:type="pct"/>
            <w:gridSpan w:val="2"/>
            <w:vMerge/>
            <w:tcBorders>
              <w:top w:val="single" w:sz="4" w:space="0" w:color="000000"/>
              <w:left w:val="nil"/>
              <w:bottom w:val="single" w:sz="4" w:space="0" w:color="000000"/>
              <w:right w:val="single" w:sz="4" w:space="0" w:color="000000"/>
            </w:tcBorders>
            <w:vAlign w:val="center"/>
          </w:tcPr>
          <w:p/>
        </w:tc>
        <w:tc>
          <w:tcPr>
            <w:tcW w:w="602" w:type="pct"/>
            <w:vMerge/>
            <w:tcBorders>
              <w:top w:val="single" w:sz="4" w:space="0" w:color="000000"/>
              <w:left w:val="nil"/>
              <w:bottom w:val="single" w:sz="4" w:space="0" w:color="000000"/>
              <w:right w:val="single" w:sz="4" w:space="0" w:color="000000"/>
            </w:tcBorders>
            <w:vAlign w:val="center"/>
          </w:tcPr>
          <w:p/>
        </w:tc>
        <w:tc>
          <w:tcPr>
            <w:tcW w:w="795" w:type="pct"/>
            <w:vMerge/>
            <w:tcBorders>
              <w:top w:val="single" w:sz="4" w:space="0" w:color="000000"/>
              <w:left w:val="nil"/>
              <w:bottom w:val="single" w:sz="4" w:space="0" w:color="000000"/>
              <w:right w:val="single" w:sz="4" w:space="0" w:color="000000"/>
            </w:tcBorders>
            <w:vAlign w:val="center"/>
          </w:tcPr>
          <w:p/>
        </w:tc>
      </w:tr>
      <w:tr>
        <w:trPr>
          <w:trHeight w:val="454"/>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栏次</w:t>
            </w:r>
          </w:p>
        </w:tc>
        <w:tc>
          <w:tcPr>
            <w:tcW w:w="603" w:type="pct"/>
            <w:tcBorders>
              <w:top w:val="nil"/>
              <w:left w:val="nil"/>
              <w:bottom w:val="single" w:sz="4" w:space="0" w:color="000000"/>
              <w:right w:val="single" w:sz="4" w:space="0" w:color="000000"/>
            </w:tcBorders>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602" w:type="pct"/>
            <w:gridSpan w:val="2"/>
            <w:tcBorders>
              <w:top w:val="nil"/>
              <w:left w:val="nil"/>
              <w:bottom w:val="single" w:sz="4" w:space="0" w:color="000000"/>
              <w:right w:val="single" w:sz="4" w:space="0" w:color="000000"/>
            </w:tcBorders>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602" w:type="pct"/>
            <w:tcBorders>
              <w:top w:val="nil"/>
              <w:left w:val="nil"/>
              <w:bottom w:val="single" w:sz="4" w:space="0" w:color="000000"/>
              <w:right w:val="single" w:sz="4" w:space="0" w:color="000000"/>
            </w:tcBorders>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602" w:type="pct"/>
            <w:gridSpan w:val="2"/>
            <w:tcBorders>
              <w:top w:val="nil"/>
              <w:left w:val="nil"/>
              <w:bottom w:val="single" w:sz="4" w:space="0" w:color="000000"/>
              <w:right w:val="single" w:sz="4" w:space="0" w:color="000000"/>
            </w:tcBorders>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602" w:type="pct"/>
            <w:tcBorders>
              <w:top w:val="nil"/>
              <w:left w:val="nil"/>
              <w:bottom w:val="single" w:sz="4" w:space="0" w:color="000000"/>
              <w:right w:val="single" w:sz="4" w:space="0" w:color="000000"/>
            </w:tcBorders>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795" w:type="pct"/>
            <w:tcBorders>
              <w:top w:val="nil"/>
              <w:left w:val="nil"/>
              <w:bottom w:val="single" w:sz="4" w:space="0" w:color="000000"/>
              <w:right w:val="single" w:sz="4" w:space="0" w:color="000000"/>
            </w:tcBorders>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w:t>
            </w:r>
          </w:p>
        </w:tc>
      </w:tr>
      <w:tr>
        <w:trPr>
          <w:trHeight w:val="308"/>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合计</w:t>
            </w:r>
          </w:p>
        </w:tc>
        <w:tc>
          <w:tcPr>
            <w:tcW w:w="60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3,234.81</w:t>
            </w: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110.00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207</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文化旅游体育与传媒支出</w:t>
            </w:r>
          </w:p>
        </w:tc>
        <w:tc>
          <w:tcPr>
            <w:tcW w:w="60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3,314.81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3,234.81</w:t>
            </w: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80.00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20701</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文化和旅游</w:t>
            </w:r>
          </w:p>
        </w:tc>
        <w:tc>
          <w:tcPr>
            <w:tcW w:w="60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3,314.81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3,234.81</w:t>
            </w: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80.00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2070199</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其他文化和旅游支出</w:t>
            </w:r>
          </w:p>
        </w:tc>
        <w:tc>
          <w:tcPr>
            <w:tcW w:w="60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3,314.81</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3,234.81</w:t>
            </w: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80.00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229</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其他支出</w:t>
            </w:r>
          </w:p>
        </w:tc>
        <w:tc>
          <w:tcPr>
            <w:tcW w:w="60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22904</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其他政府性基金及对应专项债务收入安排的支出</w:t>
            </w:r>
          </w:p>
        </w:tc>
        <w:tc>
          <w:tcPr>
            <w:tcW w:w="60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2290402</w:t>
            </w:r>
          </w:p>
        </w:tc>
        <w:tc>
          <w:tcPr>
            <w:tcW w:w="635"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其他地方自行试点项目收益专项债券收入安排的支出</w:t>
            </w:r>
          </w:p>
        </w:tc>
        <w:tc>
          <w:tcPr>
            <w:tcW w:w="60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000" w:type="pct"/>
            <w:gridSpan w:val="10"/>
            <w:tcBorders>
              <w:top w:val="nil"/>
              <w:left w:val="nil"/>
              <w:bottom w:val="nil"/>
              <w:right w:val="nil"/>
            </w:tcBorders>
            <w:noWrap/>
            <w:vAlign w:val="center"/>
          </w:tcPr>
          <w:p>
            <w:pPr>
              <w:widowControl/>
              <w:jc w:val="left"/>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注：本表反映部门本年度各项支出情况。</w:t>
            </w:r>
          </w:p>
        </w:tc>
      </w:tr>
    </w:tbl>
    <w:p>
      <w:pPr>
        <w:rPr>
          <w:rFonts w:ascii="仿宋_GB2312" w:eastAsia="仿宋_GB2312" w:hAnsi="宋体"/>
          <w:b/>
          <w:sz w:val="32"/>
          <w:szCs w:val="32"/>
        </w:rPr>
      </w:pPr>
    </w:p>
    <w:p>
      <w:pPr>
        <w:rPr>
          <w:rFonts w:ascii="仿宋_GB2312" w:eastAsia="仿宋_GB2312" w:hAnsi="宋体"/>
          <w:b/>
          <w:sz w:val="32"/>
          <w:szCs w:val="32"/>
        </w:rPr>
      </w:pPr>
      <w:r>
        <w:rPr>
          <w:rFonts w:ascii="仿宋_GB2312" w:eastAsia="仿宋_GB2312" w:hAnsi="宋体" w:hint="eastAsia"/>
          <w:b/>
          <w:sz w:val="32"/>
          <w:szCs w:val="32"/>
        </w:rPr>
        <w:br w:type="page"/>
      </w:r>
    </w:p>
    <w:tbl>
      <w:tblPr>
        <w:jc w:val="left"/>
        <w:tblInd w:w="-1857" w:type="dxa"/>
        <w:tblW w:w="728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1983"/>
        <w:gridCol w:w="623"/>
        <w:gridCol w:w="1428"/>
        <w:gridCol w:w="1658"/>
        <w:gridCol w:w="438"/>
        <w:gridCol w:w="623"/>
        <w:gridCol w:w="459"/>
        <w:gridCol w:w="834"/>
        <w:gridCol w:w="1218"/>
        <w:gridCol w:w="1218"/>
        <w:gridCol w:w="1227"/>
      </w:tblGrid>
      <w:tr>
        <w:trPr>
          <w:trHeight w:val="550"/>
        </w:trPr>
        <w:tc>
          <w:tcPr>
            <w:tcW w:w="5000" w:type="pct"/>
            <w:gridSpan w:val="11"/>
            <w:tcBorders>
              <w:top w:val="nil"/>
              <w:left w:val="nil"/>
              <w:bottom w:val="nil"/>
              <w:right w:val="nil"/>
            </w:tcBorders>
            <w:noWrap/>
            <w:vAlign w:val="bottom"/>
          </w:tcPr>
          <w:p>
            <w:pPr>
              <w:widowControl/>
              <w:jc w:val="center"/>
              <w:textAlignment w:val="bottom"/>
              <w:rPr>
                <w:rFonts w:ascii="宋体" w:hAnsi="宋体"/>
                <w:color w:val="000000"/>
                <w:sz w:val="20"/>
                <w:szCs w:val="20"/>
              </w:rPr>
            </w:pPr>
            <w:r>
              <w:rPr>
                <w:rFonts w:ascii="方正仿宋_GB2312" w:eastAsia="方正仿宋_GB2312" w:cs="方正仿宋_GB2312" w:hAnsi="方正仿宋_GB2312" w:hint="eastAsia"/>
                <w:bCs/>
                <w:sz w:val="32"/>
                <w:szCs w:val="32"/>
              </w:rPr>
              <w:t>财政拨款收入支出决算总表</w:t>
            </w:r>
          </w:p>
        </w:tc>
      </w:tr>
      <w:tr>
        <w:trPr>
          <w:trHeight w:val="300"/>
        </w:trPr>
        <w:tc>
          <w:tcPr>
            <w:tcW w:w="5000" w:type="pct"/>
            <w:gridSpan w:val="11"/>
            <w:tcBorders>
              <w:top w:val="nil"/>
              <w:left w:val="nil"/>
              <w:bottom w:val="nil"/>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公开04表</w:t>
            </w:r>
          </w:p>
        </w:tc>
      </w:tr>
      <w:tr>
        <w:trPr>
          <w:trHeight w:val="300"/>
        </w:trPr>
        <w:tc>
          <w:tcPr>
            <w:tcW w:w="2431" w:type="pct"/>
            <w:gridSpan w:val="4"/>
            <w:tcBorders>
              <w:top w:val="nil"/>
              <w:left w:val="nil"/>
              <w:bottom w:val="single" w:sz="4" w:space="0" w:color="auto"/>
              <w:right w:val="nil"/>
            </w:tcBorders>
            <w:noWrap/>
            <w:vAlign w:val="bottom"/>
          </w:tcPr>
          <w:p>
            <w:pPr>
              <w:rPr>
                <w:rFonts w:ascii="仿宋" w:eastAsia="仿宋" w:cs="仿宋" w:hAnsi="仿宋"/>
                <w:color w:val="000000"/>
                <w:sz w:val="20"/>
                <w:szCs w:val="20"/>
              </w:rPr>
            </w:pPr>
            <w:r>
              <w:rPr>
                <w:rFonts w:ascii="方正仿宋_GB2312" w:eastAsia="方正仿宋_GB2312" w:cs="方正仿宋_GB2312" w:hAnsi="方正仿宋_GB2312" w:hint="eastAsia"/>
                <w:color w:val="000000"/>
                <w:sz w:val="20"/>
                <w:szCs w:val="20"/>
              </w:rPr>
              <w:t xml:space="preserve">部门（单位）：昌黎县黄金海岸旅游发展中心（本级） </w:t>
            </w:r>
            <w:r>
              <w:rPr>
                <w:rFonts w:ascii="宋体" w:hAnsi="宋体" w:hint="eastAsia"/>
                <w:color w:val="000000"/>
                <w:sz w:val="20"/>
                <w:szCs w:val="20"/>
              </w:rPr>
              <w:t xml:space="preserve">                                                                                                   </w:t>
            </w:r>
          </w:p>
        </w:tc>
        <w:tc>
          <w:tcPr>
            <w:tcW w:w="649" w:type="pct"/>
            <w:gridSpan w:val="3"/>
            <w:tcBorders>
              <w:top w:val="nil"/>
              <w:left w:val="nil"/>
              <w:bottom w:val="single" w:sz="4" w:space="0" w:color="auto"/>
              <w:right w:val="nil"/>
            </w:tcBorders>
            <w:noWrap/>
            <w:vAlign w:val="bottom"/>
          </w:tcPr>
          <w:p>
            <w:pPr>
              <w:jc w:val="center"/>
              <w:rPr>
                <w:rFonts w:ascii="宋体" w:hAnsi="宋体"/>
                <w:color w:val="000000"/>
                <w:sz w:val="20"/>
                <w:szCs w:val="20"/>
              </w:rPr>
            </w:pPr>
            <w:r>
              <w:rPr>
                <w:rFonts w:ascii="Times New Roman" w:cs="Times New Roman" w:hAnsi="Times New Roman"/>
                <w:color w:val="000000"/>
                <w:sz w:val="20"/>
                <w:szCs w:val="20"/>
              </w:rPr>
              <w:t>202</w:t>
            </w:r>
            <w:r>
              <w:rPr>
                <w:rFonts w:ascii="Times New Roman" w:cs="Times New Roman" w:hAnsi="Times New Roman" w:hint="eastAsia"/>
                <w:color w:val="000000"/>
                <w:sz w:val="20"/>
                <w:szCs w:val="20"/>
              </w:rPr>
              <w:t>4</w:t>
            </w:r>
            <w:r>
              <w:rPr>
                <w:rFonts w:ascii="方正仿宋_GB2312" w:eastAsia="方正仿宋_GB2312" w:cs="方正仿宋_GB2312" w:hAnsi="方正仿宋_GB2312" w:hint="eastAsia"/>
                <w:color w:val="000000"/>
                <w:sz w:val="20"/>
                <w:szCs w:val="20"/>
              </w:rPr>
              <w:t>年度</w:t>
            </w:r>
          </w:p>
        </w:tc>
        <w:tc>
          <w:tcPr>
            <w:tcW w:w="1919" w:type="pct"/>
            <w:gridSpan w:val="4"/>
            <w:tcBorders>
              <w:top w:val="nil"/>
              <w:left w:val="nil"/>
              <w:bottom w:val="single" w:sz="4" w:space="0" w:color="auto"/>
              <w:right w:val="nil"/>
            </w:tcBorders>
            <w:noWrap/>
            <w:vAlign w:val="bottom"/>
          </w:tcPr>
          <w:p>
            <w:pPr>
              <w:jc w:val="right"/>
              <w:rPr>
                <w:rFonts w:ascii="宋体" w:hAnsi="宋体"/>
                <w:color w:val="000000"/>
                <w:sz w:val="20"/>
                <w:szCs w:val="20"/>
              </w:rPr>
            </w:pPr>
            <w:r>
              <w:rPr>
                <w:rFonts w:ascii="方正仿宋_GB2312" w:eastAsia="方正仿宋_GB2312" w:cs="方正仿宋_GB2312" w:hAnsi="方正仿宋_GB2312" w:hint="eastAsia"/>
                <w:color w:val="000000"/>
                <w:sz w:val="20"/>
                <w:szCs w:val="20"/>
              </w:rPr>
              <w:t>金额单位：万元</w:t>
            </w:r>
          </w:p>
        </w:tc>
      </w:tr>
      <w:tr>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收入</w:t>
            </w:r>
          </w:p>
        </w:tc>
        <w:tc>
          <w:tcPr>
            <w:tcW w:w="3276" w:type="pct"/>
            <w:gridSpan w:val="8"/>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支出</w:t>
            </w:r>
          </w:p>
        </w:tc>
      </w:tr>
      <w:tr>
        <w:trPr>
          <w:trHeight w:val="312"/>
        </w:trPr>
        <w:tc>
          <w:tcPr>
            <w:tcW w:w="847" w:type="pct"/>
            <w:vMerge w:val="restart"/>
            <w:tcBorders>
              <w:top w:val="nil"/>
              <w:left w:val="single" w:sz="4" w:space="0" w:color="000000"/>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    目</w:t>
            </w:r>
          </w:p>
        </w:tc>
        <w:tc>
          <w:tcPr>
            <w:tcW w:w="266" w:type="pct"/>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行次</w:t>
            </w:r>
          </w:p>
        </w:tc>
        <w:tc>
          <w:tcPr>
            <w:tcW w:w="609" w:type="pct"/>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金额</w:t>
            </w:r>
          </w:p>
        </w:tc>
        <w:tc>
          <w:tcPr>
            <w:tcW w:w="895" w:type="pct"/>
            <w:gridSpan w:val="2"/>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w:t>
            </w:r>
          </w:p>
        </w:tc>
        <w:tc>
          <w:tcPr>
            <w:tcW w:w="266" w:type="pct"/>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行次</w:t>
            </w:r>
          </w:p>
        </w:tc>
        <w:tc>
          <w:tcPr>
            <w:tcW w:w="552" w:type="pct"/>
            <w:gridSpan w:val="2"/>
            <w:vMerge w:val="restart"/>
            <w:tcBorders>
              <w:top w:val="nil"/>
              <w:left w:val="nil"/>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合计</w:t>
            </w:r>
          </w:p>
        </w:tc>
        <w:tc>
          <w:tcPr>
            <w:tcW w:w="520" w:type="pct"/>
            <w:vMerge w:val="restart"/>
            <w:tcBorders>
              <w:top w:val="nil"/>
              <w:left w:val="nil"/>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一般公共预算财政拨款</w:t>
            </w:r>
          </w:p>
        </w:tc>
        <w:tc>
          <w:tcPr>
            <w:tcW w:w="520" w:type="pct"/>
            <w:vMerge w:val="restart"/>
            <w:tcBorders>
              <w:top w:val="nil"/>
              <w:left w:val="nil"/>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政府性基金预算财政拨款</w:t>
            </w:r>
          </w:p>
        </w:tc>
        <w:tc>
          <w:tcPr>
            <w:tcW w:w="520" w:type="pct"/>
            <w:vMerge w:val="restart"/>
            <w:tcBorders>
              <w:top w:val="nil"/>
              <w:left w:val="nil"/>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国有资本经营预算财政拨款</w:t>
            </w:r>
          </w:p>
        </w:tc>
      </w:tr>
      <w:tr>
        <w:trPr>
          <w:trHeight w:val="312"/>
        </w:trPr>
        <w:tc>
          <w:tcPr>
            <w:tcW w:w="847" w:type="pct"/>
            <w:vMerge/>
            <w:tcBorders>
              <w:top w:val="nil"/>
              <w:left w:val="single" w:sz="4" w:space="0" w:color="000000"/>
              <w:bottom w:val="single" w:sz="4" w:space="0" w:color="000000"/>
              <w:right w:val="single" w:sz="4" w:space="0" w:color="000000"/>
            </w:tcBorders>
            <w:vAlign w:val="center"/>
          </w:tcPr>
          <w:p/>
        </w:tc>
        <w:tc>
          <w:tcPr>
            <w:tcW w:w="266" w:type="pct"/>
            <w:vMerge/>
            <w:tcBorders>
              <w:top w:val="nil"/>
              <w:left w:val="nil"/>
              <w:bottom w:val="single" w:sz="4" w:space="0" w:color="000000"/>
              <w:right w:val="single" w:sz="4" w:space="0" w:color="000000"/>
            </w:tcBorders>
            <w:vAlign w:val="center"/>
          </w:tcPr>
          <w:p/>
        </w:tc>
        <w:tc>
          <w:tcPr>
            <w:tcW w:w="609" w:type="pct"/>
            <w:vMerge/>
            <w:tcBorders>
              <w:top w:val="nil"/>
              <w:left w:val="nil"/>
              <w:bottom w:val="single" w:sz="4" w:space="0" w:color="000000"/>
              <w:right w:val="single" w:sz="4" w:space="0" w:color="000000"/>
            </w:tcBorders>
            <w:vAlign w:val="center"/>
          </w:tcPr>
          <w:p/>
        </w:tc>
        <w:tc>
          <w:tcPr>
            <w:tcW w:w="895" w:type="pct"/>
            <w:gridSpan w:val="2"/>
            <w:vMerge/>
            <w:tcBorders>
              <w:top w:val="nil"/>
              <w:left w:val="nil"/>
              <w:bottom w:val="single" w:sz="4" w:space="0" w:color="000000"/>
              <w:right w:val="single" w:sz="4" w:space="0" w:color="000000"/>
            </w:tcBorders>
            <w:vAlign w:val="center"/>
          </w:tcPr>
          <w:p/>
        </w:tc>
        <w:tc>
          <w:tcPr>
            <w:tcW w:w="266" w:type="pct"/>
            <w:vMerge/>
            <w:tcBorders>
              <w:top w:val="nil"/>
              <w:left w:val="nil"/>
              <w:bottom w:val="single" w:sz="4" w:space="0" w:color="000000"/>
              <w:right w:val="single" w:sz="4" w:space="0" w:color="000000"/>
            </w:tcBorders>
            <w:vAlign w:val="center"/>
          </w:tcPr>
          <w:p/>
        </w:tc>
        <w:tc>
          <w:tcPr>
            <w:tcW w:w="552" w:type="pct"/>
            <w:gridSpan w:val="2"/>
            <w:vMerge/>
            <w:tcBorders>
              <w:left w:val="nil"/>
              <w:bottom w:val="single" w:sz="4" w:space="0" w:color="000000"/>
              <w:right w:val="single" w:sz="8" w:space="0" w:color="000000"/>
            </w:tcBorders>
            <w:vAlign w:val="center"/>
          </w:tcPr>
          <w:p/>
        </w:tc>
        <w:tc>
          <w:tcPr>
            <w:tcW w:w="520" w:type="pct"/>
            <w:vMerge/>
            <w:tcBorders>
              <w:left w:val="nil"/>
              <w:bottom w:val="single" w:sz="4" w:space="0" w:color="000000"/>
              <w:right w:val="single" w:sz="8" w:space="0" w:color="000000"/>
            </w:tcBorders>
            <w:vAlign w:val="center"/>
          </w:tcPr>
          <w:p/>
        </w:tc>
        <w:tc>
          <w:tcPr>
            <w:tcW w:w="520" w:type="pct"/>
            <w:vMerge/>
            <w:tcBorders>
              <w:left w:val="nil"/>
              <w:bottom w:val="single" w:sz="4" w:space="0" w:color="000000"/>
              <w:right w:val="single" w:sz="8" w:space="0" w:color="000000"/>
            </w:tcBorders>
            <w:vAlign w:val="center"/>
          </w:tcPr>
          <w:p/>
        </w:tc>
        <w:tc>
          <w:tcPr>
            <w:tcW w:w="520" w:type="pct"/>
            <w:vMerge/>
            <w:tcBorders>
              <w:left w:val="nil"/>
              <w:bottom w:val="single" w:sz="4" w:space="0" w:color="000000"/>
              <w:right w:val="single" w:sz="8" w:space="0" w:color="000000"/>
            </w:tcBorders>
            <w:vAlign w:val="center"/>
          </w:tc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栏    次</w:t>
            </w:r>
          </w:p>
        </w:tc>
        <w:tc>
          <w:tcPr>
            <w:tcW w:w="266" w:type="pct"/>
            <w:tcBorders>
              <w:top w:val="nil"/>
              <w:left w:val="nil"/>
              <w:bottom w:val="single" w:sz="4" w:space="0" w:color="000000"/>
              <w:right w:val="single" w:sz="4" w:space="0" w:color="000000"/>
            </w:tcBorders>
            <w:noWrap/>
            <w:vAlign w:val="center"/>
          </w:tcPr>
          <w:p>
            <w:pPr>
              <w:jc w:val="center"/>
              <w:rPr>
                <w:rFonts w:ascii="宋体" w:hAnsi="宋体"/>
                <w:color w:val="000000"/>
                <w:sz w:val="20"/>
                <w:szCs w:val="20"/>
              </w:rPr>
            </w:pPr>
          </w:p>
        </w:tc>
        <w:tc>
          <w:tcPr>
            <w:tcW w:w="609" w:type="pct"/>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1</w:t>
            </w:r>
          </w:p>
        </w:tc>
        <w:tc>
          <w:tcPr>
            <w:tcW w:w="895" w:type="pct"/>
            <w:gridSpan w:val="2"/>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栏    次</w:t>
            </w:r>
          </w:p>
        </w:tc>
        <w:tc>
          <w:tcPr>
            <w:tcW w:w="266" w:type="pct"/>
            <w:tcBorders>
              <w:top w:val="nil"/>
              <w:left w:val="nil"/>
              <w:bottom w:val="single" w:sz="4" w:space="0" w:color="000000"/>
              <w:right w:val="single" w:sz="4" w:space="0" w:color="000000"/>
            </w:tcBorders>
            <w:noWrap/>
            <w:vAlign w:val="center"/>
          </w:tcPr>
          <w:p>
            <w:pPr>
              <w:jc w:val="center"/>
              <w:rPr>
                <w:rFonts w:ascii="宋体" w:hAnsi="宋体"/>
                <w:color w:val="000000"/>
                <w:sz w:val="20"/>
                <w:szCs w:val="20"/>
              </w:rPr>
            </w:pPr>
          </w:p>
        </w:tc>
        <w:tc>
          <w:tcPr>
            <w:tcW w:w="552" w:type="pct"/>
            <w:gridSpan w:val="2"/>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2</w:t>
            </w:r>
          </w:p>
        </w:tc>
        <w:tc>
          <w:tcPr>
            <w:tcW w:w="520" w:type="pct"/>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3</w:t>
            </w:r>
          </w:p>
        </w:tc>
        <w:tc>
          <w:tcPr>
            <w:tcW w:w="520" w:type="pct"/>
            <w:tcBorders>
              <w:top w:val="nil"/>
              <w:left w:val="nil"/>
              <w:bottom w:val="single" w:sz="4" w:space="0" w:color="000000"/>
              <w:right w:val="single" w:sz="4" w:space="0" w:color="000000"/>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4</w:t>
            </w:r>
          </w:p>
        </w:tc>
        <w:tc>
          <w:tcPr>
            <w:tcW w:w="520" w:type="pct"/>
            <w:tcBorders>
              <w:top w:val="nil"/>
              <w:left w:val="nil"/>
              <w:bottom w:val="single" w:sz="4" w:space="0" w:color="000000"/>
              <w:right w:val="single" w:sz="8" w:space="0" w:color="000000"/>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5</w:t>
            </w: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一、一般公共预算财政拨款</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3,314.81</w:t>
            </w: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一、一般公共服务支出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二、政府性基金预算财政拨款</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30.00</w:t>
            </w: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二、外交支出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34</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三、国有资本经营预算财政拨款</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三、国防支出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35</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四、公共安全支出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36</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五、教育支出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六、科学技术支出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七、文化旅游体育与传媒支出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3,314.81</w:t>
            </w: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3,314.81</w:t>
            </w: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八、社会保障和就业支出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九、卫生健康支出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十、节能环保支出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十一、城乡社区支出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auto"/>
              <w:right w:val="single" w:sz="4" w:space="0" w:color="000000"/>
            </w:tcBorders>
            <w:noWrap/>
            <w:vAlign w:val="center"/>
          </w:tcPr>
          <w:p>
            <w:pPr>
              <w:jc w:val="left"/>
              <w:rPr>
                <w:rFonts w:ascii="宋体" w:hAnsi="宋体"/>
                <w:color w:val="000000"/>
                <w:sz w:val="20"/>
                <w:szCs w:val="20"/>
              </w:rPr>
            </w:pPr>
          </w:p>
        </w:tc>
        <w:tc>
          <w:tcPr>
            <w:tcW w:w="266" w:type="pct"/>
            <w:tcBorders>
              <w:top w:val="nil"/>
              <w:left w:val="nil"/>
              <w:bottom w:val="single" w:sz="4" w:space="0" w:color="auto"/>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609" w:type="pct"/>
            <w:tcBorders>
              <w:top w:val="nil"/>
              <w:left w:val="nil"/>
              <w:bottom w:val="single" w:sz="4" w:space="0" w:color="auto"/>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auto"/>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十二、农林水支出</w:t>
            </w:r>
          </w:p>
        </w:tc>
        <w:tc>
          <w:tcPr>
            <w:tcW w:w="266" w:type="pct"/>
            <w:tcBorders>
              <w:top w:val="nil"/>
              <w:left w:val="nil"/>
              <w:bottom w:val="single" w:sz="4" w:space="0" w:color="auto"/>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44</w:t>
            </w:r>
          </w:p>
        </w:tc>
        <w:tc>
          <w:tcPr>
            <w:tcW w:w="552" w:type="pct"/>
            <w:gridSpan w:val="2"/>
            <w:tcBorders>
              <w:top w:val="nil"/>
              <w:left w:val="nil"/>
              <w:bottom w:val="single" w:sz="4" w:space="0" w:color="auto"/>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auto"/>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auto"/>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auto"/>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14</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15</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16</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17</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18</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19</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20</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21</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22</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30.00</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30.00</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hAnsi="宋体"/>
                <w:color w:val="000000"/>
                <w:sz w:val="20"/>
                <w:szCs w:val="20"/>
              </w:rPr>
            </w:pPr>
          </w:p>
        </w:tc>
        <w:tc>
          <w:tcPr>
            <w:tcW w:w="266" w:type="pct"/>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24</w:t>
            </w:r>
          </w:p>
        </w:tc>
        <w:tc>
          <w:tcPr>
            <w:tcW w:w="609" w:type="pct"/>
            <w:tcBorders>
              <w:top w:val="single" w:sz="4" w:space="0" w:color="auto"/>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single" w:sz="4" w:space="0" w:color="auto"/>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56</w:t>
            </w:r>
          </w:p>
        </w:tc>
        <w:tc>
          <w:tcPr>
            <w:tcW w:w="552"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single" w:sz="4" w:space="0" w:color="auto"/>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hAnsi="宋体"/>
                <w:b/>
                <w:bCs/>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二十五、债务付息支出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26</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二十六、抗疫特别国债安排的支出</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本年收入合计</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c>
          <w:tcPr>
            <w:tcW w:w="895" w:type="pct"/>
            <w:gridSpan w:val="2"/>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本年支出合计</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59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3,314.81</w:t>
            </w: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30.00</w:t>
            </w:r>
          </w:p>
        </w:tc>
        <w:tc>
          <w:tcPr>
            <w:tcW w:w="520" w:type="pct"/>
            <w:tcBorders>
              <w:top w:val="nil"/>
              <w:left w:val="nil"/>
              <w:bottom w:val="single" w:sz="4"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年初财政拨款结转和结余</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28</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年末财政拨款结转和结余</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一、一般公共预算财政拨款</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29</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lef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二、政府性基金预算财政拨款</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30</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lef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三、国有资本经营预算财政拨款</w:t>
            </w: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31</w:t>
            </w:r>
          </w:p>
        </w:tc>
        <w:tc>
          <w:tcPr>
            <w:tcW w:w="60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pPr>
              <w:jc w:val="left"/>
              <w:rPr>
                <w:rFonts w:ascii="Times New Roman" w:cs="Times New Roman" w:hAnsi="Times New Roman"/>
                <w:color w:val="000000"/>
                <w:sz w:val="20"/>
                <w:szCs w:val="20"/>
              </w:rPr>
            </w:pPr>
          </w:p>
        </w:tc>
      </w:tr>
      <w:tr>
        <w:trPr>
          <w:trHeight w:val="308"/>
        </w:trPr>
        <w:tc>
          <w:tcPr>
            <w:tcW w:w="847" w:type="pct"/>
            <w:tcBorders>
              <w:top w:val="nil"/>
              <w:left w:val="single" w:sz="4" w:space="0" w:color="000000"/>
              <w:bottom w:val="single" w:sz="8"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总计</w:t>
            </w:r>
          </w:p>
        </w:tc>
        <w:tc>
          <w:tcPr>
            <w:tcW w:w="266" w:type="pct"/>
            <w:tcBorders>
              <w:top w:val="nil"/>
              <w:left w:val="nil"/>
              <w:bottom w:val="single" w:sz="8"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32</w:t>
            </w:r>
          </w:p>
        </w:tc>
        <w:tc>
          <w:tcPr>
            <w:tcW w:w="609" w:type="pct"/>
            <w:tcBorders>
              <w:top w:val="nil"/>
              <w:left w:val="nil"/>
              <w:bottom w:val="single" w:sz="8"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c>
          <w:tcPr>
            <w:tcW w:w="895" w:type="pct"/>
            <w:gridSpan w:val="2"/>
            <w:tcBorders>
              <w:top w:val="nil"/>
              <w:left w:val="nil"/>
              <w:bottom w:val="single" w:sz="8"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b/>
                <w:bCs/>
                <w:color w:val="000000"/>
                <w:sz w:val="20"/>
                <w:szCs w:val="20"/>
              </w:rPr>
            </w:pPr>
            <w:r>
              <w:rPr>
                <w:rFonts w:ascii="方正仿宋_GB2312" w:eastAsia="方正仿宋_GB2312" w:cs="方正仿宋_GB2312" w:hAnsi="方正仿宋_GB2312" w:hint="eastAsia"/>
                <w:b/>
                <w:bCs/>
                <w:color w:val="000000"/>
                <w:sz w:val="20"/>
                <w:szCs w:val="20"/>
              </w:rPr>
              <w:t>总计</w:t>
            </w:r>
          </w:p>
        </w:tc>
        <w:tc>
          <w:tcPr>
            <w:tcW w:w="266" w:type="pct"/>
            <w:tcBorders>
              <w:top w:val="nil"/>
              <w:left w:val="nil"/>
              <w:bottom w:val="single" w:sz="8" w:space="0" w:color="000000"/>
              <w:right w:val="single" w:sz="4" w:space="0" w:color="000000"/>
            </w:tcBorders>
            <w:noWrap/>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sz w:val="20"/>
                <w:szCs w:val="20"/>
              </w:rPr>
              <w:t>64</w:t>
            </w:r>
          </w:p>
        </w:tc>
        <w:tc>
          <w:tcPr>
            <w:tcW w:w="552" w:type="pct"/>
            <w:gridSpan w:val="2"/>
            <w:tcBorders>
              <w:top w:val="nil"/>
              <w:left w:val="nil"/>
              <w:bottom w:val="single" w:sz="8"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3,344.81</w:t>
            </w:r>
          </w:p>
        </w:tc>
        <w:tc>
          <w:tcPr>
            <w:tcW w:w="520" w:type="pct"/>
            <w:tcBorders>
              <w:top w:val="nil"/>
              <w:left w:val="nil"/>
              <w:bottom w:val="single" w:sz="8" w:space="0" w:color="000000"/>
              <w:right w:val="single" w:sz="4" w:space="0" w:color="000000"/>
            </w:tcBorders>
            <w:noWrap/>
            <w:vAlign w:val="center"/>
          </w:tcPr>
          <w:p>
            <w:pPr>
              <w:jc w:val="right"/>
              <w:rPr>
                <w:rFonts w:ascii="Times New Roman" w:cs="Times New Roman" w:hAnsi="Times New Roman"/>
                <w:sz w:val="20"/>
                <w:szCs w:val="20"/>
              </w:rPr>
            </w:pPr>
          </w:p>
          <w:p>
            <w:pPr>
              <w:jc w:val="right"/>
              <w:rPr>
                <w:rFonts w:ascii="Times New Roman" w:cs="Times New Roman" w:hAnsi="Times New Roman"/>
                <w:sz w:val="20"/>
                <w:szCs w:val="20"/>
              </w:rPr>
            </w:pPr>
            <w:r>
              <w:rPr>
                <w:rFonts w:ascii="Times New Roman" w:cs="Times New Roman" w:hAnsi="Times New Roman"/>
                <w:sz w:val="20"/>
                <w:szCs w:val="20"/>
              </w:rPr>
              <w:t>3,314.81</w:t>
            </w:r>
          </w:p>
          <w:p>
            <w:pPr>
              <w:jc w:val="right"/>
              <w:rPr>
                <w:rFonts w:ascii="Times New Roman" w:cs="Times New Roman" w:hAnsi="Times New Roman"/>
                <w:color w:val="000000"/>
                <w:sz w:val="20"/>
                <w:szCs w:val="20"/>
              </w:rPr>
            </w:pPr>
          </w:p>
        </w:tc>
        <w:tc>
          <w:tcPr>
            <w:tcW w:w="520" w:type="pct"/>
            <w:tcBorders>
              <w:top w:val="nil"/>
              <w:left w:val="nil"/>
              <w:bottom w:val="single" w:sz="8"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30.00</w:t>
            </w:r>
          </w:p>
        </w:tc>
        <w:tc>
          <w:tcPr>
            <w:tcW w:w="520" w:type="pct"/>
            <w:tcBorders>
              <w:top w:val="nil"/>
              <w:left w:val="nil"/>
              <w:bottom w:val="single" w:sz="8" w:space="0" w:color="000000"/>
              <w:right w:val="single" w:sz="8" w:space="0" w:color="000000"/>
            </w:tcBorders>
            <w:noWrap/>
            <w:vAlign w:val="center"/>
          </w:tcPr>
          <w:p>
            <w:pPr>
              <w:jc w:val="right"/>
              <w:rPr>
                <w:rFonts w:ascii="Times New Roman" w:cs="Times New Roman" w:hAnsi="Times New Roman"/>
                <w:color w:val="000000"/>
                <w:sz w:val="20"/>
                <w:szCs w:val="20"/>
              </w:rPr>
            </w:pPr>
          </w:p>
        </w:tc>
      </w:tr>
      <w:tr>
        <w:trPr>
          <w:trHeight w:val="308"/>
        </w:trPr>
        <w:tc>
          <w:tcPr>
            <w:tcW w:w="5000" w:type="pct"/>
            <w:gridSpan w:val="11"/>
            <w:tcBorders>
              <w:top w:val="nil"/>
              <w:left w:val="nil"/>
              <w:bottom w:val="nil"/>
              <w:right w:val="nil"/>
            </w:tcBorders>
            <w:noWrap/>
            <w:vAlign w:val="center"/>
          </w:tcPr>
          <w:p>
            <w:pPr>
              <w:widowControl/>
              <w:jc w:val="left"/>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注：本表反映部门本年度一般公共预算财政拨款、政府性基金预算财政拨款和国有资本经营预算财政拨款的总收支和年末结转结余情况。</w:t>
            </w:r>
          </w:p>
        </w:tc>
      </w:tr>
    </w:tbl>
    <w:p>
      <w:pPr>
        <w:rPr>
          <w:rFonts w:ascii="仿宋_GB2312" w:eastAsia="仿宋_GB2312" w:hAnsi="宋体"/>
          <w:b/>
          <w:sz w:val="32"/>
          <w:szCs w:val="32"/>
        </w:rPr>
      </w:pPr>
    </w:p>
    <w:p>
      <w:pPr>
        <w:rPr>
          <w:rFonts w:ascii="仿宋_GB2312" w:eastAsia="仿宋_GB2312" w:hAnsi="宋体"/>
          <w:b/>
          <w:sz w:val="32"/>
          <w:szCs w:val="32"/>
        </w:rPr>
      </w:pPr>
      <w:r>
        <w:rPr>
          <w:rFonts w:ascii="仿宋_GB2312" w:eastAsia="仿宋_GB2312" w:hAnsi="宋体" w:hint="eastAsia"/>
          <w:b/>
          <w:sz w:val="32"/>
          <w:szCs w:val="32"/>
        </w:rPr>
        <w:br w:type="page"/>
      </w:r>
    </w:p>
    <w:tbl>
      <w:tblPr>
        <w:jc w:val="left"/>
        <w:tblInd w:w="-657" w:type="dxa"/>
        <w:tblW w:w="534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
      <w:tblGrid>
        <w:gridCol w:w="959"/>
        <w:gridCol w:w="2259"/>
        <w:gridCol w:w="555"/>
        <w:gridCol w:w="1026"/>
        <w:gridCol w:w="1074"/>
        <w:gridCol w:w="507"/>
        <w:gridCol w:w="1661"/>
      </w:tblGrid>
      <w:tr>
        <w:trPr>
          <w:trHeight w:val="657"/>
        </w:trPr>
        <w:tc>
          <w:tcPr>
            <w:tcW w:w="5000" w:type="pct"/>
            <w:gridSpan w:val="7"/>
            <w:tcBorders>
              <w:top w:val="nil"/>
              <w:left w:val="nil"/>
              <w:bottom w:val="nil"/>
              <w:right w:val="nil"/>
            </w:tcBorders>
            <w:noWrap/>
            <w:vAlign w:val="bottom"/>
          </w:tcPr>
          <w:p>
            <w:pPr>
              <w:widowControl/>
              <w:jc w:val="center"/>
              <w:textAlignment w:val="bottom"/>
              <w:rPr>
                <w:rFonts w:ascii="宋体" w:hAnsi="宋体"/>
                <w:color w:val="000000"/>
                <w:sz w:val="20"/>
                <w:szCs w:val="20"/>
              </w:rPr>
            </w:pPr>
            <w:r>
              <w:rPr>
                <w:rFonts w:ascii="方正仿宋_GB2312" w:eastAsia="方正仿宋_GB2312" w:cs="方正仿宋_GB2312" w:hAnsi="方正仿宋_GB2312" w:hint="eastAsia"/>
                <w:bCs/>
                <w:sz w:val="32"/>
                <w:szCs w:val="32"/>
              </w:rPr>
              <w:t>一般公共预算财政拨款支出决算表</w:t>
            </w:r>
          </w:p>
        </w:tc>
      </w:tr>
      <w:tr>
        <w:trPr>
          <w:trHeight w:val="329"/>
        </w:trPr>
        <w:tc>
          <w:tcPr>
            <w:tcW w:w="5000" w:type="pct"/>
            <w:gridSpan w:val="7"/>
            <w:tcBorders>
              <w:top w:val="nil"/>
              <w:left w:val="nil"/>
              <w:bottom w:val="nil"/>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公开</w:t>
            </w:r>
            <w:r>
              <w:rPr>
                <w:rFonts w:ascii="Times New Roman" w:eastAsia="方正仿宋_GB2312" w:cs="Times New Roman" w:hAnsi="Times New Roman"/>
                <w:color w:val="000000"/>
                <w:sz w:val="20"/>
                <w:szCs w:val="20"/>
              </w:rPr>
              <w:t>05</w:t>
            </w:r>
            <w:r>
              <w:rPr>
                <w:rFonts w:ascii="方正仿宋_GB2312" w:eastAsia="方正仿宋_GB2312" w:cs="方正仿宋_GB2312" w:hAnsi="方正仿宋_GB2312" w:hint="eastAsia"/>
                <w:color w:val="000000"/>
                <w:sz w:val="20"/>
                <w:szCs w:val="20"/>
              </w:rPr>
              <w:t>表</w:t>
            </w:r>
          </w:p>
        </w:tc>
      </w:tr>
      <w:tr>
        <w:trPr>
          <w:trHeight w:val="329"/>
        </w:trPr>
        <w:tc>
          <w:tcPr>
            <w:tcW w:w="1868" w:type="pct"/>
            <w:gridSpan w:val="3"/>
            <w:tcBorders>
              <w:top w:val="nil"/>
              <w:left w:val="nil"/>
              <w:bottom w:val="single" w:sz="4" w:space="0" w:color="auto"/>
              <w:right w:val="nil"/>
            </w:tcBorders>
            <w:noWrap/>
            <w:vAlign w:val="bottom"/>
          </w:tcPr>
          <w:p>
            <w:pPr>
              <w:widowControl/>
              <w:jc w:val="lef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编制部门（单位）：昌黎县黄金海岸旅游发展中心（本级）</w:t>
            </w:r>
          </w:p>
        </w:tc>
        <w:tc>
          <w:tcPr>
            <w:tcW w:w="1541" w:type="pct"/>
            <w:gridSpan w:val="2"/>
            <w:tcBorders>
              <w:top w:val="nil"/>
              <w:left w:val="nil"/>
              <w:bottom w:val="single" w:sz="4" w:space="0" w:color="auto"/>
              <w:right w:val="nil"/>
            </w:tcBorders>
            <w:noWrap/>
            <w:vAlign w:val="bottom"/>
          </w:tcPr>
          <w:p>
            <w:pPr>
              <w:widowControl/>
              <w:jc w:val="center"/>
              <w:textAlignment w:val="bottom"/>
              <w:rPr>
                <w:rFonts w:ascii="宋体" w:hAnsi="宋体"/>
                <w:color w:val="000000"/>
                <w:sz w:val="20"/>
                <w:szCs w:val="20"/>
              </w:rPr>
            </w:pPr>
            <w:r>
              <w:rPr>
                <w:rFonts w:ascii="Times New Roman" w:cs="Times New Roman" w:hAnsi="Times New Roman"/>
                <w:color w:val="000000"/>
                <w:sz w:val="20"/>
                <w:szCs w:val="20"/>
              </w:rPr>
              <w:t>202</w:t>
            </w:r>
            <w:r>
              <w:rPr>
                <w:rFonts w:ascii="Times New Roman" w:cs="Times New Roman" w:hAnsi="Times New Roman" w:hint="eastAsia"/>
                <w:color w:val="000000"/>
                <w:sz w:val="20"/>
                <w:szCs w:val="20"/>
              </w:rPr>
              <w:t>4</w:t>
            </w:r>
            <w:r>
              <w:rPr>
                <w:rFonts w:ascii="方正仿宋_GB2312" w:eastAsia="方正仿宋_GB2312" w:cs="方正仿宋_GB2312" w:hAnsi="方正仿宋_GB2312" w:hint="eastAsia"/>
                <w:color w:val="000000"/>
                <w:sz w:val="20"/>
                <w:szCs w:val="20"/>
              </w:rPr>
              <w:t>年度</w:t>
            </w:r>
          </w:p>
        </w:tc>
        <w:tc>
          <w:tcPr>
            <w:tcW w:w="1590" w:type="pct"/>
            <w:gridSpan w:val="2"/>
            <w:tcBorders>
              <w:top w:val="nil"/>
              <w:left w:val="nil"/>
              <w:bottom w:val="single" w:sz="4" w:space="0" w:color="auto"/>
              <w:right w:val="nil"/>
            </w:tcBorders>
            <w:noWrap/>
            <w:vAlign w:val="bottom"/>
          </w:tcPr>
          <w:p>
            <w:pPr>
              <w:widowControl/>
              <w:jc w:val="right"/>
              <w:textAlignment w:val="bottom"/>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金额单位：万元</w:t>
            </w:r>
          </w:p>
        </w:tc>
      </w:tr>
      <w:tr>
        <w:trPr>
          <w:trHeight w:val="510"/>
        </w:trPr>
        <w:tc>
          <w:tcPr>
            <w:tcW w:w="1461" w:type="pct"/>
            <w:gridSpan w:val="2"/>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w:t>
            </w:r>
          </w:p>
        </w:tc>
        <w:tc>
          <w:tcPr>
            <w:tcW w:w="3538" w:type="pct"/>
            <w:gridSpan w:val="5"/>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本年支出</w:t>
            </w:r>
          </w:p>
        </w:tc>
      </w:tr>
      <w:tr>
        <w:trPr>
          <w:trHeight w:val="369"/>
        </w:trPr>
        <w:tc>
          <w:tcPr>
            <w:tcW w:w="70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科目代码</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科目名称</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小计</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基本支出</w:t>
            </w:r>
          </w:p>
        </w:tc>
        <w:tc>
          <w:tcPr>
            <w:tcW w:w="1218"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项目支出</w:t>
            </w:r>
          </w:p>
        </w:tc>
      </w:tr>
      <w:tr>
        <w:trPr>
          <w:trHeight w:val="346"/>
        </w:trPr>
        <w:tc>
          <w:tcPr>
            <w:tcW w:w="704" w:type="pct"/>
            <w:vMerge/>
            <w:tcBorders>
              <w:top w:val="single" w:sz="4" w:space="0" w:color="auto"/>
              <w:left w:val="single" w:sz="4" w:space="0" w:color="auto"/>
              <w:bottom w:val="single" w:sz="4" w:space="0" w:color="auto"/>
              <w:right w:val="single" w:sz="4" w:space="0" w:color="auto"/>
            </w:tcBorders>
            <w:vAlign w:val="center"/>
          </w:tcPr>
          <w:p/>
        </w:tc>
        <w:tc>
          <w:tcPr>
            <w:tcW w:w="756" w:type="pct"/>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218" w:type="pct"/>
            <w:vMerge/>
            <w:tcBorders>
              <w:top w:val="single" w:sz="4" w:space="0" w:color="auto"/>
              <w:left w:val="single" w:sz="4" w:space="0" w:color="auto"/>
              <w:bottom w:val="single" w:sz="4" w:space="0" w:color="auto"/>
              <w:right w:val="single" w:sz="4" w:space="0" w:color="auto"/>
            </w:tcBorders>
            <w:vAlign w:val="center"/>
          </w:tcPr>
          <w:p/>
        </w:tc>
      </w:tr>
      <w:tr>
        <w:trPr>
          <w:trHeight w:val="369"/>
        </w:trPr>
        <w:tc>
          <w:tcPr>
            <w:tcW w:w="704" w:type="pct"/>
            <w:vMerge/>
            <w:tcBorders>
              <w:top w:val="single" w:sz="4" w:space="0" w:color="auto"/>
              <w:left w:val="single" w:sz="4" w:space="0" w:color="auto"/>
              <w:bottom w:val="single" w:sz="4" w:space="0" w:color="auto"/>
              <w:right w:val="single" w:sz="4" w:space="0" w:color="auto"/>
            </w:tcBorders>
            <w:vAlign w:val="center"/>
          </w:tcPr>
          <w:p/>
        </w:tc>
        <w:tc>
          <w:tcPr>
            <w:tcW w:w="756" w:type="pct"/>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tc>
        <w:tc>
          <w:tcPr>
            <w:tcW w:w="1218" w:type="pct"/>
            <w:vMerge/>
            <w:tcBorders>
              <w:top w:val="single" w:sz="4" w:space="0" w:color="auto"/>
              <w:left w:val="single" w:sz="4" w:space="0" w:color="auto"/>
              <w:bottom w:val="single" w:sz="4" w:space="0" w:color="auto"/>
              <w:right w:val="single" w:sz="4" w:space="0" w:color="auto"/>
            </w:tcBorders>
            <w:vAlign w:val="center"/>
          </w:tcPr>
          <w:p/>
        </w:tc>
      </w:tr>
      <w:tr>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栏次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2</w:t>
            </w:r>
          </w:p>
        </w:tc>
        <w:tc>
          <w:tcPr>
            <w:tcW w:w="1218"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宋体" w:hAnsi="宋体"/>
                <w:color w:val="000000"/>
                <w:sz w:val="20"/>
                <w:szCs w:val="20"/>
              </w:rPr>
            </w:pPr>
            <w:r>
              <w:rPr>
                <w:rFonts w:ascii="宋体" w:hAnsi="宋体" w:hint="eastAsia"/>
                <w:color w:val="000000"/>
                <w:sz w:val="20"/>
                <w:szCs w:val="20"/>
              </w:rPr>
              <w:t>3</w:t>
            </w:r>
          </w:p>
        </w:tc>
      </w:tr>
      <w:tr>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合计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3,314.81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3,234.81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sz w:val="20"/>
                <w:szCs w:val="20"/>
              </w:rPr>
              <w:t>80.00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207</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文化旅游体育与传媒支出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3,314.81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3,234.81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80.00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20701</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文化和旅游</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3,314.81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3,234.81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80.00</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2070199</w:t>
            </w:r>
          </w:p>
        </w:tc>
        <w:tc>
          <w:tcPr>
            <w:tcW w:w="756"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其他文化和旅游支出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3,314.81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3,234.81</w:t>
            </w:r>
          </w:p>
        </w:tc>
        <w:tc>
          <w:tcPr>
            <w:tcW w:w="1218"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80.00</w:t>
            </w:r>
          </w:p>
        </w:tc>
      </w:tr>
      <w:tr>
        <w:trPr>
          <w:trHeight w:val="661"/>
        </w:trPr>
        <w:tc>
          <w:tcPr>
            <w:tcW w:w="5000" w:type="pct"/>
            <w:gridSpan w:val="7"/>
            <w:tcBorders>
              <w:top w:val="single" w:sz="4" w:space="0" w:color="auto"/>
              <w:left w:val="nil"/>
              <w:bottom w:val="nil"/>
              <w:right w:val="nil"/>
            </w:tcBorders>
            <w:noWrap/>
            <w:vAlign w:val="center"/>
          </w:tcPr>
          <w:p>
            <w:pPr>
              <w:widowControl/>
              <w:jc w:val="left"/>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注：本表反映部门本年度一般公共预算财政拨款支出情况。</w:t>
            </w:r>
          </w:p>
        </w:tc>
      </w:tr>
    </w:tbl>
    <w:p>
      <w:pPr>
        <w:rPr>
          <w:rFonts w:ascii="仿宋_GB2312" w:eastAsia="仿宋_GB2312" w:hAnsi="宋体"/>
          <w:b/>
          <w:sz w:val="32"/>
          <w:szCs w:val="32"/>
        </w:rPr>
      </w:pPr>
    </w:p>
    <w:p>
      <w:pPr>
        <w:rPr>
          <w:rFonts w:ascii="仿宋_GB2312" w:eastAsia="仿宋_GB2312" w:hAnsi="宋体"/>
          <w:b/>
          <w:sz w:val="32"/>
          <w:szCs w:val="32"/>
        </w:rPr>
      </w:pPr>
      <w:r>
        <w:rPr>
          <w:rFonts w:ascii="仿宋_GB2312" w:eastAsia="仿宋_GB2312" w:hAnsi="宋体" w:hint="eastAsia"/>
          <w:b/>
          <w:sz w:val="32"/>
          <w:szCs w:val="32"/>
        </w:rPr>
        <w:br w:type="page"/>
      </w:r>
    </w:p>
    <w:tbl>
      <w:tblPr>
        <w:jc w:val="left"/>
        <w:tblInd w:w="-1617" w:type="dxa"/>
        <w:tblW w:w="70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964"/>
        <w:gridCol w:w="1814"/>
        <w:gridCol w:w="1018"/>
        <w:gridCol w:w="964"/>
        <w:gridCol w:w="440"/>
        <w:gridCol w:w="1372"/>
        <w:gridCol w:w="589"/>
        <w:gridCol w:w="374"/>
        <w:gridCol w:w="964"/>
        <w:gridCol w:w="1816"/>
        <w:gridCol w:w="1023"/>
      </w:tblGrid>
      <w:tr>
        <w:trPr>
          <w:trHeight w:val="624"/>
        </w:trPr>
        <w:tc>
          <w:tcPr>
            <w:tcW w:w="5000" w:type="pct"/>
            <w:gridSpan w:val="11"/>
            <w:tcBorders>
              <w:top w:val="nil"/>
              <w:left w:val="nil"/>
              <w:bottom w:val="nil"/>
              <w:right w:val="nil"/>
            </w:tcBorders>
            <w:noWrap/>
            <w:vAlign w:val="bottom"/>
          </w:tcPr>
          <w:p>
            <w:pPr>
              <w:widowControl/>
              <w:jc w:val="center"/>
              <w:textAlignment w:val="bottom"/>
              <w:rPr>
                <w:rFonts w:ascii="宋体" w:hAnsi="宋体"/>
                <w:color w:val="000000"/>
                <w:sz w:val="18"/>
                <w:szCs w:val="18"/>
              </w:rPr>
            </w:pPr>
            <w:r>
              <w:rPr>
                <w:rFonts w:ascii="方正仿宋_GB2312" w:eastAsia="方正仿宋_GB2312" w:cs="方正仿宋_GB2312" w:hAnsi="方正仿宋_GB2312" w:hint="eastAsia"/>
                <w:bCs/>
                <w:sz w:val="32"/>
                <w:szCs w:val="32"/>
              </w:rPr>
              <w:t>一般公共预算财政拨款基本支出决算明细表</w:t>
            </w:r>
          </w:p>
        </w:tc>
      </w:tr>
      <w:tr>
        <w:trPr>
          <w:trHeight w:val="300"/>
        </w:trPr>
        <w:tc>
          <w:tcPr>
            <w:tcW w:w="5000" w:type="pct"/>
            <w:gridSpan w:val="11"/>
            <w:tcBorders>
              <w:top w:val="nil"/>
              <w:left w:val="nil"/>
              <w:bottom w:val="nil"/>
              <w:right w:val="nil"/>
            </w:tcBorders>
            <w:noWrap/>
            <w:vAlign w:val="bottom"/>
          </w:tcPr>
          <w:p>
            <w:pPr>
              <w:widowControl/>
              <w:jc w:val="right"/>
              <w:textAlignment w:val="bottom"/>
              <w:rPr>
                <w:rFonts w:ascii="宋体" w:hAnsi="宋体"/>
                <w:color w:val="000000"/>
                <w:sz w:val="18"/>
                <w:szCs w:val="18"/>
              </w:rPr>
            </w:pPr>
            <w:r>
              <w:rPr>
                <w:rFonts w:ascii="方正仿宋_GB2312" w:eastAsia="方正仿宋_GB2312" w:cs="方正仿宋_GB2312" w:hAnsi="方正仿宋_GB2312" w:hint="eastAsia"/>
                <w:color w:val="000000"/>
                <w:sz w:val="18"/>
                <w:szCs w:val="18"/>
              </w:rPr>
              <w:t>公开</w:t>
            </w:r>
            <w:r>
              <w:rPr>
                <w:rFonts w:ascii="Times New Roman" w:eastAsia="方正仿宋_GB2312" w:cs="Times New Roman" w:hAnsi="Times New Roman"/>
                <w:color w:val="000000"/>
                <w:sz w:val="18"/>
                <w:szCs w:val="18"/>
              </w:rPr>
              <w:t>06</w:t>
            </w:r>
            <w:r>
              <w:rPr>
                <w:rFonts w:ascii="方正仿宋_GB2312" w:eastAsia="方正仿宋_GB2312" w:cs="方正仿宋_GB2312" w:hAnsi="方正仿宋_GB2312" w:hint="eastAsia"/>
                <w:color w:val="000000"/>
                <w:sz w:val="18"/>
                <w:szCs w:val="18"/>
              </w:rPr>
              <w:t>表</w:t>
            </w:r>
          </w:p>
        </w:tc>
      </w:tr>
      <w:tr>
        <w:trPr>
          <w:trHeight w:val="90"/>
        </w:trPr>
        <w:tc>
          <w:tcPr>
            <w:tcW w:w="2293" w:type="pct"/>
            <w:gridSpan w:val="5"/>
            <w:tcBorders>
              <w:top w:val="nil"/>
              <w:left w:val="nil"/>
              <w:bottom w:val="single" w:sz="4" w:space="0" w:color="auto"/>
              <w:right w:val="nil"/>
            </w:tcBorders>
            <w:noWrap/>
            <w:vAlign w:val="bottom"/>
          </w:tcPr>
          <w:p>
            <w:pPr>
              <w:rPr>
                <w:rFonts w:ascii="宋体" w:hAnsi="宋体"/>
                <w:color w:val="000000"/>
                <w:sz w:val="18"/>
                <w:szCs w:val="18"/>
              </w:rPr>
            </w:pPr>
            <w:r>
              <w:rPr>
                <w:rFonts w:ascii="方正仿宋_GB2312" w:eastAsia="方正仿宋_GB2312" w:cs="方正仿宋_GB2312" w:hAnsi="方正仿宋_GB2312" w:hint="eastAsia"/>
                <w:color w:val="000000"/>
                <w:sz w:val="18"/>
                <w:szCs w:val="18"/>
              </w:rPr>
              <w:t xml:space="preserve">部门（单位）：昌黎县黄金海岸旅游发展中心（本级） </w:t>
            </w:r>
            <w:r>
              <w:rPr>
                <w:rFonts w:ascii="宋体" w:hAnsi="宋体" w:hint="eastAsia"/>
                <w:color w:val="000000"/>
                <w:sz w:val="18"/>
                <w:szCs w:val="18"/>
              </w:rPr>
              <w:t xml:space="preserve">                                                                   </w:t>
            </w:r>
          </w:p>
        </w:tc>
        <w:tc>
          <w:tcPr>
            <w:tcW w:w="865" w:type="pct"/>
            <w:gridSpan w:val="2"/>
            <w:tcBorders>
              <w:top w:val="nil"/>
              <w:left w:val="nil"/>
              <w:bottom w:val="single" w:sz="4" w:space="0" w:color="auto"/>
              <w:right w:val="nil"/>
            </w:tcBorders>
            <w:noWrap/>
            <w:vAlign w:val="bottom"/>
          </w:tcPr>
          <w:p>
            <w:pPr>
              <w:jc w:val="center"/>
              <w:rPr>
                <w:rFonts w:ascii="宋体" w:hAnsi="宋体"/>
                <w:color w:val="000000"/>
                <w:sz w:val="18"/>
                <w:szCs w:val="18"/>
              </w:rPr>
            </w:pPr>
            <w:r>
              <w:rPr>
                <w:rFonts w:ascii="宋体" w:hAnsi="宋体" w:hint="eastAsia"/>
                <w:color w:val="000000"/>
                <w:sz w:val="18"/>
                <w:szCs w:val="18"/>
              </w:rPr>
              <w:t>2024</w:t>
            </w:r>
            <w:r>
              <w:rPr>
                <w:rFonts w:ascii="方正仿宋_GB2312" w:eastAsia="方正仿宋_GB2312" w:cs="方正仿宋_GB2312" w:hAnsi="方正仿宋_GB2312" w:hint="eastAsia"/>
                <w:color w:val="000000"/>
                <w:sz w:val="18"/>
                <w:szCs w:val="18"/>
              </w:rPr>
              <w:t>年度</w:t>
            </w:r>
          </w:p>
        </w:tc>
        <w:tc>
          <w:tcPr>
            <w:tcW w:w="1841" w:type="pct"/>
            <w:gridSpan w:val="4"/>
            <w:tcBorders>
              <w:top w:val="nil"/>
              <w:left w:val="nil"/>
              <w:bottom w:val="single" w:sz="4" w:space="0" w:color="auto"/>
              <w:right w:val="nil"/>
            </w:tcBorders>
            <w:noWrap/>
            <w:vAlign w:val="bottom"/>
          </w:tcPr>
          <w:p>
            <w:pPr>
              <w:jc w:val="right"/>
              <w:rPr>
                <w:rFonts w:ascii="宋体" w:hAnsi="宋体"/>
                <w:color w:val="000000"/>
                <w:sz w:val="18"/>
                <w:szCs w:val="18"/>
              </w:rPr>
            </w:pPr>
            <w:r>
              <w:rPr>
                <w:rFonts w:ascii="方正仿宋_GB2312" w:eastAsia="方正仿宋_GB2312" w:cs="方正仿宋_GB2312" w:hAnsi="方正仿宋_GB2312" w:hint="eastAsia"/>
                <w:color w:val="000000"/>
                <w:sz w:val="18"/>
                <w:szCs w:val="18"/>
              </w:rPr>
              <w:t>金额单位：万元</w:t>
            </w:r>
          </w:p>
        </w:tc>
      </w:tr>
      <w:tr>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公用经费</w:t>
            </w:r>
          </w:p>
        </w:tc>
      </w:tr>
      <w:tr>
        <w:trPr>
          <w:trHeight w:val="510"/>
        </w:trPr>
        <w:tc>
          <w:tcPr>
            <w:tcW w:w="42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金额</w:t>
            </w:r>
          </w:p>
        </w:tc>
        <w:tc>
          <w:tcPr>
            <w:tcW w:w="42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金额</w:t>
            </w:r>
          </w:p>
        </w:tc>
        <w:tc>
          <w:tcPr>
            <w:tcW w:w="42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金额</w:t>
            </w: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r>
              <w:rPr>
                <w:rFonts w:ascii="Times New Roman" w:cs="Times New Roman" w:hAnsi="Times New Roman" w:hint="eastAsia"/>
                <w:sz w:val="18"/>
                <w:szCs w:val="18"/>
              </w:rPr>
              <w:t>3,101.21</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r>
              <w:rPr>
                <w:rFonts w:ascii="Times New Roman" w:cs="Times New Roman" w:hAnsi="Times New Roman" w:hint="eastAsia"/>
                <w:sz w:val="18"/>
                <w:szCs w:val="18"/>
              </w:rPr>
              <w:t>24.14</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307</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 xml:space="preserve">  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r>
              <w:rPr>
                <w:rFonts w:ascii="Times New Roman" w:cs="Times New Roman" w:hAnsi="Times New Roman" w:hint="eastAsia"/>
                <w:sz w:val="18"/>
                <w:szCs w:val="18"/>
              </w:rPr>
              <w:t>220.60</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hint="eastAsia"/>
                <w:sz w:val="18"/>
                <w:szCs w:val="18"/>
              </w:rPr>
              <w:t>0.73</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 xml:space="preserve">  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r>
              <w:rPr>
                <w:rFonts w:ascii="Times New Roman" w:cs="Times New Roman" w:hAnsi="Times New Roman" w:hint="eastAsia"/>
                <w:sz w:val="18"/>
                <w:szCs w:val="18"/>
              </w:rPr>
              <w:t>9.07</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 xml:space="preserve">  奖金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hint="eastAsia"/>
                <w:sz w:val="18"/>
                <w:szCs w:val="18"/>
              </w:rPr>
              <w:t>0.02</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 xml:space="preserve">  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 xml:space="preserve">  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r>
              <w:rPr>
                <w:rFonts w:ascii="Times New Roman" w:cs="Times New Roman" w:hAnsi="Times New Roman" w:hint="eastAsia"/>
                <w:sz w:val="18"/>
                <w:szCs w:val="18"/>
              </w:rPr>
              <w:t>112.23</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hint="eastAsia"/>
                <w:sz w:val="18"/>
                <w:szCs w:val="18"/>
              </w:rPr>
              <w:t>0.05</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hint="eastAsia"/>
                <w:sz w:val="18"/>
                <w:szCs w:val="18"/>
              </w:rPr>
              <w:t>57.13</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hint="eastAsia"/>
                <w:sz w:val="18"/>
                <w:szCs w:val="18"/>
              </w:rPr>
              <w:t>2.97</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hint="eastAsia"/>
                <w:sz w:val="18"/>
                <w:szCs w:val="18"/>
              </w:rPr>
              <w:t>27.89</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hint="eastAsia"/>
                <w:sz w:val="18"/>
                <w:szCs w:val="18"/>
              </w:rPr>
              <w:t>0.18</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31.04</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10.00</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3.85</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4.84</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0.35</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28.65</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0.05</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2,609.75</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 xml:space="preserve">  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109.46</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0.03</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94.96</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0.18</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10.77</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3.74</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0.04</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30306</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0.06</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312</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5.31</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0.15</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399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r>
              <w:rPr>
                <w:rFonts w:ascii="Times New Roman" w:cs="Times New Roman" w:hAnsi="Times New Roman"/>
                <w:sz w:val="18"/>
                <w:szCs w:val="18"/>
              </w:rPr>
              <w:t>0.18</w:t>
            </w: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hAnsi="宋体"/>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cs="Times New Roman" w:hAnsi="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rFonts w:ascii="Times New Roman" w:cs="Times New Roman" w:hAnsi="Times New Roman"/>
                <w:color w:val="000000"/>
                <w:sz w:val="18"/>
                <w:szCs w:val="18"/>
              </w:rPr>
            </w:pPr>
            <w:r>
              <w:rPr>
                <w:rFonts w:ascii="Times New Roman" w:cs="Times New Roman" w:hAnsi="Times New Roman"/>
                <w:color w:val="000000"/>
                <w:sz w:val="18"/>
                <w:szCs w:val="18"/>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pPr>
              <w:widowControl/>
              <w:jc w:val="left"/>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color w:val="000000"/>
                <w:sz w:val="18"/>
                <w:szCs w:val="18"/>
              </w:rPr>
            </w:pPr>
          </w:p>
        </w:tc>
      </w:tr>
      <w:tr>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cs="Times New Roman" w:hAnsi="Times New Roman"/>
                <w:sz w:val="18"/>
                <w:szCs w:val="18"/>
              </w:rPr>
            </w:pPr>
            <w:r>
              <w:rPr>
                <w:rFonts w:ascii="方正仿宋_GB2312" w:eastAsia="方正仿宋_GB2312" w:cs="方正仿宋_GB2312" w:hAnsi="方正仿宋_GB2312" w:hint="eastAsia"/>
                <w:color w:val="000000"/>
                <w:sz w:val="18"/>
                <w:szCs w:val="18"/>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sz w:val="18"/>
                <w:szCs w:val="18"/>
              </w:rPr>
            </w:pPr>
            <w:r>
              <w:rPr>
                <w:rFonts w:ascii="Times New Roman" w:cs="Times New Roman" w:hAnsi="Times New Roman"/>
                <w:sz w:val="18"/>
                <w:szCs w:val="18"/>
              </w:rPr>
              <w:t>3,210.67</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olor w:val="000000"/>
                <w:sz w:val="18"/>
                <w:szCs w:val="18"/>
              </w:rPr>
            </w:pPr>
            <w:r>
              <w:rPr>
                <w:rFonts w:ascii="方正仿宋_GB2312" w:eastAsia="方正仿宋_GB2312" w:cs="方正仿宋_GB2312" w:hAnsi="方正仿宋_GB2312" w:hint="eastAsia"/>
                <w:color w:val="000000"/>
                <w:sz w:val="18"/>
                <w:szCs w:val="18"/>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color w:val="000000"/>
                <w:sz w:val="18"/>
                <w:szCs w:val="18"/>
              </w:rPr>
            </w:pPr>
            <w:r>
              <w:rPr>
                <w:rFonts w:ascii="Times New Roman" w:cs="Times New Roman" w:hAnsi="Times New Roman"/>
                <w:sz w:val="18"/>
                <w:szCs w:val="18"/>
              </w:rPr>
              <w:t>24.14</w:t>
            </w:r>
          </w:p>
        </w:tc>
      </w:tr>
      <w:tr>
        <w:trPr>
          <w:trHeight w:val="510"/>
        </w:trPr>
        <w:tc>
          <w:tcPr>
            <w:tcW w:w="5000" w:type="pct"/>
            <w:gridSpan w:val="11"/>
            <w:tcBorders>
              <w:top w:val="single" w:sz="4" w:space="0" w:color="auto"/>
              <w:left w:val="nil"/>
              <w:bottom w:val="nil"/>
              <w:right w:val="nil"/>
            </w:tcBorders>
            <w:noWrap/>
            <w:vAlign w:val="center"/>
          </w:tcPr>
          <w:p>
            <w:pPr>
              <w:widowControl/>
              <w:jc w:val="left"/>
              <w:textAlignment w:val="center"/>
              <w:rPr>
                <w:rFonts w:ascii="宋体" w:hAnsi="宋体"/>
                <w:color w:val="000000"/>
                <w:sz w:val="18"/>
                <w:szCs w:val="18"/>
              </w:rPr>
            </w:pPr>
            <w:r>
              <w:rPr>
                <w:rFonts w:ascii="方正仿宋_GB2312" w:eastAsia="方正仿宋_GB2312" w:cs="方正仿宋_GB2312" w:hAnsi="方正仿宋_GB2312" w:hint="eastAsia"/>
                <w:color w:val="000000"/>
                <w:sz w:val="18"/>
                <w:szCs w:val="18"/>
              </w:rPr>
              <w:t>注：本表反映部门本年度一般公共预算财政拨款基本支出明细情况。</w:t>
            </w:r>
          </w:p>
        </w:tc>
      </w:tr>
    </w:tbl>
    <w:p>
      <w:pPr>
        <w:rPr>
          <w:rFonts w:ascii="仿宋_GB2312" w:eastAsia="仿宋_GB2312" w:hAnsi="宋体"/>
          <w:b/>
          <w:sz w:val="32"/>
          <w:szCs w:val="32"/>
        </w:rPr>
      </w:pPr>
    </w:p>
    <w:p>
      <w:pPr>
        <w:rPr>
          <w:rFonts w:ascii="仿宋_GB2312" w:eastAsia="仿宋_GB2312" w:hAnsi="宋体"/>
          <w:b/>
          <w:sz w:val="32"/>
          <w:szCs w:val="32"/>
        </w:rPr>
      </w:pPr>
      <w:r>
        <w:rPr>
          <w:rFonts w:ascii="仿宋_GB2312" w:eastAsia="仿宋_GB2312" w:hAnsi="宋体" w:hint="eastAsia"/>
          <w:b/>
          <w:sz w:val="32"/>
          <w:szCs w:val="32"/>
        </w:rPr>
        <w:br w:type="page"/>
      </w:r>
    </w:p>
    <w:tbl>
      <w:tblPr>
        <w:jc w:val="left"/>
        <w:tblInd w:w="-1404" w:type="dxa"/>
        <w:tblW w:w="6517"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1260"/>
        <w:gridCol w:w="1473"/>
        <w:gridCol w:w="1306"/>
        <w:gridCol w:w="1025"/>
        <w:gridCol w:w="1107"/>
        <w:gridCol w:w="419"/>
        <w:gridCol w:w="700"/>
        <w:gridCol w:w="1146"/>
        <w:gridCol w:w="2043"/>
      </w:tblGrid>
      <w:tr>
        <w:trPr>
          <w:trHeight w:val="550"/>
        </w:trPr>
        <w:tc>
          <w:tcPr>
            <w:tcW w:w="5000" w:type="pct"/>
            <w:gridSpan w:val="9"/>
            <w:tcBorders>
              <w:top w:val="nil"/>
              <w:left w:val="nil"/>
              <w:bottom w:val="nil"/>
              <w:right w:val="nil"/>
            </w:tcBorders>
            <w:noWrap/>
            <w:vAlign w:val="bottom"/>
          </w:tcPr>
          <w:p>
            <w:pPr>
              <w:widowControl/>
              <w:jc w:val="center"/>
              <w:textAlignment w:val="bottom"/>
              <w:rPr>
                <w:rFonts w:ascii="宋体" w:hAnsi="宋体"/>
                <w:color w:val="000000"/>
                <w:sz w:val="20"/>
                <w:szCs w:val="20"/>
              </w:rPr>
            </w:pPr>
            <w:r>
              <w:rPr>
                <w:rFonts w:ascii="方正仿宋_GB2312" w:eastAsia="方正仿宋_GB2312" w:cs="方正仿宋_GB2312" w:hAnsi="方正仿宋_GB2312" w:hint="eastAsia"/>
                <w:bCs/>
                <w:sz w:val="32"/>
                <w:szCs w:val="32"/>
              </w:rPr>
              <w:t>政府性基金预算财政拨款收入支出决算表</w:t>
            </w:r>
          </w:p>
        </w:tc>
      </w:tr>
      <w:tr>
        <w:trPr>
          <w:trHeight w:val="90"/>
        </w:trPr>
        <w:tc>
          <w:tcPr>
            <w:tcW w:w="5000" w:type="pct"/>
            <w:gridSpan w:val="9"/>
            <w:tcBorders>
              <w:top w:val="nil"/>
              <w:left w:val="nil"/>
              <w:bottom w:val="nil"/>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公开</w:t>
            </w:r>
            <w:r>
              <w:rPr>
                <w:rFonts w:ascii="Times New Roman" w:cs="Times New Roman" w:hAnsi="Times New Roman"/>
                <w:color w:val="000000"/>
                <w:sz w:val="20"/>
                <w:szCs w:val="20"/>
              </w:rPr>
              <w:t>07</w:t>
            </w:r>
            <w:r>
              <w:rPr>
                <w:rFonts w:ascii="方正仿宋_GB2312" w:eastAsia="方正仿宋_GB2312" w:cs="方正仿宋_GB2312" w:hAnsi="方正仿宋_GB2312" w:hint="eastAsia"/>
                <w:color w:val="000000"/>
                <w:sz w:val="20"/>
                <w:szCs w:val="20"/>
              </w:rPr>
              <w:t>表</w:t>
            </w:r>
          </w:p>
        </w:tc>
      </w:tr>
      <w:tr>
        <w:trPr>
          <w:trHeight w:val="300"/>
        </w:trPr>
        <w:tc>
          <w:tcPr>
            <w:tcW w:w="1927" w:type="pct"/>
            <w:gridSpan w:val="3"/>
            <w:tcBorders>
              <w:top w:val="nil"/>
              <w:left w:val="nil"/>
              <w:bottom w:val="single" w:sz="4" w:space="0" w:color="auto"/>
              <w:right w:val="nil"/>
            </w:tcBorders>
            <w:noWrap/>
            <w:vAlign w:val="bottom"/>
          </w:tcPr>
          <w:p>
            <w:pPr>
              <w:widowControl/>
              <w:jc w:val="lef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 xml:space="preserve">部门（单位）：昌黎县黄金海岸旅游发展中心（本级） </w:t>
            </w:r>
            <w:r>
              <w:rPr>
                <w:rFonts w:ascii="宋体" w:hAnsi="宋体" w:hint="eastAsia"/>
                <w:color w:val="000000"/>
                <w:sz w:val="20"/>
                <w:szCs w:val="20"/>
              </w:rPr>
              <w:t xml:space="preserve">                                                                                     </w:t>
            </w:r>
          </w:p>
        </w:tc>
        <w:tc>
          <w:tcPr>
            <w:tcW w:w="1217" w:type="pct"/>
            <w:gridSpan w:val="3"/>
            <w:tcBorders>
              <w:top w:val="nil"/>
              <w:left w:val="nil"/>
              <w:bottom w:val="single" w:sz="4" w:space="0" w:color="auto"/>
              <w:right w:val="nil"/>
            </w:tcBorders>
            <w:noWrap/>
            <w:vAlign w:val="bottom"/>
          </w:tcPr>
          <w:p>
            <w:pPr>
              <w:widowControl/>
              <w:jc w:val="center"/>
              <w:textAlignment w:val="bottom"/>
              <w:rPr>
                <w:rFonts w:ascii="宋体" w:hAnsi="宋体"/>
                <w:color w:val="000000"/>
                <w:sz w:val="20"/>
                <w:szCs w:val="20"/>
              </w:rPr>
            </w:pPr>
            <w:r>
              <w:rPr>
                <w:rFonts w:ascii="Times New Roman" w:cs="Times New Roman" w:hAnsi="Times New Roman"/>
                <w:color w:val="000000"/>
                <w:sz w:val="20"/>
                <w:szCs w:val="20"/>
              </w:rPr>
              <w:t>202</w:t>
            </w:r>
            <w:r>
              <w:rPr>
                <w:rFonts w:ascii="Times New Roman" w:cs="Times New Roman" w:hAnsi="Times New Roman" w:hint="eastAsia"/>
                <w:color w:val="000000"/>
                <w:sz w:val="20"/>
                <w:szCs w:val="20"/>
              </w:rPr>
              <w:t>4</w:t>
            </w:r>
            <w:r>
              <w:rPr>
                <w:rFonts w:ascii="方正仿宋_GB2312" w:eastAsia="方正仿宋_GB2312" w:cs="方正仿宋_GB2312" w:hAnsi="方正仿宋_GB2312" w:hint="eastAsia"/>
                <w:color w:val="000000"/>
                <w:sz w:val="20"/>
                <w:szCs w:val="20"/>
              </w:rPr>
              <w:t>年度</w:t>
            </w:r>
          </w:p>
        </w:tc>
        <w:tc>
          <w:tcPr>
            <w:tcW w:w="1854" w:type="pct"/>
            <w:gridSpan w:val="3"/>
            <w:tcBorders>
              <w:top w:val="nil"/>
              <w:left w:val="nil"/>
              <w:bottom w:val="single" w:sz="4" w:space="0" w:color="auto"/>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金额单位：万元</w:t>
            </w:r>
          </w:p>
        </w:tc>
      </w:tr>
      <w:tr>
        <w:trPr>
          <w:trHeight w:val="308"/>
        </w:trPr>
        <w:tc>
          <w:tcPr>
            <w:tcW w:w="1304" w:type="pct"/>
            <w:gridSpan w:val="2"/>
            <w:tcBorders>
              <w:top w:val="single" w:sz="4" w:space="0" w:color="auto"/>
              <w:left w:val="single" w:sz="4" w:space="0" w:color="000000"/>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w:t>
            </w:r>
          </w:p>
        </w:tc>
        <w:tc>
          <w:tcPr>
            <w:tcW w:w="623" w:type="pct"/>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年初结转和结余</w:t>
            </w:r>
          </w:p>
        </w:tc>
        <w:tc>
          <w:tcPr>
            <w:tcW w:w="489" w:type="pct"/>
            <w:vMerge w:val="restart"/>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本年收入</w:t>
            </w:r>
          </w:p>
        </w:tc>
        <w:tc>
          <w:tcPr>
            <w:tcW w:w="1609" w:type="pct"/>
            <w:gridSpan w:val="4"/>
            <w:tcBorders>
              <w:top w:val="single" w:sz="4" w:space="0" w:color="auto"/>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本年支出</w:t>
            </w:r>
          </w:p>
        </w:tc>
        <w:tc>
          <w:tcPr>
            <w:tcW w:w="973" w:type="pct"/>
            <w:vMerge w:val="restart"/>
            <w:tcBorders>
              <w:top w:val="single" w:sz="4" w:space="0" w:color="auto"/>
              <w:left w:val="nil"/>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年末结转和结余</w:t>
            </w:r>
          </w:p>
        </w:tc>
      </w:tr>
      <w:tr>
        <w:trPr>
          <w:trHeight w:val="312"/>
        </w:trPr>
        <w:tc>
          <w:tcPr>
            <w:tcW w:w="601" w:type="pct"/>
            <w:vMerge w:val="restart"/>
            <w:tcBorders>
              <w:top w:val="nil"/>
              <w:left w:val="single" w:sz="4" w:space="0" w:color="000000"/>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科目代码</w:t>
            </w:r>
          </w:p>
        </w:tc>
        <w:tc>
          <w:tcPr>
            <w:tcW w:w="703" w:type="pct"/>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科目名称</w:t>
            </w:r>
          </w:p>
        </w:tc>
        <w:tc>
          <w:tcPr>
            <w:tcW w:w="623" w:type="pct"/>
            <w:vMerge/>
            <w:tcBorders>
              <w:top w:val="single" w:sz="4" w:space="0" w:color="000000"/>
              <w:left w:val="nil"/>
              <w:bottom w:val="single" w:sz="4" w:space="0" w:color="000000"/>
              <w:right w:val="single" w:sz="4" w:space="0" w:color="000000"/>
            </w:tcBorders>
            <w:vAlign w:val="center"/>
          </w:tcPr>
          <w:p/>
        </w:tc>
        <w:tc>
          <w:tcPr>
            <w:tcW w:w="489" w:type="pct"/>
            <w:vMerge/>
            <w:tcBorders>
              <w:top w:val="single" w:sz="4" w:space="0" w:color="000000"/>
              <w:left w:val="nil"/>
              <w:bottom w:val="single" w:sz="4" w:space="0" w:color="000000"/>
              <w:right w:val="single" w:sz="4" w:space="0" w:color="000000"/>
            </w:tcBorders>
            <w:vAlign w:val="center"/>
          </w:tcPr>
          <w:p/>
        </w:tc>
        <w:tc>
          <w:tcPr>
            <w:tcW w:w="528" w:type="pct"/>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小计</w:t>
            </w:r>
          </w:p>
        </w:tc>
        <w:tc>
          <w:tcPr>
            <w:tcW w:w="534" w:type="pct"/>
            <w:gridSpan w:val="2"/>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基本支出</w:t>
            </w:r>
          </w:p>
        </w:tc>
        <w:tc>
          <w:tcPr>
            <w:tcW w:w="546" w:type="pct"/>
            <w:vMerge w:val="restart"/>
            <w:tcBorders>
              <w:top w:val="nil"/>
              <w:left w:val="nil"/>
              <w:bottom w:val="single" w:sz="4" w:space="0" w:color="000000"/>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项目支出</w:t>
            </w:r>
          </w:p>
        </w:tc>
        <w:tc>
          <w:tcPr>
            <w:tcW w:w="973" w:type="pct"/>
            <w:vMerge/>
            <w:tcBorders>
              <w:left w:val="nil"/>
              <w:right w:val="single" w:sz="4" w:space="0" w:color="000000"/>
            </w:tcBorders>
            <w:vAlign w:val="center"/>
          </w:tcPr>
          <w:p/>
        </w:tc>
      </w:tr>
      <w:tr>
        <w:trPr>
          <w:trHeight w:val="312"/>
        </w:trPr>
        <w:tc>
          <w:tcPr>
            <w:tcW w:w="601" w:type="pct"/>
            <w:vMerge/>
            <w:tcBorders>
              <w:top w:val="nil"/>
              <w:left w:val="single" w:sz="4" w:space="0" w:color="000000"/>
              <w:bottom w:val="single" w:sz="4" w:space="0" w:color="000000"/>
              <w:right w:val="single" w:sz="4" w:space="0" w:color="000000"/>
            </w:tcBorders>
            <w:vAlign w:val="center"/>
          </w:tcPr>
          <w:p/>
        </w:tc>
        <w:tc>
          <w:tcPr>
            <w:tcW w:w="703" w:type="pct"/>
            <w:vMerge/>
            <w:tcBorders>
              <w:top w:val="nil"/>
              <w:left w:val="nil"/>
              <w:bottom w:val="single" w:sz="4" w:space="0" w:color="000000"/>
              <w:right w:val="single" w:sz="4" w:space="0" w:color="000000"/>
            </w:tcBorders>
            <w:vAlign w:val="center"/>
          </w:tcPr>
          <w:p/>
        </w:tc>
        <w:tc>
          <w:tcPr>
            <w:tcW w:w="623" w:type="pct"/>
            <w:vMerge/>
            <w:tcBorders>
              <w:top w:val="single" w:sz="4" w:space="0" w:color="000000"/>
              <w:left w:val="nil"/>
              <w:bottom w:val="single" w:sz="4" w:space="0" w:color="000000"/>
              <w:right w:val="single" w:sz="4" w:space="0" w:color="000000"/>
            </w:tcBorders>
            <w:vAlign w:val="center"/>
          </w:tcPr>
          <w:p/>
        </w:tc>
        <w:tc>
          <w:tcPr>
            <w:tcW w:w="489" w:type="pct"/>
            <w:vMerge/>
            <w:tcBorders>
              <w:top w:val="single" w:sz="4" w:space="0" w:color="000000"/>
              <w:left w:val="nil"/>
              <w:bottom w:val="single" w:sz="4" w:space="0" w:color="000000"/>
              <w:right w:val="single" w:sz="4" w:space="0" w:color="000000"/>
            </w:tcBorders>
            <w:vAlign w:val="center"/>
          </w:tcPr>
          <w:p/>
        </w:tc>
        <w:tc>
          <w:tcPr>
            <w:tcW w:w="528" w:type="pct"/>
            <w:vMerge/>
            <w:tcBorders>
              <w:top w:val="nil"/>
              <w:left w:val="nil"/>
              <w:bottom w:val="single" w:sz="4" w:space="0" w:color="000000"/>
              <w:right w:val="single" w:sz="4" w:space="0" w:color="000000"/>
            </w:tcBorders>
            <w:vAlign w:val="center"/>
          </w:tcPr>
          <w:p/>
        </w:tc>
        <w:tc>
          <w:tcPr>
            <w:tcW w:w="534" w:type="pct"/>
            <w:gridSpan w:val="2"/>
            <w:vMerge/>
            <w:tcBorders>
              <w:top w:val="nil"/>
              <w:left w:val="nil"/>
              <w:bottom w:val="single" w:sz="4" w:space="0" w:color="000000"/>
              <w:right w:val="single" w:sz="4" w:space="0" w:color="000000"/>
            </w:tcBorders>
            <w:vAlign w:val="center"/>
          </w:tcPr>
          <w:p/>
        </w:tc>
        <w:tc>
          <w:tcPr>
            <w:tcW w:w="546" w:type="pct"/>
            <w:vMerge/>
            <w:tcBorders>
              <w:top w:val="nil"/>
              <w:left w:val="nil"/>
              <w:bottom w:val="single" w:sz="4" w:space="0" w:color="000000"/>
              <w:right w:val="single" w:sz="4" w:space="0" w:color="000000"/>
            </w:tcBorders>
            <w:vAlign w:val="center"/>
          </w:tcPr>
          <w:p/>
        </w:tc>
        <w:tc>
          <w:tcPr>
            <w:tcW w:w="973" w:type="pct"/>
            <w:vMerge/>
            <w:tcBorders>
              <w:left w:val="nil"/>
              <w:right w:val="single" w:sz="4" w:space="0" w:color="000000"/>
            </w:tcBorders>
            <w:vAlign w:val="center"/>
          </w:tcPr>
          <w:p/>
        </w:tc>
      </w:tr>
      <w:tr>
        <w:trPr>
          <w:trHeight w:val="312"/>
        </w:trPr>
        <w:tc>
          <w:tcPr>
            <w:tcW w:w="601" w:type="pct"/>
            <w:vMerge/>
            <w:tcBorders>
              <w:top w:val="nil"/>
              <w:left w:val="single" w:sz="4" w:space="0" w:color="000000"/>
              <w:bottom w:val="single" w:sz="4" w:space="0" w:color="auto"/>
              <w:right w:val="single" w:sz="4" w:space="0" w:color="000000"/>
            </w:tcBorders>
            <w:vAlign w:val="center"/>
          </w:tcPr>
          <w:p/>
        </w:tc>
        <w:tc>
          <w:tcPr>
            <w:tcW w:w="703" w:type="pct"/>
            <w:vMerge/>
            <w:tcBorders>
              <w:top w:val="nil"/>
              <w:left w:val="nil"/>
              <w:bottom w:val="single" w:sz="4" w:space="0" w:color="auto"/>
              <w:right w:val="single" w:sz="4" w:space="0" w:color="000000"/>
            </w:tcBorders>
            <w:vAlign w:val="center"/>
          </w:tcPr>
          <w:p/>
        </w:tc>
        <w:tc>
          <w:tcPr>
            <w:tcW w:w="623" w:type="pct"/>
            <w:vMerge/>
            <w:tcBorders>
              <w:top w:val="single" w:sz="4" w:space="0" w:color="000000"/>
              <w:left w:val="nil"/>
              <w:bottom w:val="single" w:sz="4" w:space="0" w:color="000000"/>
              <w:right w:val="single" w:sz="4" w:space="0" w:color="000000"/>
            </w:tcBorders>
            <w:vAlign w:val="center"/>
          </w:tcPr>
          <w:p/>
        </w:tc>
        <w:tc>
          <w:tcPr>
            <w:tcW w:w="489" w:type="pct"/>
            <w:vMerge/>
            <w:tcBorders>
              <w:top w:val="single" w:sz="4" w:space="0" w:color="000000"/>
              <w:left w:val="nil"/>
              <w:bottom w:val="single" w:sz="4" w:space="0" w:color="000000"/>
              <w:right w:val="single" w:sz="4" w:space="0" w:color="000000"/>
            </w:tcBorders>
            <w:vAlign w:val="center"/>
          </w:tcPr>
          <w:p/>
        </w:tc>
        <w:tc>
          <w:tcPr>
            <w:tcW w:w="528" w:type="pct"/>
            <w:vMerge/>
            <w:tcBorders>
              <w:top w:val="nil"/>
              <w:left w:val="nil"/>
              <w:bottom w:val="single" w:sz="4" w:space="0" w:color="000000"/>
              <w:right w:val="single" w:sz="4" w:space="0" w:color="000000"/>
            </w:tcBorders>
            <w:vAlign w:val="center"/>
          </w:tcPr>
          <w:p/>
        </w:tc>
        <w:tc>
          <w:tcPr>
            <w:tcW w:w="534" w:type="pct"/>
            <w:gridSpan w:val="2"/>
            <w:vMerge/>
            <w:tcBorders>
              <w:top w:val="nil"/>
              <w:left w:val="nil"/>
              <w:bottom w:val="single" w:sz="4" w:space="0" w:color="000000"/>
              <w:right w:val="single" w:sz="4" w:space="0" w:color="000000"/>
            </w:tcBorders>
            <w:vAlign w:val="center"/>
          </w:tcPr>
          <w:p/>
        </w:tc>
        <w:tc>
          <w:tcPr>
            <w:tcW w:w="546" w:type="pct"/>
            <w:vMerge/>
            <w:tcBorders>
              <w:top w:val="nil"/>
              <w:left w:val="nil"/>
              <w:bottom w:val="single" w:sz="4" w:space="0" w:color="000000"/>
              <w:right w:val="single" w:sz="4" w:space="0" w:color="000000"/>
            </w:tcBorders>
            <w:vAlign w:val="center"/>
          </w:tcPr>
          <w:p/>
        </w:tc>
        <w:tc>
          <w:tcPr>
            <w:tcW w:w="973" w:type="pct"/>
            <w:vMerge/>
            <w:tcBorders>
              <w:left w:val="nil"/>
              <w:bottom w:val="single" w:sz="4" w:space="0" w:color="000000"/>
              <w:right w:val="single" w:sz="4" w:space="0" w:color="000000"/>
            </w:tcBorders>
            <w:vAlign w:val="center"/>
          </w:tcPr>
          <w:p/>
        </w:tc>
      </w:tr>
      <w:tr>
        <w:trPr>
          <w:trHeight w:val="308"/>
        </w:trPr>
        <w:tc>
          <w:tcPr>
            <w:tcW w:w="1304" w:type="pct"/>
            <w:gridSpan w:val="2"/>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栏次</w:t>
            </w:r>
          </w:p>
        </w:tc>
        <w:tc>
          <w:tcPr>
            <w:tcW w:w="623" w:type="pct"/>
            <w:tcBorders>
              <w:top w:val="nil"/>
              <w:left w:val="single" w:sz="4" w:space="0" w:color="auto"/>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color w:val="000000"/>
                <w:sz w:val="20"/>
                <w:szCs w:val="20"/>
              </w:rPr>
              <w:t>1</w:t>
            </w:r>
          </w:p>
        </w:tc>
        <w:tc>
          <w:tcPr>
            <w:tcW w:w="489"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color w:val="000000"/>
                <w:sz w:val="20"/>
                <w:szCs w:val="20"/>
              </w:rPr>
              <w:t>2</w:t>
            </w:r>
          </w:p>
        </w:tc>
        <w:tc>
          <w:tcPr>
            <w:tcW w:w="528"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color w:val="000000"/>
                <w:sz w:val="20"/>
                <w:szCs w:val="20"/>
              </w:rPr>
              <w:t>3</w:t>
            </w:r>
          </w:p>
        </w:tc>
        <w:tc>
          <w:tcPr>
            <w:tcW w:w="534" w:type="pct"/>
            <w:gridSpan w:val="2"/>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color w:val="000000"/>
                <w:sz w:val="20"/>
                <w:szCs w:val="20"/>
              </w:rPr>
              <w:t>4</w:t>
            </w:r>
          </w:p>
        </w:tc>
        <w:tc>
          <w:tcPr>
            <w:tcW w:w="54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color w:val="000000"/>
                <w:sz w:val="20"/>
                <w:szCs w:val="20"/>
              </w:rPr>
              <w:t>5</w:t>
            </w:r>
          </w:p>
        </w:tc>
        <w:tc>
          <w:tcPr>
            <w:tcW w:w="973"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color w:val="000000"/>
                <w:sz w:val="20"/>
                <w:szCs w:val="20"/>
              </w:rPr>
              <w:t>6</w:t>
            </w:r>
          </w:p>
        </w:tc>
      </w:tr>
      <w:tr>
        <w:trPr>
          <w:trHeight w:val="869"/>
        </w:trPr>
        <w:tc>
          <w:tcPr>
            <w:tcW w:w="1304" w:type="pct"/>
            <w:gridSpan w:val="2"/>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合计</w:t>
            </w:r>
          </w:p>
        </w:tc>
        <w:tc>
          <w:tcPr>
            <w:tcW w:w="623" w:type="pct"/>
            <w:tcBorders>
              <w:top w:val="nil"/>
              <w:left w:val="single" w:sz="4" w:space="0" w:color="auto"/>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528"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color w:val="000000"/>
                <w:sz w:val="20"/>
                <w:szCs w:val="20"/>
              </w:rPr>
              <w:t>30.00</w:t>
            </w:r>
          </w:p>
        </w:tc>
        <w:tc>
          <w:tcPr>
            <w:tcW w:w="97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601"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229</w:t>
            </w:r>
          </w:p>
        </w:tc>
        <w:tc>
          <w:tcPr>
            <w:tcW w:w="70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其他支出</w:t>
            </w:r>
          </w:p>
        </w:tc>
        <w:tc>
          <w:tcPr>
            <w:tcW w:w="62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528"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97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601"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22904</w:t>
            </w:r>
          </w:p>
        </w:tc>
        <w:tc>
          <w:tcPr>
            <w:tcW w:w="70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其他政府性基金及对应专项债务收入安排的支出</w:t>
            </w:r>
          </w:p>
        </w:tc>
        <w:tc>
          <w:tcPr>
            <w:tcW w:w="62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528"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97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601"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2290402</w:t>
            </w:r>
          </w:p>
        </w:tc>
        <w:tc>
          <w:tcPr>
            <w:tcW w:w="70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其他地方自行试点项目收益专项债券收入安排的支出</w:t>
            </w:r>
          </w:p>
        </w:tc>
        <w:tc>
          <w:tcPr>
            <w:tcW w:w="62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528"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r>
              <w:rPr>
                <w:rFonts w:ascii="Times New Roman" w:cs="Times New Roman" w:hAnsi="Times New Roman"/>
                <w:spacing w:val="-2"/>
                <w:sz w:val="20"/>
                <w:szCs w:val="20"/>
              </w:rPr>
              <w:t>30.00</w:t>
            </w:r>
          </w:p>
        </w:tc>
        <w:tc>
          <w:tcPr>
            <w:tcW w:w="973" w:type="pct"/>
            <w:tcBorders>
              <w:top w:val="nil"/>
              <w:left w:val="nil"/>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000" w:type="pct"/>
            <w:gridSpan w:val="9"/>
            <w:tcBorders>
              <w:top w:val="nil"/>
              <w:left w:val="nil"/>
              <w:bottom w:val="nil"/>
              <w:right w:val="nil"/>
            </w:tcBorders>
            <w:noWrap/>
            <w:vAlign w:val="center"/>
          </w:tcPr>
          <w:p>
            <w:pPr>
              <w:rPr>
                <w:rFonts w:ascii="宋体" w:hAnsi="宋体"/>
                <w:color w:val="000000"/>
                <w:sz w:val="20"/>
                <w:szCs w:val="20"/>
              </w:rPr>
            </w:pPr>
            <w:r>
              <w:rPr>
                <w:rFonts w:ascii="方正仿宋_GB2312" w:eastAsia="方正仿宋_GB2312" w:cs="方正仿宋_GB2312" w:hAnsi="方正仿宋_GB2312" w:hint="eastAsia"/>
                <w:color w:val="000000"/>
                <w:sz w:val="20"/>
                <w:szCs w:val="20"/>
              </w:rPr>
              <w:t>注：本表反映部门本年度政府性基金预算财政拨款收入、支出及结转和结余情况。</w:t>
              <w:br w:type="page"/>
            </w:r>
          </w:p>
        </w:tc>
      </w:tr>
    </w:tbl>
    <w:p>
      <w:pPr>
        <w:rPr>
          <w:rFonts w:ascii="仿宋_GB2312" w:eastAsia="仿宋_GB2312" w:hAnsi="宋体"/>
          <w:b/>
          <w:sz w:val="32"/>
          <w:szCs w:val="32"/>
        </w:rPr>
      </w:pPr>
    </w:p>
    <w:tbl>
      <w:tblPr>
        <w:jc w:val="left"/>
        <w:tblInd w:w="-976" w:type="dxa"/>
        <w:tblW w:w="5863"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2992"/>
        <w:gridCol w:w="730"/>
        <w:gridCol w:w="1297"/>
        <w:gridCol w:w="1337"/>
        <w:gridCol w:w="45"/>
        <w:gridCol w:w="1286"/>
        <w:gridCol w:w="6"/>
        <w:gridCol w:w="1737"/>
      </w:tblGrid>
      <w:tr>
        <w:trPr>
          <w:trHeight w:val="550"/>
        </w:trPr>
        <w:tc>
          <w:tcPr>
            <w:tcW w:w="5000" w:type="pct"/>
            <w:gridSpan w:val="8"/>
            <w:tcBorders>
              <w:top w:val="nil"/>
              <w:left w:val="nil"/>
              <w:bottom w:val="nil"/>
              <w:right w:val="nil"/>
            </w:tcBorders>
            <w:noWrap/>
            <w:vAlign w:val="bottom"/>
          </w:tcPr>
          <w:p>
            <w:pPr>
              <w:widowControl/>
              <w:jc w:val="center"/>
              <w:textAlignment w:val="bottom"/>
              <w:rPr>
                <w:rFonts w:ascii="宋体" w:hAnsi="宋体"/>
                <w:color w:val="000000"/>
                <w:sz w:val="20"/>
                <w:szCs w:val="20"/>
              </w:rPr>
            </w:pPr>
            <w:r>
              <w:rPr>
                <w:rFonts w:ascii="方正仿宋_GB2312" w:eastAsia="方正仿宋_GB2312" w:cs="方正仿宋_GB2312" w:hAnsi="方正仿宋_GB2312" w:hint="eastAsia"/>
                <w:bCs/>
                <w:sz w:val="32"/>
                <w:szCs w:val="32"/>
              </w:rPr>
              <w:t>国有资本经营预算财政拨款支出决算表</w:t>
            </w:r>
          </w:p>
        </w:tc>
      </w:tr>
      <w:tr>
        <w:trPr>
          <w:trHeight w:val="300"/>
        </w:trPr>
        <w:tc>
          <w:tcPr>
            <w:tcW w:w="5000" w:type="pct"/>
            <w:gridSpan w:val="8"/>
            <w:tcBorders>
              <w:top w:val="nil"/>
              <w:left w:val="nil"/>
              <w:bottom w:val="nil"/>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公开</w:t>
            </w:r>
            <w:r>
              <w:rPr>
                <w:rFonts w:ascii="Times New Roman" w:eastAsia="方正仿宋_GB2312" w:cs="Times New Roman" w:hAnsi="Times New Roman"/>
                <w:color w:val="000000"/>
                <w:sz w:val="20"/>
                <w:szCs w:val="20"/>
              </w:rPr>
              <w:t>08</w:t>
            </w:r>
            <w:r>
              <w:rPr>
                <w:rFonts w:ascii="方正仿宋_GB2312" w:eastAsia="方正仿宋_GB2312" w:cs="方正仿宋_GB2312" w:hAnsi="方正仿宋_GB2312" w:hint="eastAsia"/>
                <w:color w:val="000000"/>
                <w:sz w:val="20"/>
                <w:szCs w:val="20"/>
              </w:rPr>
              <w:t>表</w:t>
            </w:r>
          </w:p>
        </w:tc>
      </w:tr>
      <w:tr>
        <w:trPr>
          <w:trHeight w:val="300"/>
        </w:trPr>
        <w:tc>
          <w:tcPr>
            <w:tcW w:w="1974" w:type="pct"/>
            <w:gridSpan w:val="2"/>
            <w:tcBorders>
              <w:top w:val="nil"/>
              <w:left w:val="nil"/>
              <w:bottom w:val="single" w:sz="4" w:space="0" w:color="auto"/>
              <w:right w:val="nil"/>
            </w:tcBorders>
            <w:noWrap/>
            <w:vAlign w:val="bottom"/>
          </w:tcPr>
          <w:p>
            <w:pPr>
              <w:widowControl/>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部门（单位）：昌黎县黄金海岸旅游发展中心（本级）</w:t>
            </w:r>
          </w:p>
        </w:tc>
        <w:tc>
          <w:tcPr>
            <w:tcW w:w="1421" w:type="pct"/>
            <w:gridSpan w:val="3"/>
            <w:tcBorders>
              <w:top w:val="nil"/>
              <w:left w:val="nil"/>
              <w:bottom w:val="single" w:sz="4" w:space="0" w:color="auto"/>
              <w:right w:val="nil"/>
            </w:tcBorders>
            <w:noWrap/>
            <w:vAlign w:val="bottom"/>
          </w:tcPr>
          <w:p>
            <w:pPr>
              <w:widowControl/>
              <w:jc w:val="center"/>
              <w:textAlignment w:val="bottom"/>
              <w:rPr>
                <w:rFonts w:ascii="宋体" w:hAnsi="宋体"/>
                <w:color w:val="000000"/>
                <w:sz w:val="20"/>
                <w:szCs w:val="20"/>
              </w:rPr>
            </w:pPr>
            <w:r>
              <w:rPr>
                <w:rFonts w:ascii="Times New Roman" w:cs="Times New Roman" w:hAnsi="Times New Roman"/>
                <w:color w:val="000000"/>
                <w:sz w:val="20"/>
                <w:szCs w:val="20"/>
              </w:rPr>
              <w:t>202</w:t>
            </w:r>
            <w:r>
              <w:rPr>
                <w:rFonts w:ascii="Times New Roman" w:cs="Times New Roman" w:hAnsi="Times New Roman" w:hint="eastAsia"/>
                <w:color w:val="000000"/>
                <w:sz w:val="20"/>
                <w:szCs w:val="20"/>
              </w:rPr>
              <w:t>4</w:t>
            </w:r>
            <w:r>
              <w:rPr>
                <w:rFonts w:ascii="方正仿宋_GB2312" w:eastAsia="方正仿宋_GB2312" w:cs="方正仿宋_GB2312" w:hAnsi="方正仿宋_GB2312" w:hint="eastAsia"/>
                <w:color w:val="000000"/>
                <w:sz w:val="20"/>
                <w:szCs w:val="20"/>
              </w:rPr>
              <w:t>年度</w:t>
            </w:r>
          </w:p>
        </w:tc>
        <w:tc>
          <w:tcPr>
            <w:tcW w:w="1603" w:type="pct"/>
            <w:gridSpan w:val="3"/>
            <w:tcBorders>
              <w:top w:val="nil"/>
              <w:left w:val="nil"/>
              <w:bottom w:val="single" w:sz="4" w:space="0" w:color="auto"/>
              <w:right w:val="nil"/>
            </w:tcBorders>
            <w:noWrap/>
            <w:vAlign w:val="bottom"/>
          </w:tcPr>
          <w:p>
            <w:pPr>
              <w:widowControl/>
              <w:jc w:val="right"/>
              <w:textAlignment w:val="bottom"/>
              <w:rPr>
                <w:rFonts w:ascii="宋体" w:hAnsi="宋体"/>
                <w:color w:val="000000"/>
                <w:sz w:val="20"/>
                <w:szCs w:val="20"/>
              </w:rPr>
            </w:pPr>
            <w:r>
              <w:rPr>
                <w:rFonts w:ascii="方正仿宋_GB2312" w:eastAsia="方正仿宋_GB2312" w:cs="方正仿宋_GB2312" w:hAnsi="方正仿宋_GB2312" w:hint="eastAsia"/>
                <w:color w:val="000000"/>
                <w:sz w:val="20"/>
                <w:szCs w:val="20"/>
              </w:rPr>
              <w:t>金额单位：万元</w:t>
            </w:r>
          </w:p>
        </w:tc>
      </w:tr>
      <w:tr>
        <w:trPr>
          <w:trHeight w:val="312"/>
        </w:trPr>
        <w:tc>
          <w:tcPr>
            <w:tcW w:w="2662" w:type="pct"/>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 xml:space="preserve"> 项目</w:t>
            </w:r>
          </w:p>
        </w:tc>
        <w:tc>
          <w:tcPr>
            <w:tcW w:w="2337" w:type="pct"/>
            <w:gridSpan w:val="5"/>
            <w:vMerge w:val="restart"/>
            <w:tcBorders>
              <w:top w:val="single" w:sz="4" w:space="0" w:color="auto"/>
              <w:left w:val="single" w:sz="4" w:space="0" w:color="auto"/>
              <w:right w:val="single" w:sz="4" w:space="0" w:color="000000"/>
            </w:tcBorders>
            <w:vAlign w:val="center"/>
          </w:tcPr>
          <w:p>
            <w:pPr>
              <w:widowControl/>
              <w:jc w:val="center"/>
              <w:textAlignment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本年支出</w:t>
            </w:r>
          </w:p>
        </w:tc>
      </w:tr>
      <w:tr>
        <w:trPr>
          <w:trHeight w:val="312"/>
        </w:trPr>
        <w:tc>
          <w:tcPr>
            <w:tcW w:w="2662" w:type="pct"/>
            <w:gridSpan w:val="3"/>
            <w:vMerge/>
            <w:tcBorders>
              <w:top w:val="single" w:sz="4" w:space="0" w:color="auto"/>
              <w:left w:val="single" w:sz="4" w:space="0" w:color="auto"/>
              <w:bottom w:val="single" w:sz="4" w:space="0" w:color="auto"/>
              <w:right w:val="single" w:sz="4" w:space="0" w:color="auto"/>
            </w:tcBorders>
            <w:vAlign w:val="center"/>
          </w:tcPr>
          <w:p/>
        </w:tc>
        <w:tc>
          <w:tcPr>
            <w:tcW w:w="2337" w:type="pct"/>
            <w:gridSpan w:val="5"/>
            <w:vMerge/>
            <w:tcBorders>
              <w:left w:val="single" w:sz="4" w:space="0" w:color="auto"/>
              <w:bottom w:val="single" w:sz="4" w:space="0" w:color="000000"/>
              <w:right w:val="single" w:sz="4" w:space="0" w:color="000000"/>
            </w:tcBorders>
            <w:vAlign w:val="center"/>
          </w:tcPr>
          <w:p/>
        </w:tc>
      </w:tr>
      <w:tr>
        <w:trPr>
          <w:trHeight w:val="312"/>
        </w:trPr>
        <w:tc>
          <w:tcPr>
            <w:tcW w:w="1587"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科目代码</w:t>
            </w:r>
          </w:p>
        </w:tc>
        <w:tc>
          <w:tcPr>
            <w:tcW w:w="1074" w:type="pct"/>
            <w:gridSpan w:val="2"/>
            <w:vMerge w:val="restart"/>
            <w:tcBorders>
              <w:top w:val="single" w:sz="4" w:space="0" w:color="auto"/>
              <w:left w:val="single" w:sz="4" w:space="0" w:color="auto"/>
              <w:bottom w:val="single" w:sz="4" w:space="0" w:color="auto"/>
              <w:right w:val="single" w:sz="4" w:space="0" w:color="auto"/>
            </w:tcBorders>
            <w:vAlign w:val="center"/>
          </w:tcPr>
          <w:p>
            <w:pPr>
              <w:jc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科目名称</w:t>
            </w:r>
          </w:p>
        </w:tc>
        <w:tc>
          <w:tcPr>
            <w:tcW w:w="709" w:type="pct"/>
            <w:vMerge w:val="restart"/>
            <w:tcBorders>
              <w:top w:val="nil"/>
              <w:left w:val="single" w:sz="4" w:space="0" w:color="auto"/>
              <w:right w:val="single" w:sz="4" w:space="0" w:color="000000"/>
            </w:tcBorders>
            <w:vAlign w:val="center"/>
          </w:tcPr>
          <w:p>
            <w:pPr>
              <w:jc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合计</w:t>
            </w:r>
          </w:p>
        </w:tc>
        <w:tc>
          <w:tcPr>
            <w:tcW w:w="709" w:type="pct"/>
            <w:gridSpan w:val="3"/>
            <w:vMerge w:val="restart"/>
            <w:tcBorders>
              <w:top w:val="nil"/>
              <w:left w:val="nil"/>
              <w:right w:val="single" w:sz="4" w:space="0" w:color="000000"/>
            </w:tcBorders>
            <w:vAlign w:val="center"/>
          </w:tcPr>
          <w:p>
            <w:pPr>
              <w:jc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基本支出</w:t>
            </w:r>
          </w:p>
        </w:tc>
        <w:tc>
          <w:tcPr>
            <w:tcW w:w="919" w:type="pct"/>
            <w:vMerge w:val="restart"/>
            <w:tcBorders>
              <w:top w:val="nil"/>
              <w:left w:val="nil"/>
              <w:right w:val="single" w:sz="4" w:space="0" w:color="000000"/>
            </w:tcBorders>
            <w:vAlign w:val="center"/>
          </w:tcPr>
          <w:p>
            <w:pPr>
              <w:jc w:val="center"/>
              <w:rPr>
                <w:rFonts w:ascii="方正仿宋_GB2312" w:eastAsia="方正仿宋_GB2312" w:cs="方正仿宋_GB2312" w:hAnsi="方正仿宋_GB2312"/>
                <w:color w:val="000000"/>
                <w:sz w:val="20"/>
                <w:szCs w:val="20"/>
              </w:rPr>
            </w:pPr>
            <w:r>
              <w:rPr>
                <w:rFonts w:ascii="方正仿宋_GB2312" w:eastAsia="方正仿宋_GB2312" w:cs="方正仿宋_GB2312" w:hAnsi="方正仿宋_GB2312" w:hint="eastAsia"/>
                <w:color w:val="000000"/>
                <w:sz w:val="20"/>
                <w:szCs w:val="20"/>
              </w:rPr>
              <w:t>项目支出</w:t>
            </w:r>
          </w:p>
        </w:tc>
      </w:tr>
      <w:tr>
        <w:trPr>
          <w:trHeight w:val="312"/>
        </w:trPr>
        <w:tc>
          <w:tcPr>
            <w:tcW w:w="1587" w:type="pct"/>
            <w:vMerge/>
            <w:tcBorders>
              <w:top w:val="single" w:sz="4" w:space="0" w:color="auto"/>
              <w:left w:val="single" w:sz="4" w:space="0" w:color="auto"/>
              <w:bottom w:val="single" w:sz="4" w:space="0" w:color="auto"/>
              <w:right w:val="single" w:sz="4" w:space="0" w:color="000000"/>
            </w:tcBorders>
            <w:vAlign w:val="center"/>
          </w:tcPr>
          <w:p/>
        </w:tc>
        <w:tc>
          <w:tcPr>
            <w:tcW w:w="1074" w:type="pct"/>
            <w:gridSpan w:val="2"/>
            <w:vMerge/>
            <w:tcBorders>
              <w:top w:val="single" w:sz="4" w:space="0" w:color="auto"/>
              <w:left w:val="nil"/>
              <w:bottom w:val="single" w:sz="4" w:space="0" w:color="auto"/>
              <w:right w:val="single" w:sz="4" w:space="0" w:color="auto"/>
            </w:tcBorders>
            <w:vAlign w:val="center"/>
          </w:tcPr>
          <w:p/>
        </w:tc>
        <w:tc>
          <w:tcPr>
            <w:tcW w:w="709" w:type="pct"/>
            <w:vMerge/>
            <w:tcBorders>
              <w:left w:val="single" w:sz="4" w:space="0" w:color="auto"/>
              <w:bottom w:val="single" w:sz="4" w:space="0" w:color="000000"/>
              <w:right w:val="single" w:sz="4" w:space="0" w:color="000000"/>
            </w:tcBorders>
            <w:vAlign w:val="center"/>
          </w:tcPr>
          <w:p/>
        </w:tc>
        <w:tc>
          <w:tcPr>
            <w:tcW w:w="709" w:type="pct"/>
            <w:gridSpan w:val="3"/>
            <w:vMerge/>
            <w:tcBorders>
              <w:left w:val="nil"/>
              <w:bottom w:val="single" w:sz="4" w:space="0" w:color="000000"/>
              <w:right w:val="single" w:sz="4" w:space="0" w:color="000000"/>
            </w:tcBorders>
            <w:vAlign w:val="center"/>
          </w:tcPr>
          <w:p/>
        </w:tc>
        <w:tc>
          <w:tcPr>
            <w:tcW w:w="919" w:type="pct"/>
            <w:vMerge/>
            <w:tcBorders>
              <w:left w:val="nil"/>
              <w:bottom w:val="single" w:sz="4" w:space="0" w:color="000000"/>
              <w:right w:val="single" w:sz="4" w:space="0" w:color="000000"/>
            </w:tcBorders>
            <w:vAlign w:val="center"/>
          </w:tcPr>
          <w:p/>
        </w:tc>
      </w:tr>
      <w:tr>
        <w:trPr>
          <w:trHeight w:val="308"/>
        </w:trPr>
        <w:tc>
          <w:tcPr>
            <w:tcW w:w="2662" w:type="pct"/>
            <w:gridSpan w:val="3"/>
            <w:tcBorders>
              <w:top w:val="single" w:sz="4" w:space="0" w:color="auto"/>
              <w:left w:val="single" w:sz="4" w:space="0" w:color="auto"/>
              <w:bottom w:val="single" w:sz="4" w:space="0" w:color="000000"/>
              <w:right w:val="single" w:sz="4" w:space="0" w:color="auto"/>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hint="eastAsia"/>
                <w:color w:val="000000"/>
                <w:sz w:val="20"/>
                <w:szCs w:val="20"/>
              </w:rPr>
              <w:t>栏次</w:t>
            </w:r>
          </w:p>
        </w:tc>
        <w:tc>
          <w:tcPr>
            <w:tcW w:w="706" w:type="pct"/>
            <w:tcBorders>
              <w:top w:val="nil"/>
              <w:left w:val="single" w:sz="4" w:space="0" w:color="auto"/>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hint="eastAsia"/>
                <w:color w:val="000000"/>
                <w:sz w:val="20"/>
                <w:szCs w:val="20"/>
              </w:rPr>
              <w:t>1</w:t>
            </w:r>
          </w:p>
        </w:tc>
        <w:tc>
          <w:tcPr>
            <w:tcW w:w="706" w:type="pct"/>
            <w:gridSpan w:val="2"/>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hint="eastAsia"/>
                <w:color w:val="000000"/>
                <w:sz w:val="20"/>
                <w:szCs w:val="20"/>
              </w:rPr>
              <w:t>2</w:t>
            </w:r>
          </w:p>
        </w:tc>
        <w:tc>
          <w:tcPr>
            <w:tcW w:w="924" w:type="pct"/>
            <w:gridSpan w:val="2"/>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20"/>
                <w:szCs w:val="20"/>
              </w:rPr>
            </w:pPr>
            <w:r>
              <w:rPr>
                <w:rFonts w:ascii="Times New Roman" w:eastAsia="方正仿宋_GB2312" w:cs="Times New Roman" w:hAnsi="Times New Roman" w:hint="eastAsia"/>
                <w:color w:val="000000"/>
                <w:sz w:val="20"/>
                <w:szCs w:val="20"/>
              </w:rPr>
              <w:t>3</w:t>
            </w:r>
          </w:p>
        </w:tc>
      </w:tr>
      <w:tr>
        <w:trPr>
          <w:trHeight w:val="308"/>
        </w:trPr>
        <w:tc>
          <w:tcPr>
            <w:tcW w:w="2662" w:type="pct"/>
            <w:gridSpan w:val="3"/>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cs="Times New Roman" w:hAnsi="Times New Roman"/>
                <w:color w:val="000000"/>
                <w:sz w:val="20"/>
                <w:szCs w:val="20"/>
              </w:rPr>
            </w:pPr>
            <w:r>
              <w:rPr>
                <w:rFonts w:ascii="Times New Roman" w:eastAsia="方正仿宋_GB2312" w:cs="Times New Roman" w:hAnsi="Times New Roman" w:hint="eastAsia"/>
                <w:color w:val="000000"/>
                <w:sz w:val="20"/>
                <w:szCs w:val="20"/>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706" w:type="pct"/>
            <w:gridSpan w:val="2"/>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cs="Times New Roman" w:hAnsi="Times New Roman"/>
                <w:color w:val="000000"/>
                <w:sz w:val="20"/>
                <w:szCs w:val="20"/>
              </w:rPr>
            </w:pPr>
          </w:p>
        </w:tc>
      </w:tr>
      <w:tr>
        <w:trPr>
          <w:trHeight w:val="308"/>
        </w:trPr>
        <w:tc>
          <w:tcPr>
            <w:tcW w:w="5000" w:type="pct"/>
            <w:gridSpan w:val="8"/>
            <w:tcBorders>
              <w:top w:val="nil"/>
              <w:left w:val="nil"/>
              <w:bottom w:val="nil"/>
              <w:right w:val="nil"/>
            </w:tcBorders>
            <w:noWrap/>
            <w:vAlign w:val="center"/>
          </w:tcPr>
          <w:p>
            <w:pPr>
              <w:widowControl/>
              <w:jc w:val="left"/>
              <w:textAlignment w:val="center"/>
              <w:rPr>
                <w:rFonts w:ascii="宋体" w:hAnsi="宋体"/>
                <w:color w:val="000000"/>
                <w:sz w:val="20"/>
                <w:szCs w:val="20"/>
              </w:rPr>
            </w:pPr>
            <w:r>
              <w:rPr>
                <w:rFonts w:ascii="方正仿宋_GB2312" w:eastAsia="方正仿宋_GB2312" w:cs="方正仿宋_GB2312" w:hAnsi="方正仿宋_GB2312" w:hint="eastAsia"/>
                <w:color w:val="000000"/>
                <w:sz w:val="20"/>
                <w:szCs w:val="20"/>
              </w:rPr>
              <w:t>注：本表反映部门本年度国有资本经营预算财政拨款支出情况。（如无相关数据，则需注明空表列示）</w:t>
            </w:r>
          </w:p>
        </w:tc>
      </w:tr>
    </w:tbl>
    <w:p>
      <w:pPr>
        <w:rPr>
          <w:rFonts w:ascii="仿宋_GB2312" w:eastAsia="仿宋_GB2312" w:hAnsi="宋体"/>
          <w:b/>
          <w:sz w:val="32"/>
          <w:szCs w:val="32"/>
        </w:rPr>
      </w:pPr>
    </w:p>
    <w:p>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721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986"/>
        <w:gridCol w:w="1224"/>
        <w:gridCol w:w="812"/>
        <w:gridCol w:w="944"/>
        <w:gridCol w:w="524"/>
        <w:gridCol w:w="543"/>
        <w:gridCol w:w="779"/>
        <w:gridCol w:w="849"/>
        <w:gridCol w:w="1132"/>
        <w:gridCol w:w="638"/>
        <w:gridCol w:w="1025"/>
        <w:gridCol w:w="948"/>
        <w:gridCol w:w="1194"/>
      </w:tblGrid>
      <w:tr>
        <w:trPr>
          <w:trHeight w:val="550"/>
        </w:trPr>
        <w:tc>
          <w:tcPr>
            <w:tcW w:w="5000" w:type="pct"/>
            <w:gridSpan w:val="13"/>
            <w:tcBorders>
              <w:top w:val="nil"/>
              <w:left w:val="nil"/>
              <w:bottom w:val="nil"/>
              <w:right w:val="nil"/>
            </w:tcBorders>
            <w:noWrap/>
            <w:vAlign w:val="bottom"/>
          </w:tcPr>
          <w:p>
            <w:pPr>
              <w:widowControl/>
              <w:jc w:val="center"/>
              <w:textAlignment w:val="bottom"/>
              <w:rPr>
                <w:rFonts w:ascii="宋体" w:hAnsi="宋体"/>
                <w:color w:val="000000"/>
                <w:sz w:val="18"/>
                <w:szCs w:val="18"/>
              </w:rPr>
            </w:pPr>
            <w:r>
              <w:rPr>
                <w:rFonts w:ascii="方正仿宋_GB2312" w:eastAsia="方正仿宋_GB2312" w:cs="方正仿宋_GB2312" w:hAnsi="方正仿宋_GB2312" w:hint="eastAsia"/>
                <w:bCs/>
                <w:sz w:val="32"/>
                <w:szCs w:val="32"/>
              </w:rPr>
              <w:t>财政拨款“三公”经费支出决算表</w:t>
            </w:r>
          </w:p>
        </w:tc>
      </w:tr>
      <w:tr>
        <w:trPr>
          <w:trHeight w:val="260"/>
        </w:trPr>
        <w:tc>
          <w:tcPr>
            <w:tcW w:w="5000" w:type="pct"/>
            <w:gridSpan w:val="13"/>
            <w:tcBorders>
              <w:top w:val="nil"/>
              <w:left w:val="nil"/>
              <w:bottom w:val="nil"/>
              <w:right w:val="nil"/>
            </w:tcBorders>
            <w:noWrap/>
            <w:vAlign w:val="bottom"/>
          </w:tcPr>
          <w:p>
            <w:pPr>
              <w:widowControl/>
              <w:jc w:val="right"/>
              <w:textAlignment w:val="bottom"/>
              <w:rPr>
                <w:rFonts w:ascii="宋体" w:hAnsi="宋体"/>
                <w:color w:val="000000"/>
                <w:sz w:val="18"/>
                <w:szCs w:val="18"/>
              </w:rPr>
            </w:pPr>
            <w:r>
              <w:rPr>
                <w:rFonts w:ascii="方正仿宋_GB2312" w:eastAsia="方正仿宋_GB2312" w:cs="方正仿宋_GB2312" w:hAnsi="方正仿宋_GB2312" w:hint="eastAsia"/>
                <w:color w:val="000000"/>
                <w:sz w:val="18"/>
                <w:szCs w:val="18"/>
              </w:rPr>
              <w:t>公开</w:t>
            </w:r>
            <w:r>
              <w:rPr>
                <w:rFonts w:ascii="Times New Roman" w:eastAsia="方正仿宋_GB2312" w:cs="Times New Roman" w:hAnsi="Times New Roman"/>
                <w:color w:val="000000"/>
                <w:sz w:val="18"/>
                <w:szCs w:val="18"/>
              </w:rPr>
              <w:t>09</w:t>
            </w:r>
            <w:r>
              <w:rPr>
                <w:rFonts w:ascii="方正仿宋_GB2312" w:eastAsia="方正仿宋_GB2312" w:cs="方正仿宋_GB2312" w:hAnsi="方正仿宋_GB2312" w:hint="eastAsia"/>
                <w:color w:val="000000"/>
                <w:sz w:val="18"/>
                <w:szCs w:val="18"/>
              </w:rPr>
              <w:t>表</w:t>
            </w:r>
          </w:p>
        </w:tc>
      </w:tr>
      <w:tr>
        <w:trPr>
          <w:trHeight w:val="260"/>
        </w:trPr>
        <w:tc>
          <w:tcPr>
            <w:tcW w:w="1936" w:type="pct"/>
            <w:gridSpan w:val="5"/>
            <w:tcBorders>
              <w:top w:val="nil"/>
              <w:left w:val="nil"/>
              <w:bottom w:val="single" w:sz="4" w:space="0" w:color="auto"/>
              <w:right w:val="nil"/>
            </w:tcBorders>
            <w:noWrap/>
            <w:vAlign w:val="bottom"/>
          </w:tcPr>
          <w:p>
            <w:pPr>
              <w:widowControl/>
              <w:jc w:val="left"/>
              <w:textAlignment w:val="bottom"/>
              <w:rPr>
                <w:rFonts w:ascii="宋体" w:hAnsi="宋体"/>
                <w:color w:val="000000"/>
                <w:sz w:val="18"/>
                <w:szCs w:val="18"/>
              </w:rPr>
            </w:pPr>
            <w:r>
              <w:rPr>
                <w:rFonts w:ascii="方正仿宋_GB2312" w:eastAsia="方正仿宋_GB2312" w:cs="方正仿宋_GB2312" w:hAnsi="方正仿宋_GB2312" w:hint="eastAsia"/>
                <w:color w:val="000000"/>
                <w:sz w:val="18"/>
                <w:szCs w:val="18"/>
              </w:rPr>
              <w:t>部门（单位）：昌黎县黄金海岸旅游发展中心（本级）</w:t>
            </w:r>
          </w:p>
        </w:tc>
        <w:tc>
          <w:tcPr>
            <w:tcW w:w="933" w:type="pct"/>
            <w:gridSpan w:val="3"/>
            <w:tcBorders>
              <w:top w:val="nil"/>
              <w:left w:val="nil"/>
              <w:bottom w:val="single" w:sz="4" w:space="0" w:color="auto"/>
              <w:right w:val="nil"/>
            </w:tcBorders>
            <w:noWrap/>
            <w:vAlign w:val="bottom"/>
          </w:tcPr>
          <w:p>
            <w:pPr>
              <w:widowControl/>
              <w:jc w:val="center"/>
              <w:textAlignment w:val="bottom"/>
              <w:rPr>
                <w:rFonts w:ascii="宋体" w:hAnsi="宋体"/>
                <w:color w:val="000000"/>
                <w:sz w:val="18"/>
                <w:szCs w:val="18"/>
              </w:rPr>
            </w:pPr>
            <w:r>
              <w:rPr>
                <w:rFonts w:ascii="Times New Roman" w:cs="Times New Roman" w:hAnsi="Times New Roman"/>
                <w:color w:val="000000"/>
                <w:sz w:val="18"/>
                <w:szCs w:val="18"/>
              </w:rPr>
              <w:t>202</w:t>
            </w:r>
            <w:r>
              <w:rPr>
                <w:rFonts w:ascii="Times New Roman" w:cs="Times New Roman" w:hAnsi="Times New Roman" w:hint="eastAsia"/>
                <w:color w:val="000000"/>
                <w:sz w:val="18"/>
                <w:szCs w:val="18"/>
              </w:rPr>
              <w:t>4</w:t>
            </w:r>
            <w:r>
              <w:rPr>
                <w:rFonts w:ascii="方正仿宋_GB2312" w:eastAsia="方正仿宋_GB2312" w:cs="方正仿宋_GB2312" w:hAnsi="方正仿宋_GB2312" w:hint="eastAsia"/>
                <w:color w:val="000000"/>
                <w:sz w:val="18"/>
                <w:szCs w:val="18"/>
              </w:rPr>
              <w:t>年度</w:t>
            </w:r>
          </w:p>
        </w:tc>
        <w:tc>
          <w:tcPr>
            <w:tcW w:w="2129" w:type="pct"/>
            <w:gridSpan w:val="5"/>
            <w:tcBorders>
              <w:top w:val="nil"/>
              <w:left w:val="nil"/>
              <w:bottom w:val="single" w:sz="4" w:space="0" w:color="auto"/>
              <w:right w:val="nil"/>
            </w:tcBorders>
            <w:noWrap/>
            <w:vAlign w:val="bottom"/>
          </w:tcPr>
          <w:p>
            <w:pPr>
              <w:widowControl/>
              <w:jc w:val="right"/>
              <w:textAlignment w:val="bottom"/>
              <w:rPr>
                <w:rFonts w:ascii="宋体" w:hAnsi="宋体"/>
                <w:color w:val="000000"/>
                <w:sz w:val="18"/>
                <w:szCs w:val="18"/>
              </w:rPr>
            </w:pPr>
            <w:r>
              <w:rPr>
                <w:rFonts w:ascii="方正仿宋_GB2312" w:eastAsia="方正仿宋_GB2312" w:cs="方正仿宋_GB2312" w:hAnsi="方正仿宋_GB2312" w:hint="eastAsia"/>
                <w:color w:val="000000"/>
                <w:sz w:val="18"/>
                <w:szCs w:val="18"/>
              </w:rPr>
              <w:t>金额单位：万元</w:t>
            </w:r>
          </w:p>
        </w:tc>
      </w:tr>
      <w:tr>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预算数</w:t>
            </w:r>
          </w:p>
        </w:tc>
        <w:tc>
          <w:tcPr>
            <w:tcW w:w="2493" w:type="pct"/>
            <w:gridSpan w:val="6"/>
            <w:tcBorders>
              <w:top w:val="single" w:sz="4" w:space="0" w:color="auto"/>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决算数</w:t>
            </w:r>
          </w:p>
        </w:tc>
      </w:tr>
      <w:tr>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合计</w:t>
            </w:r>
          </w:p>
        </w:tc>
        <w:tc>
          <w:tcPr>
            <w:tcW w:w="528" w:type="pct"/>
            <w:vMerge w:val="restar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因公出国（境）费</w:t>
            </w:r>
          </w:p>
        </w:tc>
        <w:tc>
          <w:tcPr>
            <w:tcW w:w="1217" w:type="pct"/>
            <w:gridSpan w:val="4"/>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公务接待费</w:t>
            </w:r>
          </w:p>
        </w:tc>
        <w:tc>
          <w:tcPr>
            <w:tcW w:w="366" w:type="pct"/>
            <w:vMerge w:val="restar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合计</w:t>
            </w:r>
          </w:p>
        </w:tc>
        <w:tc>
          <w:tcPr>
            <w:tcW w:w="488" w:type="pct"/>
            <w:vMerge w:val="restar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因公出国（境）费</w:t>
            </w:r>
          </w:p>
        </w:tc>
        <w:tc>
          <w:tcPr>
            <w:tcW w:w="1126" w:type="pct"/>
            <w:gridSpan w:val="3"/>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公务接待费</w:t>
            </w:r>
          </w:p>
        </w:tc>
      </w:tr>
      <w:tr>
        <w:trPr>
          <w:trHeight w:val="431"/>
        </w:trPr>
        <w:tc>
          <w:tcPr>
            <w:tcW w:w="425" w:type="pct"/>
            <w:vMerge/>
            <w:tcBorders>
              <w:top w:val="nil"/>
              <w:left w:val="single" w:sz="4" w:space="0" w:color="000000"/>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350" w:type="pc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小计</w:t>
            </w:r>
          </w:p>
        </w:tc>
        <w:tc>
          <w:tcPr>
            <w:tcW w:w="407" w:type="pc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公务用车购置费</w:t>
            </w:r>
          </w:p>
        </w:tc>
        <w:tc>
          <w:tcPr>
            <w:tcW w:w="458" w:type="pct"/>
            <w:gridSpan w:val="2"/>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公务用车运行维护费</w:t>
            </w:r>
          </w:p>
        </w:tc>
        <w:tc>
          <w:tcPr>
            <w:tcW w:w="335" w:type="pct"/>
            <w:vMerge/>
            <w:tcBorders>
              <w:top w:val="nil"/>
              <w:left w:val="nil"/>
              <w:bottom w:val="single" w:sz="4" w:space="0" w:color="000000"/>
              <w:right w:val="single" w:sz="4" w:space="0" w:color="000000"/>
            </w:tcBorders>
            <w:noWrap/>
            <w:vAlign w:val="center"/>
          </w:tcPr>
          <w:p/>
        </w:tc>
        <w:tc>
          <w:tcPr>
            <w:tcW w:w="366" w:type="pct"/>
            <w:vMerge/>
            <w:tcBorders>
              <w:top w:val="nil"/>
              <w:left w:val="nil"/>
              <w:bottom w:val="single" w:sz="4" w:space="0" w:color="000000"/>
              <w:right w:val="single" w:sz="4" w:space="0" w:color="000000"/>
            </w:tcBorders>
            <w:noWrap/>
            <w:vAlign w:val="center"/>
          </w:tcPr>
          <w:p/>
        </w:tc>
        <w:tc>
          <w:tcPr>
            <w:tcW w:w="488" w:type="pct"/>
            <w:vMerge/>
            <w:tcBorders>
              <w:top w:val="nil"/>
              <w:left w:val="nil"/>
              <w:bottom w:val="single" w:sz="4" w:space="0" w:color="000000"/>
              <w:right w:val="single" w:sz="4" w:space="0" w:color="000000"/>
            </w:tcBorders>
            <w:noWrap/>
            <w:vAlign w:val="center"/>
          </w:tcPr>
          <w:p/>
        </w:tc>
        <w:tc>
          <w:tcPr>
            <w:tcW w:w="275" w:type="pc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小计</w:t>
            </w:r>
          </w:p>
        </w:tc>
        <w:tc>
          <w:tcPr>
            <w:tcW w:w="442" w:type="pc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公务用车购置费</w:t>
            </w:r>
          </w:p>
        </w:tc>
        <w:tc>
          <w:tcPr>
            <w:tcW w:w="407" w:type="pct"/>
            <w:tcBorders>
              <w:top w:val="nil"/>
              <w:left w:val="nil"/>
              <w:bottom w:val="single" w:sz="4" w:space="0" w:color="000000"/>
              <w:right w:val="single" w:sz="4" w:space="0" w:color="000000"/>
            </w:tcBorders>
            <w:noWrap/>
            <w:vAlign w:val="center"/>
          </w:tcPr>
          <w:p>
            <w:pPr>
              <w:widowControl/>
              <w:jc w:val="center"/>
              <w:textAlignment w:val="center"/>
              <w:rPr>
                <w:rFonts w:ascii="方正仿宋_GB2312" w:eastAsia="方正仿宋_GB2312" w:cs="方正仿宋_GB2312" w:hAnsi="方正仿宋_GB2312"/>
                <w:color w:val="000000"/>
                <w:sz w:val="18"/>
                <w:szCs w:val="18"/>
              </w:rPr>
            </w:pPr>
            <w:r>
              <w:rPr>
                <w:rFonts w:ascii="方正仿宋_GB2312" w:eastAsia="方正仿宋_GB2312" w:cs="方正仿宋_GB2312" w:hAnsi="方正仿宋_GB2312" w:hint="eastAsia"/>
                <w:color w:val="000000"/>
                <w:sz w:val="18"/>
                <w:szCs w:val="18"/>
              </w:rPr>
              <w:t>公务用车运行维护费</w:t>
            </w:r>
          </w:p>
        </w:tc>
        <w:tc>
          <w:tcPr>
            <w:tcW w:w="511" w:type="pct"/>
            <w:vMerge/>
            <w:tcBorders>
              <w:top w:val="nil"/>
              <w:left w:val="nil"/>
              <w:bottom w:val="single" w:sz="4" w:space="0" w:color="000000"/>
              <w:right w:val="single" w:sz="4" w:space="0" w:color="000000"/>
            </w:tcBorders>
            <w:noWrap/>
            <w:vAlign w:val="center"/>
          </w:tcP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1</w:t>
            </w:r>
          </w:p>
        </w:tc>
        <w:tc>
          <w:tcPr>
            <w:tcW w:w="528"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2</w:t>
            </w:r>
          </w:p>
        </w:tc>
        <w:tc>
          <w:tcPr>
            <w:tcW w:w="350"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3</w:t>
            </w:r>
          </w:p>
        </w:tc>
        <w:tc>
          <w:tcPr>
            <w:tcW w:w="40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4</w:t>
            </w:r>
          </w:p>
        </w:tc>
        <w:tc>
          <w:tcPr>
            <w:tcW w:w="458" w:type="pct"/>
            <w:gridSpan w:val="2"/>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5</w:t>
            </w:r>
          </w:p>
        </w:tc>
        <w:tc>
          <w:tcPr>
            <w:tcW w:w="335"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6</w:t>
            </w:r>
          </w:p>
        </w:tc>
        <w:tc>
          <w:tcPr>
            <w:tcW w:w="366"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7</w:t>
            </w:r>
          </w:p>
        </w:tc>
        <w:tc>
          <w:tcPr>
            <w:tcW w:w="488"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8</w:t>
            </w:r>
          </w:p>
        </w:tc>
        <w:tc>
          <w:tcPr>
            <w:tcW w:w="275"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9</w:t>
            </w:r>
          </w:p>
        </w:tc>
        <w:tc>
          <w:tcPr>
            <w:tcW w:w="442"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10</w:t>
            </w:r>
          </w:p>
        </w:tc>
        <w:tc>
          <w:tcPr>
            <w:tcW w:w="407"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11</w:t>
            </w:r>
          </w:p>
        </w:tc>
        <w:tc>
          <w:tcPr>
            <w:tcW w:w="511" w:type="pct"/>
            <w:tcBorders>
              <w:top w:val="nil"/>
              <w:left w:val="nil"/>
              <w:bottom w:val="single" w:sz="4" w:space="0" w:color="000000"/>
              <w:right w:val="single" w:sz="4" w:space="0" w:color="000000"/>
            </w:tcBorders>
            <w:noWrap/>
            <w:vAlign w:val="center"/>
          </w:tcPr>
          <w:p>
            <w:pPr>
              <w:widowControl/>
              <w:jc w:val="center"/>
              <w:textAlignment w:val="center"/>
              <w:rPr>
                <w:rFonts w:ascii="Times New Roman" w:eastAsia="方正仿宋_GB2312" w:cs="Times New Roman" w:hAnsi="Times New Roman"/>
                <w:color w:val="000000"/>
                <w:sz w:val="18"/>
                <w:szCs w:val="18"/>
              </w:rPr>
            </w:pPr>
            <w:r>
              <w:rPr>
                <w:rFonts w:ascii="Times New Roman" w:eastAsia="方正仿宋_GB2312" w:cs="Times New Roman" w:hAnsi="Times New Roman"/>
                <w:color w:val="000000"/>
                <w:sz w:val="18"/>
                <w:szCs w:val="18"/>
              </w:rPr>
              <w:t>12</w:t>
            </w: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52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350"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458"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33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366"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48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27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442"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c>
          <w:tcPr>
            <w:tcW w:w="511"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color w:val="000000"/>
                <w:sz w:val="18"/>
                <w:szCs w:val="18"/>
              </w:rPr>
            </w:pPr>
          </w:p>
        </w:tc>
      </w:tr>
      <w:tr>
        <w:trPr>
          <w:trHeight w:val="431"/>
        </w:trPr>
        <w:tc>
          <w:tcPr>
            <w:tcW w:w="5000" w:type="pct"/>
            <w:gridSpan w:val="13"/>
            <w:tcBorders>
              <w:top w:val="nil"/>
              <w:left w:val="nil"/>
              <w:bottom w:val="nil"/>
              <w:right w:val="nil"/>
            </w:tcBorders>
            <w:noWrap/>
            <w:vAlign w:val="center"/>
          </w:tcPr>
          <w:p>
            <w:pPr>
              <w:widowControl/>
              <w:jc w:val="left"/>
              <w:textAlignment w:val="center"/>
              <w:rPr>
                <w:rFonts w:ascii="宋体" w:hAnsi="宋体"/>
                <w:color w:val="000000"/>
                <w:sz w:val="18"/>
                <w:szCs w:val="18"/>
              </w:rPr>
            </w:pPr>
            <w:r>
              <w:rPr>
                <w:rFonts w:ascii="方正仿宋_GB2312" w:eastAsia="方正仿宋_GB2312" w:cs="方正仿宋_GB2312" w:hAnsi="方正仿宋_GB2312" w:hint="eastAsia"/>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r>
              <w:rPr>
                <w:rFonts w:ascii="方正仿宋_GB2312" w:eastAsia="方正仿宋_GB2312" w:cs="方正仿宋_GB2312" w:hAnsi="方正仿宋_GB2312" w:hint="eastAsia"/>
                <w:color w:val="000000"/>
                <w:sz w:val="20"/>
                <w:szCs w:val="20"/>
              </w:rPr>
              <w:t>（如无相关数据，则需注明空表列示）</w:t>
            </w:r>
          </w:p>
        </w:tc>
      </w:tr>
    </w:tbl>
    <w:p>
      <w:pPr>
        <w:rPr>
          <w:rFonts w:ascii="仿宋_GB2312" w:eastAsia="仿宋_GB2312" w:hAnsi="宋体"/>
          <w:b/>
          <w:sz w:val="32"/>
          <w:szCs w:val="32"/>
        </w:rPr>
      </w:pPr>
    </w:p>
    <w:p>
      <w:pPr>
        <w:rPr>
          <w:rFonts w:ascii="仿宋_GB2312" w:eastAsia="仿宋_GB2312" w:hAnsi="宋体"/>
          <w:b/>
          <w:sz w:val="32"/>
          <w:szCs w:val="32"/>
        </w:rPr>
      </w:pPr>
      <w:r>
        <w:rPr>
          <w:rFonts w:ascii="仿宋_GB2312" w:eastAsia="仿宋_GB2312" w:hAnsi="宋体" w:hint="eastAsia"/>
          <w:b/>
          <w:sz w:val="32"/>
          <w:szCs w:val="32"/>
        </w:rPr>
        <w:br w:type="page"/>
      </w:r>
    </w:p>
    <w:p>
      <w:pPr>
        <w:rPr>
          <w:rFonts w:ascii="仿宋_GB2312" w:eastAsia="仿宋_GB2312" w:hAnsi="宋体"/>
          <w:b/>
          <w:sz w:val="32"/>
          <w:szCs w:val="32"/>
        </w:rPr>
        <w:sectPr>
          <w:headerReference w:type="default" r:id="rId9"/>
          <w:footerReference w:type="default" r:id="rId10"/>
          <w:pgSz w:w="11906" w:h="16838"/>
          <w:pgMar w:top="1531" w:right="1984" w:bottom="1531" w:left="2098" w:header="851" w:footer="992" w:gutter="0"/>
          <w:cols w:num="1" w:space="720"/>
          <w:docGrid w:type="lines" w:linePitch="312" w:charSpace="0"/>
        </w:sectPr>
      </w:pPr>
    </w:p>
    <w:p>
      <w:pPr>
        <w:widowControl/>
        <w:spacing w:line="360" w:lineRule="auto"/>
        <w:jc w:val="center"/>
        <w:outlineLvl w:val="0"/>
        <w:rPr>
          <w:rFonts w:ascii="Times New Roman" w:eastAsia="黑体" w:hAnsi="Times New Roman"/>
          <w:sz w:val="44"/>
          <w:szCs w:val="44"/>
        </w:rPr>
      </w:pPr>
      <w:r>
        <w:rPr>
          <w:rFonts w:ascii="Times New Roman" w:eastAsia="黑体" w:hAnsi="Times New Roman"/>
          <w:sz w:val="44"/>
          <w:szCs w:val="44"/>
        </w:rPr>
        <w:t>第三部分</w:t>
      </w:r>
      <w:r>
        <w:rPr>
          <w:rFonts w:ascii="Times New Roman" w:eastAsia="仿宋_GB2312" w:hAnsi="Times New Roman"/>
          <w:sz w:val="44"/>
          <w:szCs w:val="44"/>
        </w:rPr>
        <w:t>2024</w:t>
      </w:r>
      <w:r>
        <w:rPr>
          <w:rFonts w:ascii="Times New Roman" w:eastAsia="黑体" w:hAnsi="Times New Roman"/>
          <w:sz w:val="44"/>
          <w:szCs w:val="44"/>
        </w:rPr>
        <w:t>年度部门决算情况说明</w:t>
      </w:r>
    </w:p>
    <w:p>
      <w:pPr>
        <w:widowControl/>
        <w:spacing w:line="360" w:lineRule="auto"/>
        <w:jc w:val="left"/>
        <w:outlineLvl w:val="1"/>
        <w:rPr>
          <w:rFonts w:ascii="Times New Roman" w:eastAsia="黑体" w:hAnsi="Times New Roman"/>
          <w:sz w:val="32"/>
          <w:szCs w:val="32"/>
        </w:rPr>
      </w:pPr>
      <w:r>
        <w:rPr>
          <w:rFonts w:ascii="Times New Roman" w:eastAsia="黑体" w:hAnsi="Times New Roman"/>
          <w:sz w:val="32"/>
          <w:szCs w:val="32"/>
        </w:rPr>
        <w:t>一、收入支出决算总体情况说明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2024年度收、支总计（含结转和结余）均为3,344.81万元。与2023年度决算相比，收支各减少687.8万元，下降17.</w:t>
      </w:r>
      <w:r>
        <w:rPr>
          <w:rFonts w:ascii="Times New Roman" w:eastAsia="仿宋_GB2312" w:hAnsi="Times New Roman" w:hint="eastAsia"/>
          <w:sz w:val="32"/>
          <w:szCs w:val="32"/>
        </w:rPr>
        <w:t>06</w:t>
      </w:r>
      <w:r>
        <w:rPr>
          <w:rFonts w:ascii="Times New Roman" w:eastAsia="仿宋_GB2312" w:hAnsi="Times New Roman"/>
          <w:sz w:val="32"/>
          <w:szCs w:val="32"/>
        </w:rPr>
        <w:t>%，主要原因是人员经费</w:t>
      </w:r>
      <w:r>
        <w:rPr>
          <w:rFonts w:ascii="Times New Roman" w:eastAsia="仿宋_GB2312" w:hAnsi="Times New Roman" w:hint="eastAsia"/>
          <w:sz w:val="32"/>
          <w:szCs w:val="32"/>
        </w:rPr>
        <w:t>减少，</w:t>
      </w:r>
      <w:r>
        <w:rPr>
          <w:rFonts w:ascii="Times New Roman" w:eastAsia="仿宋_GB2312" w:hAnsi="Times New Roman"/>
          <w:sz w:val="32"/>
          <w:szCs w:val="32"/>
        </w:rPr>
        <w:t xml:space="preserve">退休人员增加，基本支出减少441. </w:t>
      </w:r>
      <w:r>
        <w:rPr>
          <w:rFonts w:ascii="Times New Roman" w:eastAsia="仿宋_GB2312" w:hAnsi="Times New Roman" w:hint="eastAsia"/>
          <w:sz w:val="32"/>
          <w:szCs w:val="32"/>
        </w:rPr>
        <w:t>68</w:t>
      </w:r>
      <w:r>
        <w:rPr>
          <w:rFonts w:ascii="Times New Roman" w:eastAsia="仿宋_GB2312" w:hAnsi="Times New Roman"/>
          <w:sz w:val="32"/>
          <w:szCs w:val="32"/>
        </w:rPr>
        <w:t>万元，项目减少246</w:t>
      </w:r>
      <w:r>
        <w:rPr>
          <w:rFonts w:ascii="Times New Roman" w:eastAsia="仿宋_GB2312" w:hAnsi="Times New Roman" w:hint="eastAsia"/>
          <w:sz w:val="32"/>
          <w:szCs w:val="32"/>
        </w:rPr>
        <w:t>.12</w:t>
      </w:r>
      <w:r>
        <w:rPr>
          <w:rFonts w:ascii="Times New Roman" w:eastAsia="仿宋_GB2312" w:hAnsi="Times New Roman"/>
          <w:sz w:val="32"/>
          <w:szCs w:val="32"/>
        </w:rPr>
        <w:t>万元。</w:t>
      </w:r>
    </w:p>
    <w:p>
      <w:pPr>
        <w:pStyle w:val="19"/>
        <w:widowControl/>
        <w:spacing w:beforeAutospacing="0" w:afterAutospacing="0"/>
        <w:jc w:val="center"/>
        <w:rPr>
          <w:rFonts w:ascii="Times New Roman" w:eastAsia="Arial" w:hAnsi="Times New Roman"/>
        </w:rPr>
      </w:pPr>
      <w:r>
        <w:rPr>
          <w:rFonts w:ascii="Times New Roman" w:hAnsi="Times New Roman" w:hint="eastAsia"/>
        </w:rPr>
        <w:drawing>
          <wp:inline distT="0" distB="0" distL="114300" distR="114300">
            <wp:extent cx="5256530" cy="2988310"/>
            <wp:effectExtent l="5080" t="4444" r="8889" b="17145"/>
            <wp:docPr id="7" name="图表 5"/>
            <wp:cNvGraphicFramePr>
              <a:graphicFrameLocks noChangeAspect="0"/>
            </wp:cNvGraphicFramePr>
            <a:graphic>
              <a:graphicData uri="http://schemas.openxmlformats.org/drawingml/2006/chart">
                <c:chart xmlns:c="http://schemas.openxmlformats.org/drawingml/2006/chart" r:id="rId12"/>
              </a:graphicData>
            </a:graphic>
          </wp:inline>
        </w:drawing>
      </w:r>
      <w:r>
        <w:rPr>
          <w:rFonts w:ascii="Times New Roman" w:eastAsia="Arial" w:hAnsi="Times New Roman"/>
          <w:color w:val="000000"/>
          <w:sz w:val="18"/>
          <w:szCs w:val="18"/>
          <w:shd w:val="clear" w:color="auto" w:fill="FFFFFF"/>
        </w:rPr>
        <w:t> </w:t>
      </w:r>
    </w:p>
    <w:p>
      <w:pPr>
        <w:widowControl/>
        <w:spacing w:line="360" w:lineRule="auto"/>
        <w:jc w:val="left"/>
        <w:outlineLvl w:val="1"/>
        <w:rPr>
          <w:rFonts w:ascii="Times New Roman" w:eastAsia="黑体" w:hAnsi="Times New Roman"/>
          <w:sz w:val="32"/>
          <w:szCs w:val="32"/>
        </w:rPr>
      </w:pPr>
      <w:r>
        <w:rPr>
          <w:rFonts w:ascii="Times New Roman" w:eastAsia="黑体" w:hAnsi="Times New Roman"/>
          <w:sz w:val="32"/>
          <w:szCs w:val="32"/>
        </w:rPr>
        <w:t>二、收入决算情况说明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本年收入合计3,344.81万元，其中：财政拨款收入3,344.81万元，占100.0%；上级补助收入0.00万元，占0.0%；事业收入0.00万元，占0.0%；经营收入0.00万元，占0.0%；附属单位上缴收入0.00万元，占0.0%；其他收入0.00万元，占0.0%。</w:t>
      </w:r>
    </w:p>
    <w:p>
      <w:pPr>
        <w:adjustRightInd w:val="0"/>
        <w:snapToGrid w:val="0"/>
        <w:spacing w:line="580" w:lineRule="exact"/>
        <w:rPr>
          <w:rFonts w:ascii="Times New Roman" w:eastAsia="仿宋_GB2312" w:cs="Times New Roman" w:hAnsi="Times New Roman"/>
          <w:kern w:val="2"/>
          <w:sz w:val="32"/>
          <w:szCs w:val="32"/>
          <w:lang w:val="zh-CN"/>
          <w:highlight w:val="yellow"/>
        </w:rPr>
      </w:pPr>
      <w:r>
        <w:rPr>
          <w:rFonts w:ascii="Times New Roman" w:eastAsia="仿宋_GB2312" w:hAnsi="Times New Roman"/>
          <w:kern w:val="2"/>
          <w:sz w:val="32"/>
          <w:szCs w:val="32"/>
          <w:highlight w:val="yellow"/>
        </w:rPr>
        <w:drawing>
          <wp:anchor distT="0" distB="0" distL="114300" distR="114300" simplePos="0" relativeHeight="33" behindDoc="0" locked="0" layoutInCell="1" hidden="0" allowOverlap="1">
            <wp:simplePos x="0" y="0"/>
            <wp:positionH relativeFrom="column">
              <wp:posOffset>-16510</wp:posOffset>
            </wp:positionH>
            <wp:positionV relativeFrom="paragraph">
              <wp:posOffset>201930</wp:posOffset>
            </wp:positionV>
            <wp:extent cx="5256530" cy="2988310"/>
            <wp:effectExtent l="5080" t="4444" r="8889" b="17145"/>
            <wp:wrapTopAndBottom/>
            <wp:docPr id="8" name="图表 9"/>
            <wp:cNvGraphicFramePr>
              <a:graphicFrameLocks noChangeAspect="0"/>
            </wp:cNvGraphicFramePr>
            <a:graphic>
              <a:graphicData uri="http://schemas.openxmlformats.org/drawingml/2006/chart">
                <c:chart xmlns:c="http://schemas.openxmlformats.org/drawingml/2006/chart" r:id="rId13"/>
              </a:graphicData>
            </a:graphic>
          </wp:anchor>
        </w:drawing>
      </w:r>
    </w:p>
    <w:p>
      <w:pPr>
        <w:widowControl/>
        <w:spacing w:line="360" w:lineRule="auto"/>
        <w:jc w:val="left"/>
        <w:outlineLvl w:val="1"/>
        <w:rPr>
          <w:rFonts w:ascii="Times New Roman" w:eastAsia="黑体" w:hAnsi="Times New Roman"/>
          <w:sz w:val="32"/>
          <w:szCs w:val="32"/>
        </w:rPr>
      </w:pPr>
      <w:r>
        <w:rPr>
          <w:rFonts w:ascii="Times New Roman" w:eastAsia="黑体" w:hAnsi="Times New Roman"/>
          <w:sz w:val="32"/>
          <w:szCs w:val="32"/>
        </w:rPr>
        <w:t>三、支出决算情况说明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2024年度本年支出合计3,344.81万元，其中：基本支出3,234.81万元，占96.7%；项目支出110.00万元，占3.3%；上缴上级支出0.00万元，占0.0%；经营支出0.00万元，占0.0%；对附属单位补助支出0.00万元，占0.0%。</w:t>
      </w:r>
    </w:p>
    <w:p>
      <w:pPr>
        <w:autoSpaceDE w:val="0"/>
        <w:autoSpaceDN w:val="0"/>
        <w:adjustRightInd w:val="0"/>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drawing>
          <wp:inline distT="0" distB="0" distL="114300" distR="114300">
            <wp:extent cx="5256530" cy="2988310"/>
            <wp:effectExtent l="5080" t="4444" r="11430" b="9525"/>
            <wp:docPr id="9" name="图表 7"/>
            <wp:cNvGraphicFramePr>
              <a:graphicFrameLocks noChangeAspect="0"/>
            </wp:cNvGraphicFramePr>
            <a:graphic>
              <a:graphicData uri="http://schemas.openxmlformats.org/drawingml/2006/chart">
                <c:chart xmlns:c="http://schemas.openxmlformats.org/drawingml/2006/chart" r:id="rId14"/>
              </a:graphicData>
            </a:graphic>
          </wp:inline>
        </w:drawing>
      </w:r>
    </w:p>
    <w:p>
      <w:pPr>
        <w:widowControl/>
        <w:spacing w:line="360" w:lineRule="auto"/>
        <w:ind w:firstLineChars="200" w:firstLine="640"/>
        <w:jc w:val="left"/>
        <w:outlineLvl w:val="1"/>
        <w:rPr>
          <w:rFonts w:ascii="Times New Roman" w:eastAsia="黑体" w:hAnsi="Times New Roman"/>
          <w:sz w:val="32"/>
          <w:szCs w:val="32"/>
        </w:rPr>
      </w:pPr>
      <w:r>
        <w:rPr>
          <w:rFonts w:ascii="Times New Roman" w:eastAsia="黑体" w:hAnsi="Times New Roman"/>
          <w:sz w:val="32"/>
          <w:szCs w:val="32"/>
        </w:rPr>
        <w:t>四、财政拨款收入支出决算总体情况说明</w:t>
      </w:r>
    </w:p>
    <w:p>
      <w:pPr>
        <w:widowControl/>
        <w:spacing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（一）财政拨款收支与</w:t>
      </w:r>
      <w:r>
        <w:rPr>
          <w:rFonts w:ascii="Times New Roman" w:eastAsia="仿宋_GB2312" w:hAnsi="Times New Roman"/>
          <w:b/>
          <w:sz w:val="32"/>
          <w:szCs w:val="32"/>
        </w:rPr>
        <w:t>2023</w:t>
      </w:r>
      <w:r>
        <w:rPr>
          <w:rFonts w:ascii="Times New Roman" w:eastAsia="楷体_GB2312" w:hAnsi="Times New Roman"/>
          <w:b/>
          <w:sz w:val="32"/>
          <w:szCs w:val="32"/>
        </w:rPr>
        <w:t>年度决算对比情况</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2024年度财政拨款收、支总计（含结转和结余）均为3,344.81万元。与2023年度相比，财政拨款收支各减少687.80万元，降低17.</w:t>
      </w:r>
      <w:r>
        <w:rPr>
          <w:rFonts w:ascii="Times New Roman" w:eastAsia="仿宋_GB2312" w:hAnsi="Times New Roman" w:hint="eastAsia"/>
          <w:sz w:val="32"/>
          <w:szCs w:val="32"/>
        </w:rPr>
        <w:t>06</w:t>
      </w:r>
      <w:r>
        <w:rPr>
          <w:rFonts w:ascii="Times New Roman" w:eastAsia="仿宋_GB2312" w:hAnsi="Times New Roman"/>
          <w:sz w:val="32"/>
          <w:szCs w:val="32"/>
        </w:rPr>
        <w:t>%，主要原因是人员经费</w:t>
      </w:r>
      <w:r>
        <w:rPr>
          <w:rFonts w:ascii="Times New Roman" w:eastAsia="仿宋_GB2312" w:hAnsi="Times New Roman" w:hint="eastAsia"/>
          <w:sz w:val="32"/>
          <w:szCs w:val="32"/>
        </w:rPr>
        <w:t>减少，</w:t>
      </w:r>
      <w:r>
        <w:rPr>
          <w:rFonts w:ascii="Times New Roman" w:eastAsia="仿宋_GB2312" w:hAnsi="Times New Roman"/>
          <w:sz w:val="32"/>
          <w:szCs w:val="32"/>
        </w:rPr>
        <w:t>退休人员增加，基本支出减少441.68万元，项目减少246</w:t>
      </w:r>
      <w:r>
        <w:rPr>
          <w:rFonts w:ascii="Times New Roman" w:eastAsia="仿宋_GB2312" w:hAnsi="Times New Roman" w:hint="eastAsia"/>
          <w:sz w:val="32"/>
          <w:szCs w:val="32"/>
        </w:rPr>
        <w:t>.12</w:t>
      </w:r>
      <w:r>
        <w:rPr>
          <w:rFonts w:ascii="Times New Roman" w:eastAsia="仿宋_GB2312" w:hAnsi="Times New Roman"/>
          <w:sz w:val="32"/>
          <w:szCs w:val="32"/>
        </w:rPr>
        <w:t>万元。。</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2024年度财政拨款本年收入3,344.81万元,比上年减少687.8万元，降低17.</w:t>
      </w:r>
      <w:r>
        <w:rPr>
          <w:rFonts w:ascii="Times New Roman" w:eastAsia="仿宋_GB2312" w:hAnsi="Times New Roman" w:hint="eastAsia"/>
          <w:sz w:val="32"/>
          <w:szCs w:val="32"/>
        </w:rPr>
        <w:t>06</w:t>
      </w:r>
      <w:r>
        <w:rPr>
          <w:rFonts w:ascii="Times New Roman" w:eastAsia="仿宋_GB2312" w:hAnsi="Times New Roman"/>
          <w:sz w:val="32"/>
          <w:szCs w:val="32"/>
        </w:rPr>
        <w:t>%，主要原因是人员经费</w:t>
      </w:r>
      <w:r>
        <w:rPr>
          <w:rFonts w:ascii="Times New Roman" w:eastAsia="仿宋_GB2312" w:hAnsi="Times New Roman" w:hint="eastAsia"/>
          <w:sz w:val="32"/>
          <w:szCs w:val="32"/>
        </w:rPr>
        <w:t>减少，</w:t>
      </w:r>
      <w:r>
        <w:rPr>
          <w:rFonts w:ascii="Times New Roman" w:eastAsia="仿宋_GB2312" w:hAnsi="Times New Roman"/>
          <w:sz w:val="32"/>
          <w:szCs w:val="32"/>
        </w:rPr>
        <w:t>退休人员增加，基本支出减少441.68万元，项目减少246</w:t>
      </w:r>
      <w:r>
        <w:rPr>
          <w:rFonts w:ascii="Times New Roman" w:eastAsia="仿宋_GB2312" w:hAnsi="Times New Roman" w:hint="eastAsia"/>
          <w:sz w:val="32"/>
          <w:szCs w:val="32"/>
        </w:rPr>
        <w:t>.12</w:t>
      </w:r>
      <w:r>
        <w:rPr>
          <w:rFonts w:ascii="Times New Roman" w:eastAsia="仿宋_GB2312" w:hAnsi="Times New Roman"/>
          <w:sz w:val="32"/>
          <w:szCs w:val="32"/>
        </w:rPr>
        <w:t>万元。；本年支出3,344.81万元，比上年减少687.8万元，降低17.</w:t>
      </w:r>
      <w:r>
        <w:rPr>
          <w:rFonts w:ascii="Times New Roman" w:eastAsia="仿宋_GB2312" w:hAnsi="Times New Roman" w:hint="eastAsia"/>
          <w:sz w:val="32"/>
          <w:szCs w:val="32"/>
        </w:rPr>
        <w:t>06</w:t>
      </w:r>
      <w:r>
        <w:rPr>
          <w:rFonts w:ascii="Times New Roman" w:eastAsia="仿宋_GB2312" w:hAnsi="Times New Roman"/>
          <w:sz w:val="32"/>
          <w:szCs w:val="32"/>
        </w:rPr>
        <w:t>%，主要原因是人员经费</w:t>
      </w:r>
      <w:r>
        <w:rPr>
          <w:rFonts w:ascii="Times New Roman" w:eastAsia="仿宋_GB2312" w:hAnsi="Times New Roman" w:hint="eastAsia"/>
          <w:sz w:val="32"/>
          <w:szCs w:val="32"/>
        </w:rPr>
        <w:t>减少，</w:t>
      </w:r>
      <w:r>
        <w:rPr>
          <w:rFonts w:ascii="Times New Roman" w:eastAsia="仿宋_GB2312" w:hAnsi="Times New Roman"/>
          <w:sz w:val="32"/>
          <w:szCs w:val="32"/>
        </w:rPr>
        <w:t>退休人员增加，基本支出减少441.68万元，项目减少246</w:t>
      </w:r>
      <w:r>
        <w:rPr>
          <w:rFonts w:ascii="Times New Roman" w:eastAsia="仿宋_GB2312" w:hAnsi="Times New Roman" w:hint="eastAsia"/>
          <w:sz w:val="32"/>
          <w:szCs w:val="32"/>
        </w:rPr>
        <w:t>.12</w:t>
      </w:r>
      <w:r>
        <w:rPr>
          <w:rFonts w:ascii="Times New Roman" w:eastAsia="仿宋_GB2312" w:hAnsi="Times New Roman"/>
          <w:sz w:val="32"/>
          <w:szCs w:val="32"/>
        </w:rPr>
        <w:t>万元。具体情况如下：</w:t>
      </w:r>
    </w:p>
    <w:p>
      <w:pPr>
        <w:widowControl/>
        <w:spacing w:line="360" w:lineRule="auto"/>
        <w:ind w:firstLineChars="200" w:firstLine="640"/>
        <w:jc w:val="left"/>
        <w:outlineLvl w:val="1"/>
        <w:rPr>
          <w:rFonts w:ascii="Times New Roman" w:eastAsia="仿宋_GB2312" w:hAnsi="Times New Roman"/>
          <w:sz w:val="32"/>
          <w:szCs w:val="32"/>
        </w:rPr>
      </w:pPr>
      <w:r>
        <w:rPr>
          <w:rFonts w:ascii="Times New Roman" w:eastAsia="仿宋_GB2312" w:hAnsi="Times New Roman"/>
          <w:sz w:val="32"/>
          <w:szCs w:val="32"/>
        </w:rPr>
        <w:t>1. 一般公共预算财政拨款本年收入3,314.81万元,比上年减少717</w:t>
      </w:r>
      <w:r>
        <w:rPr>
          <w:rFonts w:ascii="Times New Roman" w:eastAsia="仿宋_GB2312" w:hAnsi="Times New Roman" w:hint="eastAsia"/>
          <w:sz w:val="32"/>
          <w:szCs w:val="32"/>
        </w:rPr>
        <w:t>.8</w:t>
      </w:r>
      <w:r>
        <w:rPr>
          <w:rFonts w:ascii="Times New Roman" w:eastAsia="仿宋_GB2312" w:hAnsi="Times New Roman"/>
          <w:sz w:val="32"/>
          <w:szCs w:val="32"/>
        </w:rPr>
        <w:t>万元，降低17.8%，主要原因是人员经费</w:t>
      </w:r>
      <w:r>
        <w:rPr>
          <w:rFonts w:ascii="Times New Roman" w:eastAsia="仿宋_GB2312" w:hAnsi="Times New Roman" w:hint="eastAsia"/>
          <w:sz w:val="32"/>
          <w:szCs w:val="32"/>
        </w:rPr>
        <w:t>减少，</w:t>
      </w:r>
      <w:r>
        <w:rPr>
          <w:rFonts w:ascii="Times New Roman" w:eastAsia="仿宋_GB2312" w:hAnsi="Times New Roman"/>
          <w:sz w:val="32"/>
          <w:szCs w:val="32"/>
        </w:rPr>
        <w:t>退休人员增加，基本支出减少441.68万元；本年支出3,314.81万元，比上年减少717.</w:t>
      </w:r>
      <w:r>
        <w:rPr>
          <w:rFonts w:ascii="Times New Roman" w:eastAsia="仿宋_GB2312" w:hAnsi="Times New Roman" w:hint="eastAsia"/>
          <w:sz w:val="32"/>
          <w:szCs w:val="32"/>
        </w:rPr>
        <w:t>8</w:t>
      </w:r>
      <w:r>
        <w:rPr>
          <w:rFonts w:ascii="Times New Roman" w:eastAsia="仿宋_GB2312" w:hAnsi="Times New Roman"/>
          <w:sz w:val="32"/>
          <w:szCs w:val="32"/>
        </w:rPr>
        <w:t>万元，降低17.8%，主要原因是人员经费</w:t>
      </w:r>
      <w:r>
        <w:rPr>
          <w:rFonts w:ascii="Times New Roman" w:eastAsia="仿宋_GB2312" w:hAnsi="Times New Roman" w:hint="eastAsia"/>
          <w:sz w:val="32"/>
          <w:szCs w:val="32"/>
        </w:rPr>
        <w:t>减少，</w:t>
      </w:r>
      <w:r>
        <w:rPr>
          <w:rFonts w:ascii="Times New Roman" w:eastAsia="仿宋_GB2312" w:hAnsi="Times New Roman"/>
          <w:sz w:val="32"/>
          <w:szCs w:val="32"/>
        </w:rPr>
        <w:t>退休人员增加，基本支出减少441.68万元。</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 政府性基金预算财政拨款本年收入30.00万元，比上年增加30.00万元，增长100.00%，主要原因是新增其他地方试点项目收益专项债券收入安排的支出昌黎县黄金海岸园区基础设施项目；本年支出30.00万元，比上年增加30.00万元，增长100.00%，主要原因是新增其他地方试点项目收益专项债券收入安排的支出昌黎县黄金海岸园区基础设施项目。</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3. 国有资本经营预算财政拨款本年收入0.00万元，比上年增加0.00万元，增长0.00%，</w:t>
      </w:r>
      <w:r>
        <w:rPr>
          <w:rFonts w:ascii="Times New Roman" w:eastAsia="仿宋_GB2312" w:hAnsi="Times New Roman" w:hint="eastAsia"/>
          <w:sz w:val="32"/>
          <w:szCs w:val="32"/>
        </w:rPr>
        <w:t>与上年持平；本年支出合计0.00万元，与上年持平。</w:t>
      </w:r>
    </w:p>
    <w:p>
      <w:pPr>
        <w:widowControl/>
        <w:spacing w:line="360" w:lineRule="auto"/>
        <w:ind w:firstLineChars="200" w:firstLine="640"/>
        <w:jc w:val="left"/>
        <w:rPr>
          <w:rFonts w:ascii="Times New Roman" w:eastAsia="仿宋_GB2312" w:hAnsi="Times New Roman"/>
          <w:sz w:val="32"/>
          <w:szCs w:val="32"/>
        </w:rPr>
      </w:pPr>
    </w:p>
    <w:p>
      <w:pPr>
        <w:pStyle w:val="19"/>
        <w:widowControl/>
        <w:spacing w:beforeAutospacing="0" w:afterAutospacing="0"/>
        <w:jc w:val="center"/>
        <w:rPr>
          <w:rFonts w:ascii="Times New Roman" w:eastAsia="仿宋_GB2312" w:hAnsi="Times New Roman"/>
          <w:sz w:val="32"/>
          <w:szCs w:val="32"/>
        </w:rPr>
      </w:pPr>
      <w:r>
        <w:rPr>
          <w:rFonts w:ascii="Times New Roman" w:eastAsia="仿宋_GB2312" w:hAnsi="Times New Roman"/>
          <w:sz w:val="32"/>
          <w:szCs w:val="32"/>
        </w:rPr>
        <w:drawing>
          <wp:inline distT="0" distB="0" distL="114300" distR="114300">
            <wp:extent cx="5256530" cy="2988310"/>
            <wp:effectExtent l="5080" t="4444" r="8889" b="17145"/>
            <wp:docPr id="10" name="图表 3"/>
            <wp:cNvGraphicFramePr>
              <a:graphicFrameLocks noChangeAspect="0"/>
            </wp:cNvGraphicFramePr>
            <a:graphic>
              <a:graphicData uri="http://schemas.openxmlformats.org/drawingml/2006/chart">
                <c:chart xmlns:c="http://schemas.openxmlformats.org/drawingml/2006/chart" r:id="rId15"/>
              </a:graphicData>
            </a:graphic>
          </wp:inline>
        </w:drawing>
      </w:r>
    </w:p>
    <w:p>
      <w:pPr>
        <w:widowControl/>
        <w:spacing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（二）财政拨款收支与年初预算数对比情况</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2024年度财政拨款本年收入3,344.81万元，完成年初预算的95.7%，比年初预算减少150.09万元，决算数小于预算数主要原因是人员经费减少</w:t>
      </w:r>
      <w:r>
        <w:rPr>
          <w:rFonts w:ascii="Times New Roman" w:eastAsia="仿宋_GB2312" w:hAnsi="Times New Roman" w:hint="eastAsia"/>
          <w:sz w:val="32"/>
          <w:szCs w:val="32"/>
        </w:rPr>
        <w:t>，退休人员增加</w:t>
      </w:r>
      <w:r>
        <w:rPr>
          <w:rFonts w:ascii="Times New Roman" w:eastAsia="仿宋_GB2312" w:hAnsi="Times New Roman"/>
          <w:sz w:val="32"/>
          <w:szCs w:val="32"/>
        </w:rPr>
        <w:t>；本年支出3,344.81万元，完成年初预算的95.7%，比年初预算减少150.09万元，决算数小于预算数主要原因是人员经费减少</w:t>
      </w:r>
      <w:r>
        <w:rPr>
          <w:rFonts w:ascii="Times New Roman" w:eastAsia="仿宋_GB2312" w:hAnsi="Times New Roman" w:hint="eastAsia"/>
          <w:sz w:val="32"/>
          <w:szCs w:val="32"/>
        </w:rPr>
        <w:t>，退休人员增加</w:t>
      </w:r>
      <w:r>
        <w:rPr>
          <w:rFonts w:ascii="Times New Roman" w:eastAsia="仿宋_GB2312" w:hAnsi="Times New Roman"/>
          <w:sz w:val="32"/>
          <w:szCs w:val="32"/>
        </w:rPr>
        <w:t>。具体情况如下：</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 一般公共预算财政拨款本年收入完成年初预算的94.8%，比年初预算减少180.09万元，主要原因是人员经费减少；支出完成年初预算的94.8%，比年初预算减少180.09万元，主要原因是人员经费减少</w:t>
      </w:r>
      <w:r>
        <w:rPr>
          <w:rFonts w:ascii="Times New Roman" w:eastAsia="仿宋_GB2312" w:hAnsi="Times New Roman" w:hint="eastAsia"/>
          <w:sz w:val="32"/>
          <w:szCs w:val="32"/>
        </w:rPr>
        <w:t>，退休人员增加</w:t>
      </w:r>
      <w:r>
        <w:rPr>
          <w:rFonts w:ascii="Times New Roman" w:eastAsia="仿宋_GB2312" w:hAnsi="Times New Roman"/>
          <w:sz w:val="32"/>
          <w:szCs w:val="32"/>
        </w:rPr>
        <w:t>。</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 政府性基金预算财政拨款本年收入完成年初预算的0.0%，比年初预算增加30.00万元，主要原因是新增其他地方试点项目收益专项债券收入安排的支出昌黎县黄金海岸园区基础设施项目；支出完成年初预算的0.0%，比年初预算增加30.00万元，主要原因是新增其他地方试点项目收益专项债券收入安排的支出昌黎县黄金海岸园区基础设施项目。</w:t>
      </w:r>
    </w:p>
    <w:p>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 国有资本经营预算财政拨款本年收入完成年初预算的0.0%，比年初预算增加0.00万元，</w:t>
      </w:r>
      <w:r>
        <w:rPr>
          <w:rFonts w:ascii="Times New Roman" w:eastAsia="仿宋_GB2312" w:hAnsi="Times New Roman" w:hint="eastAsia"/>
          <w:sz w:val="32"/>
          <w:szCs w:val="32"/>
        </w:rPr>
        <w:t>与预算持平；本年支出合计0.00万元，与预算持平。</w:t>
      </w:r>
    </w:p>
    <w:p>
      <w:pPr>
        <w:widowControl/>
        <w:spacing w:line="360" w:lineRule="auto"/>
        <w:ind w:firstLineChars="200" w:firstLine="480"/>
        <w:jc w:val="left"/>
        <w:rPr>
          <w:rFonts w:ascii="Times New Roman" w:eastAsia="Arial" w:hAnsi="Times New Roman"/>
        </w:rPr>
      </w:pPr>
    </w:p>
    <w:p>
      <w:pPr>
        <w:pStyle w:val="19"/>
        <w:widowControl/>
        <w:spacing w:beforeAutospacing="0" w:afterAutospacing="0"/>
        <w:jc w:val="center"/>
        <w:rPr>
          <w:rFonts w:ascii="Times New Roman" w:eastAsia="仿宋_GB2312" w:hAnsi="Times New Roman"/>
          <w:sz w:val="32"/>
          <w:szCs w:val="32"/>
        </w:rPr>
      </w:pPr>
      <w:r>
        <w:rPr>
          <w:rFonts w:ascii="Times New Roman" w:eastAsia="仿宋_GB2312" w:hAnsi="Times New Roman"/>
          <w:sz w:val="32"/>
          <w:szCs w:val="32"/>
        </w:rPr>
        <w:drawing>
          <wp:inline distT="0" distB="0" distL="114300" distR="114300">
            <wp:extent cx="5256530" cy="2988310"/>
            <wp:effectExtent l="5080" t="4444" r="8889" b="17145"/>
            <wp:docPr id="11" name="图表 11"/>
            <wp:cNvGraphicFramePr>
              <a:graphicFrameLocks noChangeAspect="0"/>
            </wp:cNvGraphicFramePr>
            <a:graphic>
              <a:graphicData uri="http://schemas.openxmlformats.org/drawingml/2006/chart">
                <c:chart xmlns:c="http://schemas.openxmlformats.org/drawingml/2006/chart" r:id="rId16"/>
              </a:graphicData>
            </a:graphic>
          </wp:inline>
        </w:drawing>
      </w:r>
    </w:p>
    <w:p>
      <w:pPr>
        <w:widowControl/>
        <w:spacing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（三）财政拨款支出决算结构情况</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2024年度财政拨款支出3,344.81万元，主要用于以下方面：</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一般公共预算财政拨款支出：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般公共服务（类）支出0.00万元，占0.0%，主要用于等支出；外交（类）支出0.00万元，占0.0%，主要用于等支出；国防（类）支出0.00万元，占0.0%，主要用于等支出；公共安全类（类）支出0.00万元，占0.0%，主要用于等支出；教育（类）支出0.00万元，占0.0%，主要用于等支出；科学技术（类）支出0.00万元，占0.0%，主要用于等支出；文化旅游体育与传媒（类）支出3,314.81万元，占99.1%，主要用于人员经费及日常公用等支出；社会保障和就业 （类）支出0.00万元，占0.0%，主要用于等支出；卫生健康（类）支出0.00万元，占0.0%，主要用于等支出；节能环保（类）支出0.00万元，占0.0%，主要用于等支出；城乡社区（类）支出0.00万元，占0.0%，主要用于等支出；农林水（类）支出0.00万元，占0.0%，主要用于等支出；交通运输（类）支出0.00万元，占0.0%，主要用于等支出；资源勘探信息等（类）支出0.00万元，占0.0%，主要用于等支出；商业服务业等（类）支出0.00万元，占0.0%，主要用于等支出；金融（类）支出0.00万元，占0.0%，主要用于等支出；援助其他地区（类）支出0.00万元，占0.0%，主要用于等支出；自然资源海洋气象等（类）支出0.00万元，占0.0%，主要用于等支出；住房保障（类）支出0.00万元，占0.0%，主要用于等支出；粮油物资储备（类）支出0.00万元，占0.0%，主要用于等支出；国有资本经营预算支出0.00万元，占0.0%，主要用于等支出；害防治及应急管理（类）支出0.00万元，占0.0%，主要用于等支出；其他（类）支出0.00万元，占0.0%，主要用于等支出；债务还本（类）支出0.00万元，占0.0%，主要用于等支出；债务付息（类）支出0.00万元，占0.0%，主要用于等支出；抗疫特别国债安排的支出0.00万元，占0.0%，主要用于等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政府性基金预算财政拨款支出：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般公共服务（类）支出0.00万元，占0.0%，主要用于等支出；外交（类）支出0.00万元，占0.0%，主要用于等支出；国防（类）支出0.00万元，占0.0%，主要用于等支出；公共安全类（类）支出0.00万元，占0.0%，主要用于等支出；教育（类）支出0.00万元，占0.0%，主要用于等支出；科学技术（类）支出0.00万元，占0.0%，主要用于等支出；文化旅游体育与传媒（类）支出0.00万元，占0.0%，主要用于等支出；社会保障和就业 （类）支出0.00万元，占0.0%，主要用于等支出；卫生健康（类）支出0.00万元，占0.0%，主要用于等支出；节能环保（类）支出0.00万元，占0.0%，主要用于等支出；城乡社区（类）支出0.00万元，占0.0%，主要用于等支出；农林水（类）支出0.00万元，占0.0%，主要用于等支出；交通运输（类）支出0.00万元，占0.0%，主要用于等支出；资源勘探信息等（类）支出0.00万元，占0.0%，主要用于等支出；商业服务业等（类）支出0.00万元，占0.0%，主要用于等支出；金融（类）支出0.00万元，占0.0%，主要用于等支出；援助其他地区（类）支出0.00万元，占0.0%，主要用于等支出；自然资源海洋气象等（类）支出0.00万元，占0.0%，主要用于等支出；住房保障（类）支出0.00万元，占0.0%，主要用于等支出；粮油物资储备（类）支出0.00万元，占0.0%，主要用于等支出；国有资本经营预算支出0.00万元，占0.0%，主要用于等支出；害防治及应急管理（类）支出0.00万元，占0.0%，主要用于等支出；其他（类）支出30.00万元，占0.9%，主要用于基础设施建设等支出；债务还本（类）支出0.00万元，占0.0%，主要用于等支出；债务付息（类）支出0.00万元，占0.0%，主要用于等支出；抗疫特别国债安排的支出0.00万元，占0.00%，主要用于等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国有资本经营预算财政拨款支出：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般公共服务（类）支出0.00万元，占0.0%，主要用于等支出；外交（类）支出0.00万元，占0.0%，主要用于等支出；国防（类）支出0.00万元，占0.0%，主要用于等支出；公共安全（类）支出0.00万元，占0.0%，主要用于等支出；教育（类）支出0.00万元，占0.0%，主要用于等支出；科学技术（类）支出0.00万元，占0.0%，主要用于等支出；文化旅游体育与传媒（类）支出0.00万元，占0.0%，主要用于等支出；社会保障和就业 （类）支出0.00万元，占0.0%，主要用于等支出；卫生健康（类）支出0.00万元，占0.0%，主要用于等支出；节能环保（类）支出0.00万元，占0.0%，主要用于等支出；城乡社区（类）支出0.00万元，占0.0%，主要用于等支出；农林水（类）支出0.00万元，占0.0%，主要用于等支出；交通运输（类）支出0.00万元，占0.0%，主要用于等支出；资源勘探信息等（类）支出0.00万元，占0.0%，主要用于等支出；商业服务业等（类）支出0.00万元，占0.0%，主要用于等支出；金融（类）支出0.00万元，占0.0%，主要用于等支出；援助其他地区（类）支出0.00万元，占0.0%，主要用于等支出；自然资源海洋气象等（类）支出0.00万元，占0.0%，主要用于等支出；住房保障（类）支出0.00万元，占0.0%，主要用于等支出；粮油物资储备（类）支出0.00万元，占0.0%，主要用于等支出；国有资本经营预算支出0.00万元，占0.0%，主要用于等支出；害防治及应急管理（类）支出0.00万元，占0.0%，主要用于等支出；其他（类）支出0.00万元，占0.0%，主要用于等支出；债务还本（类）支出0.00万元，占0.0%，主要用于等支出；债务付息（类）支出0.00万元，占0.0%，主要用于等支出；抗疫特别国债安排的支出0.00万元，占0.0%，主要用于等支出。</w:t>
      </w:r>
    </w:p>
    <w:p>
      <w:pPr>
        <w:pStyle w:val="19"/>
        <w:widowControl/>
        <w:spacing w:beforeAutospacing="0" w:afterAutospacing="0"/>
        <w:rPr>
          <w:rFonts w:ascii="Times New Roman" w:eastAsia="仿宋_GB2312" w:hAnsi="Times New Roman"/>
          <w:kern w:val="2"/>
          <w:sz w:val="32"/>
          <w:szCs w:val="32"/>
          <w:lang w:val="zh-CN"/>
        </w:rPr>
      </w:pPr>
      <w:r>
        <w:rPr>
          <w:rFonts w:ascii="Times New Roman" w:eastAsia="仿宋_GB2312" w:hAnsi="Times New Roman"/>
          <w:kern w:val="2"/>
          <w:sz w:val="32"/>
          <w:szCs w:val="32"/>
        </w:rPr>
        <w:drawing>
          <wp:inline distT="0" distB="0" distL="114300" distR="114300">
            <wp:extent cx="5859145" cy="2988310"/>
            <wp:effectExtent l="5080" t="4444" r="15873" b="17145"/>
            <wp:docPr id="12" name="图表 13"/>
            <wp:cNvGraphicFramePr>
              <a:graphicFrameLocks noChangeAspect="0"/>
            </wp:cNvGraphicFramePr>
            <a:graphic>
              <a:graphicData uri="http://schemas.openxmlformats.org/drawingml/2006/chart">
                <c:chart xmlns:c="http://schemas.openxmlformats.org/drawingml/2006/chart" r:id="rId17"/>
              </a:graphicData>
            </a:graphic>
          </wp:inline>
        </w:drawing>
      </w:r>
    </w:p>
    <w:p>
      <w:pPr>
        <w:widowControl/>
        <w:spacing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（四）一般公共预算基本支出决算情况说明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2024年度财政拨款基本支出3,234.81万元，其中：</w:t>
      </w:r>
    </w:p>
    <w:p>
      <w:pPr>
        <w:widowControl/>
        <w:spacing w:line="360" w:lineRule="auto"/>
        <w:ind w:firstLineChars="200" w:firstLine="640"/>
        <w:jc w:val="left"/>
        <w:rPr>
          <w:rFonts w:ascii="Times New Roman" w:eastAsia="仿宋_GB2312" w:cs="Times New Roman" w:hAnsi="Times New Roman"/>
          <w:sz w:val="32"/>
          <w:szCs w:val="32"/>
        </w:rPr>
      </w:pPr>
      <w:r>
        <w:rPr>
          <w:rFonts w:ascii="Times New Roman" w:eastAsia="仿宋_GB2312" w:hAnsi="Times New Roman"/>
          <w:sz w:val="32"/>
          <w:szCs w:val="32"/>
        </w:rPr>
        <w:t>人员经费3,210.67万元，</w:t>
      </w:r>
      <w:r>
        <w:rPr>
          <w:rFonts w:ascii="Times New Roman" w:eastAsia="仿宋_GB2312" w:cs="Times New Roman" w:hAnsi="Times New Roman"/>
          <w:sz w:val="32"/>
          <w:szCs w:val="32"/>
        </w:rPr>
        <w:t>主要包括基本工资</w:t>
      </w:r>
      <w:r>
        <w:rPr>
          <w:rFonts w:ascii="Times New Roman" w:eastAsia="仿宋_GB2312" w:cs="Times New Roman" w:hAnsi="Times New Roman" w:hint="eastAsia"/>
          <w:sz w:val="32"/>
          <w:szCs w:val="32"/>
        </w:rPr>
        <w:t>220.6万元</w:t>
      </w:r>
      <w:r>
        <w:rPr>
          <w:rFonts w:ascii="Times New Roman" w:eastAsia="仿宋_GB2312" w:cs="Times New Roman" w:hAnsi="Times New Roman"/>
          <w:sz w:val="32"/>
          <w:szCs w:val="32"/>
        </w:rPr>
        <w:t>、津贴补贴</w:t>
      </w:r>
      <w:r>
        <w:rPr>
          <w:rFonts w:ascii="Times New Roman" w:eastAsia="仿宋_GB2312" w:cs="Times New Roman" w:hAnsi="Times New Roman" w:hint="eastAsia"/>
          <w:sz w:val="32"/>
          <w:szCs w:val="32"/>
        </w:rPr>
        <w:t>9.07万元</w:t>
      </w:r>
      <w:r>
        <w:rPr>
          <w:rFonts w:ascii="Times New Roman" w:eastAsia="仿宋_GB2312" w:cs="Times New Roman" w:hAnsi="Times New Roman"/>
          <w:sz w:val="32"/>
          <w:szCs w:val="32"/>
        </w:rPr>
        <w:t>、绩效工资</w:t>
      </w:r>
      <w:r>
        <w:rPr>
          <w:rFonts w:ascii="Times New Roman" w:eastAsia="仿宋_GB2312" w:cs="Times New Roman" w:hAnsi="Times New Roman" w:hint="eastAsia"/>
          <w:sz w:val="32"/>
          <w:szCs w:val="32"/>
        </w:rPr>
        <w:t>112.23万元</w:t>
      </w:r>
      <w:r>
        <w:rPr>
          <w:rFonts w:ascii="Times New Roman" w:eastAsia="仿宋_GB2312" w:cs="Times New Roman" w:hAnsi="Times New Roman"/>
          <w:sz w:val="32"/>
          <w:szCs w:val="32"/>
        </w:rPr>
        <w:t>、机关事业单位基本养老保险缴费</w:t>
      </w:r>
      <w:r>
        <w:rPr>
          <w:rFonts w:ascii="Times New Roman" w:eastAsia="仿宋_GB2312" w:cs="Times New Roman" w:hAnsi="Times New Roman" w:hint="eastAsia"/>
          <w:sz w:val="32"/>
          <w:szCs w:val="32"/>
        </w:rPr>
        <w:t>57.13万元</w:t>
      </w:r>
      <w:r>
        <w:rPr>
          <w:rFonts w:ascii="Times New Roman" w:eastAsia="仿宋_GB2312" w:cs="Times New Roman" w:hAnsi="Times New Roman"/>
          <w:sz w:val="32"/>
          <w:szCs w:val="32"/>
        </w:rPr>
        <w:t>、职业年金缴费</w:t>
      </w:r>
      <w:r>
        <w:rPr>
          <w:rFonts w:ascii="Times New Roman" w:eastAsia="仿宋_GB2312" w:cs="Times New Roman" w:hAnsi="Times New Roman" w:hint="eastAsia"/>
          <w:sz w:val="32"/>
          <w:szCs w:val="32"/>
        </w:rPr>
        <w:t>27.89万元</w:t>
      </w:r>
      <w:r>
        <w:rPr>
          <w:rFonts w:ascii="Times New Roman" w:eastAsia="仿宋_GB2312" w:cs="Times New Roman" w:hAnsi="Times New Roman"/>
          <w:sz w:val="32"/>
          <w:szCs w:val="32"/>
        </w:rPr>
        <w:t>、职工基本医疗保险缴费</w:t>
      </w:r>
      <w:r>
        <w:rPr>
          <w:rFonts w:ascii="Times New Roman" w:eastAsia="仿宋_GB2312" w:cs="Times New Roman" w:hAnsi="Times New Roman" w:hint="eastAsia"/>
          <w:sz w:val="32"/>
          <w:szCs w:val="32"/>
        </w:rPr>
        <w:t>31.04万元</w:t>
      </w:r>
      <w:r>
        <w:rPr>
          <w:rFonts w:ascii="Times New Roman" w:eastAsia="仿宋_GB2312" w:cs="Times New Roman" w:hAnsi="Times New Roman"/>
          <w:sz w:val="32"/>
          <w:szCs w:val="32"/>
        </w:rPr>
        <w:t>、住房公积金</w:t>
      </w:r>
      <w:r>
        <w:rPr>
          <w:rFonts w:ascii="Times New Roman" w:eastAsia="仿宋_GB2312" w:cs="Times New Roman" w:hAnsi="Times New Roman" w:hint="eastAsia"/>
          <w:sz w:val="32"/>
          <w:szCs w:val="32"/>
        </w:rPr>
        <w:t>28.65万元</w:t>
      </w:r>
      <w:r>
        <w:rPr>
          <w:rFonts w:ascii="Times New Roman" w:eastAsia="仿宋_GB2312" w:cs="Times New Roman" w:hAnsi="Times New Roman"/>
          <w:sz w:val="32"/>
          <w:szCs w:val="32"/>
        </w:rPr>
        <w:t>、其他社会保障缴费</w:t>
      </w:r>
      <w:r>
        <w:rPr>
          <w:rFonts w:ascii="Times New Roman" w:eastAsia="仿宋_GB2312" w:cs="Times New Roman" w:hAnsi="Times New Roman" w:hint="eastAsia"/>
          <w:sz w:val="32"/>
          <w:szCs w:val="32"/>
        </w:rPr>
        <w:t>4.84万元</w:t>
      </w:r>
      <w:r>
        <w:rPr>
          <w:rFonts w:ascii="Times New Roman" w:eastAsia="仿宋_GB2312" w:cs="Times New Roman" w:hAnsi="Times New Roman"/>
          <w:sz w:val="32"/>
          <w:szCs w:val="32"/>
        </w:rPr>
        <w:t>、其他工资福利支出</w:t>
      </w:r>
      <w:r>
        <w:rPr>
          <w:rFonts w:ascii="Times New Roman" w:eastAsia="仿宋_GB2312" w:cs="Times New Roman" w:hAnsi="Times New Roman" w:hint="eastAsia"/>
          <w:sz w:val="32"/>
          <w:szCs w:val="32"/>
        </w:rPr>
        <w:t>2609.75万元</w:t>
      </w:r>
      <w:r>
        <w:rPr>
          <w:rFonts w:ascii="Times New Roman" w:eastAsia="仿宋_GB2312" w:cs="Times New Roman" w:hAnsi="Times New Roman"/>
          <w:sz w:val="32"/>
          <w:szCs w:val="32"/>
        </w:rPr>
        <w:t>、离休费、退休费</w:t>
      </w:r>
      <w:r>
        <w:rPr>
          <w:rFonts w:ascii="Times New Roman" w:eastAsia="仿宋_GB2312" w:cs="Times New Roman" w:hAnsi="Times New Roman" w:hint="eastAsia"/>
          <w:sz w:val="32"/>
          <w:szCs w:val="32"/>
        </w:rPr>
        <w:t>94.96万元</w:t>
      </w:r>
      <w:r>
        <w:rPr>
          <w:rFonts w:ascii="Times New Roman" w:eastAsia="仿宋_GB2312" w:cs="Times New Roman" w:hAnsi="Times New Roman"/>
          <w:sz w:val="32"/>
          <w:szCs w:val="32"/>
        </w:rPr>
        <w:t>、抚恤金</w:t>
      </w:r>
      <w:r>
        <w:rPr>
          <w:rFonts w:ascii="Times New Roman" w:eastAsia="仿宋_GB2312" w:cs="Times New Roman" w:hAnsi="Times New Roman" w:hint="eastAsia"/>
          <w:sz w:val="32"/>
          <w:szCs w:val="32"/>
        </w:rPr>
        <w:t>10.77万元</w:t>
      </w:r>
      <w:r>
        <w:rPr>
          <w:rFonts w:ascii="Times New Roman" w:eastAsia="仿宋_GB2312" w:cs="Times New Roman" w:hAnsi="Times New Roman"/>
          <w:sz w:val="32"/>
          <w:szCs w:val="32"/>
        </w:rPr>
        <w:t>、其他对个人和家庭的补助支出</w:t>
      </w:r>
      <w:r>
        <w:rPr>
          <w:rFonts w:ascii="Times New Roman" w:eastAsia="仿宋_GB2312" w:cs="Times New Roman" w:hAnsi="Times New Roman" w:hint="eastAsia"/>
          <w:sz w:val="32"/>
          <w:szCs w:val="32"/>
        </w:rPr>
        <w:t>3.74万元</w:t>
      </w:r>
      <w:r>
        <w:rPr>
          <w:rFonts w:ascii="Times New Roman" w:eastAsia="仿宋_GB2312" w:cs="Times New Roman" w:hAnsi="Times New Roman"/>
          <w:sz w:val="32"/>
          <w:szCs w:val="32"/>
        </w:rPr>
        <w:t>。</w:t>
      </w:r>
    </w:p>
    <w:p>
      <w:pPr>
        <w:widowControl/>
        <w:spacing w:line="360" w:lineRule="auto"/>
        <w:ind w:firstLineChars="200" w:firstLine="640"/>
        <w:jc w:val="left"/>
        <w:rPr>
          <w:rFonts w:ascii="Times New Roman" w:eastAsia="仿宋_GB2312" w:cs="Times New Roman" w:hAnsi="Times New Roman"/>
          <w:sz w:val="32"/>
          <w:szCs w:val="32"/>
        </w:rPr>
      </w:pPr>
      <w:r>
        <w:rPr>
          <w:rFonts w:ascii="Times New Roman" w:eastAsia="仿宋_GB2312" w:hAnsi="Times New Roman" w:hint="eastAsia"/>
          <w:sz w:val="32"/>
          <w:szCs w:val="32"/>
        </w:rPr>
        <w:t>公用</w:t>
      </w:r>
      <w:r>
        <w:rPr>
          <w:rFonts w:ascii="Times New Roman" w:eastAsia="仿宋_GB2312" w:hAnsi="Times New Roman"/>
          <w:sz w:val="32"/>
          <w:szCs w:val="32"/>
        </w:rPr>
        <w:t>经费24.14万元，</w:t>
      </w:r>
      <w:r>
        <w:rPr>
          <w:rFonts w:ascii="Times New Roman" w:eastAsia="仿宋_GB2312" w:cs="Times New Roman" w:hAnsi="Times New Roman"/>
          <w:sz w:val="32"/>
          <w:szCs w:val="32"/>
        </w:rPr>
        <w:t>主要包括办公费</w:t>
      </w:r>
      <w:r>
        <w:rPr>
          <w:rFonts w:ascii="Times New Roman" w:eastAsia="仿宋_GB2312" w:cs="Times New Roman" w:hAnsi="Times New Roman" w:hint="eastAsia"/>
          <w:sz w:val="32"/>
          <w:szCs w:val="32"/>
        </w:rPr>
        <w:t>0.73万元</w:t>
      </w:r>
      <w:r>
        <w:rPr>
          <w:rFonts w:ascii="Times New Roman" w:eastAsia="仿宋_GB2312" w:cs="Times New Roman" w:hAnsi="Times New Roman"/>
          <w:sz w:val="32"/>
          <w:szCs w:val="32"/>
        </w:rPr>
        <w:t>、水费</w:t>
      </w:r>
      <w:r>
        <w:rPr>
          <w:rFonts w:ascii="Times New Roman" w:eastAsia="仿宋_GB2312" w:cs="Times New Roman" w:hAnsi="Times New Roman" w:hint="eastAsia"/>
          <w:sz w:val="32"/>
          <w:szCs w:val="32"/>
        </w:rPr>
        <w:t>0.05万元</w:t>
      </w:r>
      <w:r>
        <w:rPr>
          <w:rFonts w:ascii="Times New Roman" w:eastAsia="仿宋_GB2312" w:cs="Times New Roman" w:hAnsi="Times New Roman"/>
          <w:sz w:val="32"/>
          <w:szCs w:val="32"/>
        </w:rPr>
        <w:t>、电费</w:t>
      </w:r>
      <w:r>
        <w:rPr>
          <w:rFonts w:ascii="Times New Roman" w:eastAsia="仿宋_GB2312" w:cs="Times New Roman" w:hAnsi="Times New Roman" w:hint="eastAsia"/>
          <w:sz w:val="32"/>
          <w:szCs w:val="32"/>
        </w:rPr>
        <w:t>2.97万元</w:t>
      </w:r>
      <w:r>
        <w:rPr>
          <w:rFonts w:ascii="Times New Roman" w:eastAsia="仿宋_GB2312" w:cs="Times New Roman" w:hAnsi="Times New Roman"/>
          <w:sz w:val="32"/>
          <w:szCs w:val="32"/>
        </w:rPr>
        <w:t>、邮电费</w:t>
      </w:r>
      <w:r>
        <w:rPr>
          <w:rFonts w:ascii="Times New Roman" w:eastAsia="仿宋_GB2312" w:cs="Times New Roman" w:hAnsi="Times New Roman" w:hint="eastAsia"/>
          <w:sz w:val="32"/>
          <w:szCs w:val="32"/>
        </w:rPr>
        <w:t>0.18万元</w:t>
      </w:r>
      <w:r>
        <w:rPr>
          <w:rFonts w:ascii="Times New Roman" w:eastAsia="仿宋_GB2312" w:cs="Times New Roman" w:hAnsi="Times New Roman"/>
          <w:sz w:val="32"/>
          <w:szCs w:val="32"/>
        </w:rPr>
        <w:t>、取暖费</w:t>
      </w:r>
      <w:r>
        <w:rPr>
          <w:rFonts w:ascii="Times New Roman" w:eastAsia="仿宋_GB2312" w:cs="Times New Roman" w:hAnsi="Times New Roman" w:hint="eastAsia"/>
          <w:sz w:val="32"/>
          <w:szCs w:val="32"/>
        </w:rPr>
        <w:t>10万元</w:t>
      </w:r>
      <w:r>
        <w:rPr>
          <w:rFonts w:ascii="Times New Roman" w:eastAsia="仿宋_GB2312" w:cs="Times New Roman" w:hAnsi="Times New Roman"/>
          <w:sz w:val="32"/>
          <w:szCs w:val="32"/>
        </w:rPr>
        <w:t>、物业管理费</w:t>
      </w:r>
      <w:r>
        <w:rPr>
          <w:rFonts w:ascii="Times New Roman" w:eastAsia="仿宋_GB2312" w:cs="Times New Roman" w:hAnsi="Times New Roman" w:hint="eastAsia"/>
          <w:sz w:val="32"/>
          <w:szCs w:val="32"/>
        </w:rPr>
        <w:t>3.85万元</w:t>
      </w:r>
      <w:r>
        <w:rPr>
          <w:rFonts w:ascii="Times New Roman" w:eastAsia="仿宋_GB2312" w:cs="Times New Roman" w:hAnsi="Times New Roman"/>
          <w:sz w:val="32"/>
          <w:szCs w:val="32"/>
        </w:rPr>
        <w:t>、差旅费</w:t>
      </w:r>
      <w:r>
        <w:rPr>
          <w:rFonts w:ascii="Times New Roman" w:eastAsia="仿宋_GB2312" w:cs="Times New Roman" w:hAnsi="Times New Roman" w:hint="eastAsia"/>
          <w:sz w:val="32"/>
          <w:szCs w:val="32"/>
        </w:rPr>
        <w:t>0.35万元</w:t>
      </w:r>
      <w:r>
        <w:rPr>
          <w:rFonts w:ascii="Times New Roman" w:eastAsia="仿宋_GB2312" w:cs="Times New Roman" w:hAnsi="Times New Roman"/>
          <w:sz w:val="32"/>
          <w:szCs w:val="32"/>
        </w:rPr>
        <w:t>、维修（护）费</w:t>
      </w:r>
      <w:r>
        <w:rPr>
          <w:rFonts w:ascii="Times New Roman" w:eastAsia="仿宋_GB2312" w:cs="Times New Roman" w:hAnsi="Times New Roman" w:hint="eastAsia"/>
          <w:sz w:val="32"/>
          <w:szCs w:val="32"/>
        </w:rPr>
        <w:t>0.05万元</w:t>
      </w:r>
      <w:r>
        <w:rPr>
          <w:rFonts w:ascii="Times New Roman" w:eastAsia="仿宋_GB2312" w:cs="Times New Roman" w:hAnsi="Times New Roman"/>
          <w:sz w:val="32"/>
          <w:szCs w:val="32"/>
        </w:rPr>
        <w:t>、培训费</w:t>
      </w:r>
      <w:r>
        <w:rPr>
          <w:rFonts w:ascii="Times New Roman" w:eastAsia="仿宋_GB2312" w:cs="Times New Roman" w:hAnsi="Times New Roman" w:hint="eastAsia"/>
          <w:sz w:val="32"/>
          <w:szCs w:val="32"/>
        </w:rPr>
        <w:t>0.03万元</w:t>
      </w:r>
      <w:r>
        <w:rPr>
          <w:rFonts w:ascii="Times New Roman" w:eastAsia="仿宋_GB2312" w:cs="Times New Roman" w:hAnsi="Times New Roman"/>
          <w:sz w:val="32"/>
          <w:szCs w:val="32"/>
        </w:rPr>
        <w:t>、专用材料费</w:t>
      </w:r>
      <w:r>
        <w:rPr>
          <w:rFonts w:ascii="Times New Roman" w:eastAsia="仿宋_GB2312" w:cs="Times New Roman" w:hAnsi="Times New Roman" w:hint="eastAsia"/>
          <w:sz w:val="32"/>
          <w:szCs w:val="32"/>
        </w:rPr>
        <w:t>0.18万元</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专用燃料费0.04万元、</w:t>
      </w:r>
      <w:r>
        <w:rPr>
          <w:rFonts w:ascii="Times New Roman" w:eastAsia="仿宋_GB2312" w:cs="Times New Roman" w:hAnsi="Times New Roman"/>
          <w:sz w:val="32"/>
          <w:szCs w:val="32"/>
        </w:rPr>
        <w:t>劳务费</w:t>
      </w:r>
      <w:r>
        <w:rPr>
          <w:rFonts w:ascii="Times New Roman" w:eastAsia="仿宋_GB2312" w:cs="Times New Roman" w:hAnsi="Times New Roman" w:hint="eastAsia"/>
          <w:sz w:val="32"/>
          <w:szCs w:val="32"/>
        </w:rPr>
        <w:t>0.06万元</w:t>
      </w:r>
      <w:r>
        <w:rPr>
          <w:rFonts w:ascii="Times New Roman" w:eastAsia="仿宋_GB2312" w:cs="Times New Roman" w:hAnsi="Times New Roman"/>
          <w:sz w:val="32"/>
          <w:szCs w:val="32"/>
        </w:rPr>
        <w:t>、工会经费</w:t>
      </w:r>
      <w:r>
        <w:rPr>
          <w:rFonts w:ascii="Times New Roman" w:eastAsia="仿宋_GB2312" w:cs="Times New Roman" w:hAnsi="Times New Roman" w:hint="eastAsia"/>
          <w:sz w:val="32"/>
          <w:szCs w:val="32"/>
        </w:rPr>
        <w:t>5.31万元</w:t>
      </w:r>
      <w:r>
        <w:rPr>
          <w:rFonts w:ascii="Times New Roman" w:eastAsia="仿宋_GB2312" w:cs="Times New Roman" w:hAnsi="Times New Roman"/>
          <w:sz w:val="32"/>
          <w:szCs w:val="32"/>
        </w:rPr>
        <w:t>、福利费</w:t>
      </w:r>
      <w:r>
        <w:rPr>
          <w:rFonts w:ascii="Times New Roman" w:eastAsia="仿宋_GB2312" w:cs="Times New Roman" w:hAnsi="Times New Roman" w:hint="eastAsia"/>
          <w:sz w:val="32"/>
          <w:szCs w:val="32"/>
        </w:rPr>
        <w:t>0.15万元</w:t>
      </w:r>
      <w:r>
        <w:rPr>
          <w:rFonts w:ascii="Times New Roman" w:eastAsia="仿宋_GB2312" w:cs="Times New Roman" w:hAnsi="Times New Roman"/>
          <w:sz w:val="32"/>
          <w:szCs w:val="32"/>
        </w:rPr>
        <w:t>、其他商品和服务支出</w:t>
      </w:r>
      <w:r>
        <w:rPr>
          <w:rFonts w:ascii="Times New Roman" w:eastAsia="仿宋_GB2312" w:cs="Times New Roman" w:hAnsi="Times New Roman" w:hint="eastAsia"/>
          <w:sz w:val="32"/>
          <w:szCs w:val="32"/>
        </w:rPr>
        <w:t>0.18万元</w:t>
      </w:r>
      <w:r>
        <w:rPr>
          <w:rFonts w:ascii="Times New Roman" w:eastAsia="仿宋_GB2312" w:cs="Times New Roman" w:hAnsi="Times New Roman"/>
          <w:sz w:val="32"/>
          <w:szCs w:val="32"/>
        </w:rPr>
        <w:t>。</w:t>
      </w:r>
    </w:p>
    <w:p>
      <w:pPr>
        <w:widowControl/>
        <w:spacing w:line="360" w:lineRule="auto"/>
        <w:ind w:firstLineChars="200" w:firstLine="640"/>
        <w:jc w:val="left"/>
        <w:rPr>
          <w:rFonts w:ascii="Times New Roman" w:eastAsia="黑体" w:hAnsi="Times New Roman"/>
          <w:sz w:val="32"/>
          <w:szCs w:val="32"/>
        </w:rPr>
      </w:pPr>
      <w:r>
        <w:rPr>
          <w:rFonts w:ascii="Times New Roman" w:eastAsia="黑体" w:hAnsi="Times New Roman"/>
          <w:sz w:val="32"/>
          <w:szCs w:val="32"/>
        </w:rPr>
        <w:t>五、财政拨款“三公” 经费支出决算情况说明</w:t>
      </w:r>
    </w:p>
    <w:p>
      <w:pPr>
        <w:widowControl/>
        <w:spacing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（一）“三公”经费财政拨款支出决算总体情况说明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2024年度“三公”经费财政拨款支出预算为0.00万元，支出决算为0.00万元，完成预算的0.0%，较预算增加0.00万元，增长0.0%，主要原因是与预算持平；较2023年度决算增加0.00万元，增长0.00%，主要原因是与上年持平。</w:t>
      </w:r>
    </w:p>
    <w:p>
      <w:pPr>
        <w:widowControl/>
        <w:spacing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（二）“三公”经费财政拨款支出决算具体情况说明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1.因公出国（境）费支出情况。</w:t>
      </w: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因公出国（境）费支出预算为0.00万元,支出决算0.00万元。完成预算的0.0%。因公出国（境）费支出较预算增加0.00万元，增长0.0%,主要原因是与预算持平；较上年增加0.00万元，增长0.00%,主要原因是与上年度持平。因公出国（境）团组0个、共0人、参加其他单位组织的因公出国（境）团组0个、共0人/无本部门组织的出国（境）团组。</w:t>
      </w:r>
    </w:p>
    <w:p>
      <w:pPr>
        <w:widowControl/>
        <w:spacing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2.公务用车购置及运行维护费支出情况。</w:t>
      </w: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2024年度公务用车购置及运行维护费预算为0.00万元，支出决算0.00万元，完成预算的0.0%,较预算增加0.00万元，增长0.0%,主要原因是与预算持平；较上年增加0.00万元，增长0.00%,主要原因是与上年持平。其中：</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公务用车购置费支出0.00万元：</w:t>
      </w: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2024年度公务用车购置量0辆，发生“公务用车购置”经费支出0.00万元。公务用车购置费支出较预算增加0.00万元，增长0.0%,主要原因是与预算持平；较上年增加0.00万元，增长0.00%,主要原因是与上年度持平。</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公务用车运行维护费支出0.00万元：</w:t>
      </w: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2024年度单位公务用车保有量0辆，发生运行维护费支出0.00万元。公车运行维护费支出较预算增加0.00万元，增长0.0%,主要原因是与预算持平；较上年增加0.00万元，增长0.00%，主要原因是与上年度持平。</w:t>
      </w:r>
    </w:p>
    <w:p>
      <w:pPr>
        <w:widowControl/>
        <w:spacing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3.公务接待费支出情况。</w:t>
      </w: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公务接待费支出预算为0.00万元，支出决算0.00万元，完成预算的0.0%。公务接待费支出较预算增加0.00万元，增长0.0%,主要原因是；较上年度增加0.00万元，增长0.00%,主要原因是。本年度共发生公务接待0批次、0人次。</w:t>
      </w:r>
    </w:p>
    <w:p>
      <w:pPr>
        <w:widowControl/>
        <w:spacing w:line="360" w:lineRule="auto"/>
        <w:ind w:firstLineChars="200" w:firstLine="640"/>
        <w:jc w:val="left"/>
        <w:outlineLvl w:val="1"/>
        <w:rPr>
          <w:rFonts w:ascii="Times New Roman" w:eastAsia="黑体" w:hAnsi="Times New Roman"/>
          <w:sz w:val="32"/>
          <w:szCs w:val="32"/>
        </w:rPr>
      </w:pPr>
      <w:r>
        <w:rPr>
          <w:rFonts w:ascii="Times New Roman" w:eastAsia="黑体" w:hAnsi="Times New Roman"/>
          <w:sz w:val="32"/>
          <w:szCs w:val="32"/>
        </w:rPr>
        <w:t>六、机关运行经费支出说明</w:t>
      </w:r>
    </w:p>
    <w:p>
      <w:pPr>
        <w:pStyle w:val="19"/>
        <w:widowControl/>
        <w:snapToGrid w:val="0"/>
        <w:spacing w:beforeAutospacing="0" w:afterAutospacing="0" w:line="360" w:lineRule="auto"/>
        <w:ind w:firstLine="200"/>
        <w:jc w:val="both"/>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2024年度机关运行经费支出0.00万元，较2023年度增加0.00万元，增长0.00%。主要原因是</w:t>
      </w:r>
      <w:r>
        <w:rPr>
          <w:rFonts w:ascii="Times New Roman" w:eastAsia="仿宋_GB2312" w:hAnsi="Times New Roman" w:hint="eastAsia"/>
          <w:sz w:val="32"/>
          <w:szCs w:val="32"/>
        </w:rPr>
        <w:t>本部门性质非行政单位和参照公务员管理事业单位，故无机关运行经费。</w:t>
      </w:r>
    </w:p>
    <w:p>
      <w:pPr>
        <w:widowControl/>
        <w:spacing w:line="360" w:lineRule="auto"/>
        <w:ind w:firstLineChars="200" w:firstLine="640"/>
        <w:jc w:val="left"/>
        <w:outlineLvl w:val="1"/>
        <w:rPr>
          <w:rFonts w:ascii="Times New Roman" w:eastAsia="黑体" w:hAnsi="Times New Roman"/>
          <w:sz w:val="32"/>
          <w:szCs w:val="32"/>
        </w:rPr>
      </w:pPr>
      <w:r>
        <w:rPr>
          <w:rFonts w:ascii="Times New Roman" w:eastAsia="黑体" w:hAnsi="Times New Roman"/>
          <w:sz w:val="32"/>
          <w:szCs w:val="32"/>
        </w:rPr>
        <w:t>七、政府采购支出说明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line="360" w:lineRule="auto"/>
        <w:ind w:firstLineChars="200" w:firstLine="640"/>
        <w:jc w:val="left"/>
        <w:outlineLvl w:val="1"/>
        <w:rPr>
          <w:rFonts w:ascii="Times New Roman" w:eastAsia="黑体" w:hAnsi="Times New Roman"/>
          <w:sz w:val="32"/>
          <w:szCs w:val="32"/>
        </w:rPr>
      </w:pPr>
      <w:r>
        <w:rPr>
          <w:rFonts w:ascii="Times New Roman" w:eastAsia="黑体" w:hAnsi="Times New Roman"/>
          <w:sz w:val="32"/>
          <w:szCs w:val="32"/>
        </w:rPr>
        <w:t>八、国有资产占用情况说明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截至2024年12月31日，本</w:t>
      </w:r>
      <w:r>
        <w:rPr>
          <w:rFonts w:ascii="Times New Roman" w:eastAsia="仿宋_GB2312" w:hAnsi="Times New Roman" w:hint="eastAsia"/>
          <w:sz w:val="32"/>
          <w:szCs w:val="32"/>
        </w:rPr>
        <w:t>部门</w:t>
      </w:r>
      <w:r>
        <w:rPr>
          <w:rFonts w:ascii="Times New Roman" w:eastAsia="仿宋_GB2312" w:hAnsi="Times New Roman"/>
          <w:sz w:val="32"/>
          <w:szCs w:val="32"/>
        </w:rPr>
        <w:t>共有车辆3辆，比上年增加0辆，主要是</w:t>
      </w:r>
      <w:r>
        <w:rPr>
          <w:rFonts w:ascii="Times New Roman" w:eastAsia="仿宋_GB2312" w:hAnsi="Times New Roman" w:hint="eastAsia"/>
          <w:sz w:val="32"/>
          <w:szCs w:val="32"/>
        </w:rPr>
        <w:t>无新增车辆</w:t>
      </w:r>
      <w:r>
        <w:rPr>
          <w:rFonts w:ascii="Times New Roman" w:eastAsia="仿宋_GB2312" w:hAnsi="Times New Roman"/>
          <w:sz w:val="32"/>
          <w:szCs w:val="32"/>
        </w:rPr>
        <w:t>。其中，副部（省）级及以上领导用车0辆，主要负责人用车0辆，机要通信用车0辆，应急保障用车0辆，执法执勤用车0辆，特种专业技术用车0辆，离退休干部用车0辆，其他用车3辆，其他用车主要是</w:t>
      </w:r>
      <w:r>
        <w:rPr>
          <w:rFonts w:ascii="Times New Roman" w:eastAsia="仿宋_GB2312" w:hAnsi="Times New Roman" w:hint="eastAsia"/>
          <w:sz w:val="32"/>
          <w:szCs w:val="32"/>
        </w:rPr>
        <w:t>垃圾清运车</w:t>
      </w:r>
      <w:r>
        <w:rPr>
          <w:rFonts w:ascii="Times New Roman" w:eastAsia="仿宋_GB2312" w:hAnsi="Times New Roman"/>
          <w:sz w:val="32"/>
          <w:szCs w:val="32"/>
        </w:rPr>
        <w:t>。单位价值100万元（含）以上设备（不含车辆）1台（套）。</w:t>
      </w:r>
    </w:p>
    <w:p>
      <w:pPr>
        <w:widowControl/>
        <w:spacing w:line="360" w:lineRule="auto"/>
        <w:ind w:firstLineChars="200" w:firstLine="640"/>
        <w:jc w:val="left"/>
        <w:outlineLvl w:val="1"/>
        <w:rPr>
          <w:rFonts w:ascii="Times New Roman" w:eastAsia="黑体" w:hAnsi="Times New Roman"/>
          <w:sz w:val="32"/>
          <w:szCs w:val="32"/>
        </w:rPr>
      </w:pPr>
      <w:r>
        <w:rPr>
          <w:rFonts w:ascii="Times New Roman" w:eastAsia="黑体" w:hAnsi="Times New Roman"/>
          <w:sz w:val="32"/>
          <w:szCs w:val="32"/>
        </w:rPr>
        <w:t>九、关于2024年度绩效评价情况的说明</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（一）绩效评价工作开展情况</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根据预算绩效管理要求，本</w:t>
      </w:r>
      <w:r>
        <w:rPr>
          <w:rFonts w:ascii="Times New Roman" w:eastAsia="仿宋_GB2312" w:hAnsi="Times New Roman" w:hint="eastAsia"/>
          <w:sz w:val="32"/>
          <w:szCs w:val="32"/>
        </w:rPr>
        <w:t>部门</w:t>
      </w:r>
      <w:r>
        <w:rPr>
          <w:rFonts w:ascii="Times New Roman" w:eastAsia="仿宋_GB2312" w:hAnsi="Times New Roman"/>
          <w:sz w:val="32"/>
          <w:szCs w:val="32"/>
        </w:rPr>
        <w:t>组织对2024年度本级预算项目支出全面开展绩效自评，共涉及资金110万元（决算金额）。其中，一般公共预算项目1个，涉及资金80万元，占一般公共预算项目支出总额的100%；政府性基金预算项目1个，涉及资金30万元，占政府性基金预算项目支出总额的100%；国有资本经营预算项目0个，涉及资金0万元，占国有资本经营预算项目支出总额的0%。</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组织对2024年黄金海岸环卫经费等1个项目开展了部门重点评价，涉及一般公共预算支出80万元，政府性基金预算支出</w:t>
      </w:r>
      <w:r>
        <w:rPr>
          <w:rFonts w:ascii="Times New Roman" w:eastAsia="仿宋_GB2312" w:hAnsi="Times New Roman" w:hint="eastAsia"/>
          <w:sz w:val="32"/>
          <w:szCs w:val="32"/>
        </w:rPr>
        <w:t>0</w:t>
      </w:r>
      <w:r>
        <w:rPr>
          <w:rFonts w:ascii="Times New Roman" w:eastAsia="仿宋_GB2312" w:hAnsi="Times New Roman"/>
          <w:sz w:val="32"/>
          <w:szCs w:val="32"/>
        </w:rPr>
        <w:t>万元，国有资本经营预算支出0万元，从评价情况来看，应进一步加强绩效目标编制工作，按照预算绩效管理相关要求和相关规定，结合年度工作开展实际编制系统、准确、细化量化的项目绩效目标指标，为真实有效衡量项目执行绩效提供依据和标尺。 加紧制定项目专项资金使用管理办法，对专项资金使用范围、标准、审批程序等事项进行明确，确保资金使用合理规范、严谨高效。同时应进一步加强项目的监督管理，督促项目单位按照相关规定进行专账核算，真实、准确反映资金使用情况。。</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（二）部门决算中项目绩效自评结果</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hint="eastAsia"/>
          <w:sz w:val="32"/>
          <w:szCs w:val="32"/>
        </w:rPr>
        <w:t>部门</w:t>
      </w:r>
      <w:r>
        <w:rPr>
          <w:rFonts w:ascii="Times New Roman" w:eastAsia="仿宋_GB2312" w:hAnsi="Times New Roman"/>
          <w:sz w:val="32"/>
          <w:szCs w:val="32"/>
        </w:rPr>
        <w:t>在今年部门决算公开中反映2024年黄金海岸环卫经费、昌黎县黄金海岸园区基础设施建设等2个项目绩效自评结果。</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2024年黄金海岸环卫经费项目绩效自评情况：根据年初设定的绩效目标，2024年黄金海岸环卫经费项目绩效自评得分为96分（绩效自评表附后）。全年预算数为80万元，执行数为80万元，完成预算的100%。项目绩效目标完成情况：一是2024年度结合黄金海岸的实际情况在环境整治、绿化亮化、绿化养护用水等环卫方面加大投入，保洁面积50万平方米，24小时全天卫生无死角；二是为黄金海岸北区打造一个洁、净、美的舒适旅游环境，吸引了更多的游客来昌黎旅游。发现的主要问题及原因是：一是预算编制有待更完整、科学，支出与实际支出项目有的存在差异；二是财务制度执行力有待加强，资金使用计划有待喜欢。下一步改进措施：一是细化预算编制工作，认真做好预算的编制；二是加强财务管理，严格财务审核，经费支出严格按预算规定项目的财务支出内容进行财务核算，在预算金额内严格控制费用的支出。</w:t>
      </w:r>
    </w:p>
    <w:tbl>
      <w:tblPr>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
      <w:tblGrid>
        <w:gridCol w:w="824"/>
        <w:gridCol w:w="1019"/>
        <w:gridCol w:w="1019"/>
        <w:gridCol w:w="905"/>
        <w:gridCol w:w="928"/>
        <w:gridCol w:w="744"/>
        <w:gridCol w:w="778"/>
        <w:gridCol w:w="641"/>
        <w:gridCol w:w="801"/>
        <w:gridCol w:w="641"/>
        <w:gridCol w:w="471"/>
        <w:gridCol w:w="517"/>
      </w:tblGrid>
      <w:tr>
        <w:trPr>
          <w:trHeight w:val="914"/>
        </w:trPr>
        <w:tc>
          <w:tcPr>
            <w:tcW w:w="79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一、基本情况</w:t>
            </w: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项目名称</w:t>
            </w:r>
          </w:p>
        </w:tc>
        <w:tc>
          <w:tcPr>
            <w:tcW w:w="195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2024年黄金海岸环卫经费</w:t>
            </w:r>
          </w:p>
        </w:tc>
        <w:tc>
          <w:tcPr>
            <w:tcW w:w="93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项目级次</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本级</w:t>
            </w:r>
          </w:p>
        </w:tc>
        <w:tc>
          <w:tcPr>
            <w:tcW w:w="129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实施主管单位</w:t>
            </w:r>
          </w:p>
        </w:tc>
        <w:tc>
          <w:tcPr>
            <w:tcW w:w="132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420001 - 昌黎县黄金海岸旅游发展中心本级</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金额单位</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万元</w:t>
            </w:r>
          </w:p>
        </w:tc>
      </w:tr>
      <w:tr>
        <w:trPr>
          <w:trHeight w:val="659"/>
        </w:trPr>
        <w:tc>
          <w:tcPr>
            <w:tcW w:w="795" w:type="dxa"/>
            <w:vMerge w:val="restart"/>
            <w:tcBorders>
              <w:top w:val="single" w:sz="6" w:space="0" w:color="auto"/>
              <w:left w:val="single" w:sz="6" w:space="0" w:color="auto"/>
              <w:bottom w:val="nil"/>
              <w:right w:val="single" w:sz="6" w:space="0" w:color="auto"/>
              <w:tl2br w:val="nil"/>
              <w:tr2bl w:val="nil"/>
            </w:tcBorders>
            <w:noWrap/>
          </w:tcPr>
          <w:p>
            <w:pPr>
              <w:jc w:val="center"/>
            </w:pPr>
            <w:r>
              <w:rPr>
                <w:rFonts w:ascii="SimSun" w:eastAsia="SimSun" w:cs="Arial"/>
                <w:b/>
                <w:sz w:val="14"/>
              </w:rPr>
              <w:t>二、预算执行情况</w:t>
            </w:r>
          </w:p>
        </w:tc>
        <w:tc>
          <w:tcPr>
            <w:tcW w:w="210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预算安排情况(调整后)</w:t>
            </w:r>
          </w:p>
        </w:tc>
        <w:tc>
          <w:tcPr>
            <w:tcW w:w="2520" w:type="dxa"/>
            <w:gridSpan w:val="3"/>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资金到位情况</w:t>
            </w:r>
          </w:p>
        </w:tc>
        <w:tc>
          <w:tcPr>
            <w:tcW w:w="2610" w:type="dxa"/>
            <w:gridSpan w:val="4"/>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资金执行情况</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预算执行进度(%)</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p>
        </w:tc>
      </w:tr>
      <w:tr>
        <w:trPr>
          <w:trHeight w:val="269"/>
        </w:trPr>
        <w:tc>
          <w:tcPr>
            <w:tcW w:w="795" w:type="dxa"/>
            <w:vMerge/>
            <w:tcBorders>
              <w:top w:val="nil"/>
              <w:left w:val="single" w:sz="6" w:space="0" w:color="auto"/>
              <w:bottom w:val="nil"/>
              <w:right w:val="single" w:sz="6" w:space="0" w:color="auto"/>
              <w:tl2br w:val="nil"/>
              <w:tr2bl w:val="nil"/>
            </w:tcBorders>
            <w:noWrap/>
            <w:tcFitText/>
          </w:tc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预算数</w:t>
            </w: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80.000000</w:t>
            </w:r>
          </w:p>
        </w:tc>
        <w:tc>
          <w:tcPr>
            <w:tcW w:w="90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到位数</w:t>
            </w:r>
          </w:p>
        </w:tc>
        <w:tc>
          <w:tcPr>
            <w:tcW w:w="162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80.000000</w:t>
            </w:r>
          </w:p>
        </w:tc>
        <w:tc>
          <w:tcPr>
            <w:tcW w:w="129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执行数</w:t>
            </w:r>
          </w:p>
        </w:tc>
        <w:tc>
          <w:tcPr>
            <w:tcW w:w="132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80.000000</w:t>
            </w:r>
          </w:p>
        </w:tc>
        <w:tc>
          <w:tcPr>
            <w:tcW w:w="1290" w:type="dxa"/>
            <w:gridSpan w:val="2"/>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100</w:t>
            </w:r>
          </w:p>
        </w:tc>
      </w:tr>
      <w:tr>
        <w:trPr>
          <w:trHeight w:val="269"/>
        </w:trPr>
        <w:tc>
          <w:tcPr>
            <w:tcW w:w="795" w:type="dxa"/>
            <w:vMerge/>
            <w:tcBorders>
              <w:top w:val="nil"/>
              <w:left w:val="single" w:sz="6" w:space="0" w:color="auto"/>
              <w:bottom w:val="nil"/>
              <w:right w:val="single" w:sz="6" w:space="0" w:color="auto"/>
              <w:tl2br w:val="nil"/>
              <w:tr2bl w:val="nil"/>
            </w:tcBorders>
            <w:noWrap/>
            <w:tcFitText/>
          </w:tc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其中:财政资金</w:t>
            </w: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80.000000</w:t>
            </w:r>
          </w:p>
        </w:tc>
        <w:tc>
          <w:tcPr>
            <w:tcW w:w="90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其中:财政资金</w:t>
            </w:r>
          </w:p>
        </w:tc>
        <w:tc>
          <w:tcPr>
            <w:tcW w:w="162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80.000000</w:t>
            </w:r>
          </w:p>
        </w:tc>
        <w:tc>
          <w:tcPr>
            <w:tcW w:w="129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其中:财政资金</w:t>
            </w:r>
          </w:p>
        </w:tc>
        <w:tc>
          <w:tcPr>
            <w:tcW w:w="132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80.000000</w:t>
            </w:r>
          </w:p>
        </w:tc>
        <w:tc>
          <w:tcPr>
            <w:tcW w:w="1290" w:type="dxa"/>
            <w:gridSpan w:val="2"/>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269"/>
        </w:trPr>
        <w:tc>
          <w:tcPr>
            <w:tcW w:w="795" w:type="dxa"/>
            <w:vMerge/>
            <w:tcBorders>
              <w:top w:val="nil"/>
              <w:left w:val="single" w:sz="6" w:space="0" w:color="auto"/>
              <w:bottom w:val="single" w:sz="6" w:space="0" w:color="auto"/>
              <w:right w:val="single" w:sz="6" w:space="0" w:color="auto"/>
              <w:tl2br w:val="nil"/>
              <w:tr2bl w:val="nil"/>
            </w:tcBorders>
            <w:noWrap/>
            <w:tcFitText/>
          </w:tc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其他</w:t>
            </w: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0</w:t>
            </w:r>
          </w:p>
        </w:tc>
        <w:tc>
          <w:tcPr>
            <w:tcW w:w="90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其他</w:t>
            </w:r>
          </w:p>
        </w:tc>
        <w:tc>
          <w:tcPr>
            <w:tcW w:w="162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0</w:t>
            </w:r>
          </w:p>
        </w:tc>
        <w:tc>
          <w:tcPr>
            <w:tcW w:w="129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其他</w:t>
            </w:r>
          </w:p>
        </w:tc>
        <w:tc>
          <w:tcPr>
            <w:tcW w:w="132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0</w:t>
            </w:r>
          </w:p>
        </w:tc>
        <w:tc>
          <w:tcPr>
            <w:tcW w:w="1290" w:type="dxa"/>
            <w:gridSpan w:val="2"/>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449"/>
        </w:trPr>
        <w:tc>
          <w:tcPr>
            <w:tcW w:w="79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三、目标完成情况</w:t>
            </w:r>
          </w:p>
        </w:tc>
        <w:tc>
          <w:tcPr>
            <w:tcW w:w="3930" w:type="dxa"/>
            <w:gridSpan w:val="4"/>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年度预期目标</w:t>
            </w:r>
          </w:p>
        </w:tc>
        <w:tc>
          <w:tcPr>
            <w:tcW w:w="3300" w:type="dxa"/>
            <w:gridSpan w:val="5"/>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具体完成情况</w:t>
            </w:r>
          </w:p>
        </w:tc>
        <w:tc>
          <w:tcPr>
            <w:tcW w:w="129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总体完成率(%)</w:t>
            </w:r>
          </w:p>
        </w:tc>
      </w:tr>
      <w:tr>
        <w:trPr>
          <w:trHeight w:val="659"/>
        </w:trPr>
        <w:tc>
          <w:tcPr>
            <w:tcW w:w="795" w:type="dxa"/>
            <w:tcBorders>
              <w:top w:val="single" w:sz="6" w:space="0" w:color="auto"/>
              <w:left w:val="single" w:sz="6" w:space="0" w:color="auto"/>
              <w:bottom w:val="single" w:sz="6" w:space="0" w:color="auto"/>
              <w:right w:val="single" w:sz="6" w:space="0" w:color="auto"/>
              <w:tl2br w:val="nil"/>
              <w:tr2bl w:val="nil"/>
            </w:tcBorders>
            <w:noWrap/>
          </w:tcPr>
          <w:p>
            <w:pPr>
              <w:jc w:val="center"/>
            </w:pPr>
          </w:p>
        </w:tc>
        <w:tc>
          <w:tcPr>
            <w:tcW w:w="3930" w:type="dxa"/>
            <w:gridSpan w:val="4"/>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对黄金海岸旅游区绿化项目进行绿化养护及冬季苗木防寒，保证绿化景观效果。保持路面整洁干净，沿线绿化美化。</w:t>
            </w:r>
          </w:p>
        </w:tc>
        <w:tc>
          <w:tcPr>
            <w:tcW w:w="3300" w:type="dxa"/>
            <w:gridSpan w:val="5"/>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黄金海岸绿得到了养护，冬季苗木防寒得到了保证，为来年绿化环境及景观效果提供保证。</w:t>
            </w:r>
          </w:p>
        </w:tc>
        <w:tc>
          <w:tcPr>
            <w:tcW w:w="129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100.00</w:t>
            </w:r>
          </w:p>
        </w:tc>
      </w:tr>
      <w:tr>
        <w:trPr>
          <w:trHeight w:val="404"/>
        </w:trPr>
        <w:tc>
          <w:tcPr>
            <w:tcW w:w="79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SimSun" w:eastAsia="SimSun" w:cs="Arial"/>
                <w:b/>
                <w:sz w:val="14"/>
              </w:rPr>
            </w:pPr>
            <w:r>
              <w:rPr>
                <w:rFonts w:ascii="SimSun" w:eastAsia="SimSun" w:cs="Arial"/>
                <w:b/>
                <w:sz w:val="14"/>
              </w:rPr>
              <w:t>四、年度绩效</w:t>
            </w:r>
          </w:p>
          <w:p>
            <w:pPr>
              <w:jc w:val="center"/>
            </w:pPr>
            <w:r>
              <w:rPr>
                <w:rFonts w:ascii="SimSun" w:eastAsia="SimSun" w:cs="Arial"/>
                <w:b/>
                <w:sz w:val="14"/>
              </w:rPr>
              <w:t>指标完成情况</w:t>
            </w:r>
          </w:p>
        </w:tc>
        <w:tc>
          <w:tcPr>
            <w:tcW w:w="105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一级指标</w:t>
            </w:r>
          </w:p>
        </w:tc>
        <w:tc>
          <w:tcPr>
            <w:tcW w:w="105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二级指标</w:t>
            </w:r>
          </w:p>
        </w:tc>
        <w:tc>
          <w:tcPr>
            <w:tcW w:w="90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三级指标</w:t>
            </w:r>
          </w:p>
        </w:tc>
        <w:tc>
          <w:tcPr>
            <w:tcW w:w="93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指标说明</w:t>
            </w:r>
          </w:p>
        </w:tc>
        <w:tc>
          <w:tcPr>
            <w:tcW w:w="69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指标分值</w:t>
            </w:r>
          </w:p>
        </w:tc>
        <w:tc>
          <w:tcPr>
            <w:tcW w:w="2055" w:type="dxa"/>
            <w:gridSpan w:val="3"/>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预期指标值</w:t>
            </w:r>
          </w:p>
        </w:tc>
        <w:tc>
          <w:tcPr>
            <w:tcW w:w="55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单项指标实际完成值</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单项指标完成情况</w:t>
            </w:r>
          </w:p>
        </w:tc>
        <w:tc>
          <w:tcPr>
            <w:tcW w:w="67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自评得分</w:t>
            </w:r>
          </w:p>
        </w:tc>
      </w:tr>
      <w:tr>
        <w:trPr>
          <w:trHeight w:val="46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900" w:type="dxa"/>
            <w:vMerge/>
            <w:tcBorders>
              <w:top w:val="single" w:sz="6" w:space="0" w:color="auto"/>
              <w:left w:val="single" w:sz="6" w:space="0" w:color="auto"/>
              <w:bottom w:val="single" w:sz="6" w:space="0" w:color="auto"/>
              <w:right w:val="single" w:sz="6" w:space="0" w:color="auto"/>
              <w:tl2br w:val="nil"/>
              <w:tr2bl w:val="nil"/>
            </w:tcBorders>
            <w:noWrap/>
          </w:tcPr>
          <w:p/>
        </w:tc>
        <w:tc>
          <w:tcPr>
            <w:tcW w:w="930" w:type="dxa"/>
            <w:vMerge/>
            <w:tcBorders>
              <w:top w:val="single" w:sz="6" w:space="0" w:color="auto"/>
              <w:left w:val="single" w:sz="6" w:space="0" w:color="auto"/>
              <w:bottom w:val="single" w:sz="6" w:space="0" w:color="auto"/>
              <w:right w:val="single" w:sz="6" w:space="0" w:color="auto"/>
              <w:tl2br w:val="nil"/>
              <w:tr2bl w:val="nil"/>
            </w:tcBorders>
            <w:noWrap/>
          </w:tcPr>
          <w:p/>
        </w:tc>
        <w:tc>
          <w:tcPr>
            <w:tcW w:w="690" w:type="dxa"/>
            <w:vMerge/>
            <w:tcBorders>
              <w:top w:val="single" w:sz="6" w:space="0" w:color="auto"/>
              <w:left w:val="single" w:sz="6" w:space="0" w:color="auto"/>
              <w:bottom w:val="single" w:sz="6" w:space="0" w:color="auto"/>
              <w:right w:val="single" w:sz="6" w:space="0" w:color="auto"/>
              <w:tl2br w:val="nil"/>
              <w:tr2bl w:val="nil"/>
            </w:tcBorders>
            <w:noWrap/>
          </w:tcPr>
          <w:p/>
        </w:tc>
        <w:tc>
          <w:tcPr>
            <w:tcW w:w="7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符号</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值</w:t>
            </w:r>
          </w:p>
        </w:tc>
        <w:tc>
          <w:tcPr>
            <w:tcW w:w="76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单位(文字描述)</w:t>
            </w:r>
          </w:p>
        </w:tc>
        <w:tc>
          <w:tcPr>
            <w:tcW w:w="555" w:type="dxa"/>
            <w:vMerge/>
            <w:tcBorders>
              <w:top w:val="single" w:sz="6" w:space="0" w:color="auto"/>
              <w:left w:val="single" w:sz="6" w:space="0" w:color="auto"/>
              <w:bottom w:val="single" w:sz="6" w:space="0" w:color="auto"/>
              <w:right w:val="single" w:sz="6" w:space="0" w:color="auto"/>
              <w:tl2br w:val="nil"/>
              <w:tr2bl w:val="nil"/>
            </w:tcBorders>
            <w:noWrap/>
          </w:tcP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p>
        </w:tc>
        <w:tc>
          <w:tcPr>
            <w:tcW w:w="675" w:type="dxa"/>
            <w:vMerge/>
            <w:tcBorders>
              <w:top w:val="single" w:sz="6" w:space="0" w:color="auto"/>
              <w:left w:val="single" w:sz="6" w:space="0" w:color="auto"/>
              <w:bottom w:val="single" w:sz="6" w:space="0" w:color="auto"/>
              <w:right w:val="single" w:sz="6" w:space="0" w:color="auto"/>
              <w:tl2br w:val="nil"/>
              <w:tr2bl w:val="nil"/>
            </w:tcBorders>
            <w:noWrap/>
          </w:tcPr>
          <w:p/>
        </w:tc>
      </w:tr>
      <w:tr>
        <w:trPr>
          <w:trHeight w:val="55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产出指标</w:t>
            </w: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数量指标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保洁面积</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黄金海岸旅游区保洁养护面积</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50</w:t>
            </w: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万平方米</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50</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w:t>
            </w:r>
          </w:p>
        </w:tc>
      </w:tr>
      <w:tr>
        <w:trPr>
          <w:trHeight w:val="58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质量指标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保洁面积洁净率</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洁净面积占保洁总面积的比重</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15.00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85</w:t>
            </w: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90</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15</w:t>
            </w:r>
          </w:p>
        </w:tc>
      </w:tr>
      <w:tr>
        <w:trPr>
          <w:trHeight w:val="88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时效指标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工资发放及时率</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及时发放环卫临时工资的人数占环卫保洁总人数的比</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15.00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95</w:t>
            </w: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95</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15</w:t>
            </w:r>
          </w:p>
        </w:tc>
      </w:tr>
      <w:tr>
        <w:trPr>
          <w:trHeight w:val="46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成本指标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项目总成本</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项目总成本</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80</w:t>
            </w: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万元</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80</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w:t>
            </w:r>
          </w:p>
        </w:tc>
      </w:tr>
      <w:tr>
        <w:trPr>
          <w:trHeight w:val="40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效益指标</w:t>
            </w: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经济效益指标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旅游收入增长率</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旅游收入2023年相比增长程度</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4</w:t>
            </w: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4</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w:t>
            </w:r>
          </w:p>
        </w:tc>
      </w:tr>
      <w:tr>
        <w:trPr>
          <w:trHeight w:val="449"/>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社会效益指标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社会影响力</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促进周边旅游业得发展</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文字描述</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进一步发展</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项目实施促进周边旅游业的发展</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w:t>
            </w:r>
          </w:p>
        </w:tc>
      </w:tr>
      <w:tr>
        <w:trPr>
          <w:trHeight w:val="52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生态效益指标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旅游区环境对周边旅游业影响程度</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周边旅游环境得到改善</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5.00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文字描述</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环境得到进一步改善</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周边的旅游环境得到了明显改善</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5</w:t>
            </w:r>
          </w:p>
        </w:tc>
      </w:tr>
      <w:tr>
        <w:trPr>
          <w:trHeight w:val="569"/>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vMerge/>
            <w:tcBorders>
              <w:top w:val="single" w:sz="6" w:space="0" w:color="auto"/>
              <w:left w:val="single" w:sz="6" w:space="0" w:color="auto"/>
              <w:bottom w:val="single" w:sz="6" w:space="0" w:color="auto"/>
              <w:right w:val="single" w:sz="6" w:space="0" w:color="auto"/>
              <w:tl2br w:val="nil"/>
              <w:tr2bl w:val="nil"/>
            </w:tcBorders>
            <w:noWrap/>
          </w:tcP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可持续影响指标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项目持续发挥作用期限</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项目持续发挥作用期限</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5.00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5</w:t>
            </w: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年</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未完成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w:t>
            </w:r>
          </w:p>
        </w:tc>
      </w:tr>
      <w:tr>
        <w:trPr>
          <w:trHeight w:val="40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满意度指标</w:t>
            </w: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服务对象满意度指标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游客满意度</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对黄金海岸旅游区环境满意的游客占游客总数的比例</w:t>
            </w:r>
          </w:p>
        </w:tc>
        <w:tc>
          <w:tcPr>
            <w:tcW w:w="6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10.00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90</w:t>
            </w: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w:t>
            </w:r>
          </w:p>
        </w:tc>
        <w:tc>
          <w:tcPr>
            <w:tcW w:w="5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95</w:t>
            </w:r>
          </w:p>
        </w:tc>
        <w:tc>
          <w:tcPr>
            <w:tcW w:w="61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完成</w:t>
            </w: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w:t>
            </w:r>
          </w:p>
        </w:tc>
      </w:tr>
      <w:tr>
        <w:trPr>
          <w:trHeight w:val="314"/>
        </w:trPr>
        <w:tc>
          <w:tcPr>
            <w:tcW w:w="795" w:type="dxa"/>
            <w:vMerge/>
            <w:tcBorders>
              <w:top w:val="nil"/>
              <w:left w:val="single" w:sz="6" w:space="0" w:color="auto"/>
              <w:bottom w:val="nil"/>
              <w:right w:val="single" w:sz="6" w:space="0" w:color="auto"/>
              <w:tl2br w:val="nil"/>
              <w:tr2bl w:val="nil"/>
            </w:tcBorders>
            <w:noWrap/>
            <w:tcFitText/>
            <w:vAlign w:val="center"/>
          </w:tc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预算执行率</w:t>
            </w:r>
          </w:p>
        </w:tc>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预算执行率</w:t>
            </w:r>
          </w:p>
        </w:tc>
        <w:tc>
          <w:tcPr>
            <w:tcW w:w="90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6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10</w:t>
            </w:r>
          </w:p>
        </w:tc>
        <w:tc>
          <w:tcPr>
            <w:tcW w:w="73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76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5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61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p>
        </w:tc>
        <w:tc>
          <w:tcPr>
            <w:tcW w:w="6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10</w:t>
            </w:r>
          </w:p>
        </w:tc>
      </w:tr>
      <w:tr>
        <w:trPr>
          <w:trHeight w:val="269"/>
        </w:trPr>
        <w:tc>
          <w:tcPr>
            <w:tcW w:w="795" w:type="dxa"/>
            <w:vMerge/>
            <w:tcBorders>
              <w:top w:val="nil"/>
              <w:left w:val="single" w:sz="6" w:space="0" w:color="auto"/>
              <w:bottom w:val="single" w:sz="6" w:space="0" w:color="auto"/>
              <w:right w:val="single" w:sz="6" w:space="0" w:color="auto"/>
              <w:tl2br w:val="nil"/>
              <w:tr2bl w:val="nil"/>
            </w:tcBorders>
            <w:noWrap/>
            <w:tcFitText/>
            <w:vAlign w:val="center"/>
          </w:tc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4"/>
              </w:rPr>
              <w:t>自评总分</w:t>
            </w:r>
          </w:p>
        </w:tc>
        <w:tc>
          <w:tcPr>
            <w:tcW w:w="7470" w:type="dxa"/>
            <w:gridSpan w:val="10"/>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eastAsia="Calibri" w:cs="Arial"/>
                <w:b/>
                <w:color w:val="000000"/>
                <w:sz w:val="14"/>
              </w:rPr>
              <w:t>96</w:t>
            </w:r>
          </w:p>
        </w:tc>
      </w:tr>
      <w:tr>
        <w:trPr>
          <w:trHeight w:val="764"/>
        </w:trPr>
        <w:tc>
          <w:tcPr>
            <w:tcW w:w="795" w:type="dxa"/>
            <w:tcBorders>
              <w:top w:val="single" w:sz="6" w:space="0" w:color="auto"/>
              <w:left w:val="single" w:sz="6" w:space="0" w:color="auto"/>
              <w:bottom w:val="single" w:sz="6" w:space="0" w:color="auto"/>
              <w:right w:val="single" w:sz="6" w:space="0" w:color="auto"/>
              <w:tl2br w:val="nil"/>
              <w:tr2bl w:val="nil"/>
            </w:tcBorders>
            <w:noWrap/>
          </w:tcPr>
          <w:p>
            <w:pPr>
              <w:jc w:val="center"/>
              <w:rPr>
                <w:rFonts w:ascii="SimSun" w:eastAsia="SimSun" w:cs="Arial"/>
                <w:b/>
                <w:sz w:val="14"/>
              </w:rPr>
            </w:pPr>
            <w:r>
              <w:rPr>
                <w:rFonts w:ascii="SimSun" w:eastAsia="SimSun" w:cs="Arial"/>
                <w:b/>
                <w:sz w:val="14"/>
              </w:rPr>
              <w:t>五、存在问题</w:t>
            </w:r>
          </w:p>
          <w:p>
            <w:pPr>
              <w:jc w:val="center"/>
            </w:pPr>
            <w:r>
              <w:rPr>
                <w:rFonts w:ascii="SimSun" w:eastAsia="SimSun" w:cs="Arial"/>
                <w:b/>
                <w:sz w:val="14"/>
              </w:rPr>
              <w:t>原因及整改措施</w:t>
            </w:r>
          </w:p>
        </w:tc>
        <w:tc>
          <w:tcPr>
            <w:tcW w:w="8520" w:type="dxa"/>
            <w:gridSpan w:val="11"/>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4"/>
              </w:rPr>
              <w:t>由于可持续影响指标项目持续作用期限为五年有时限所以当年不能实现，未完成，但是随着该项目的持续发展，在作用期限能完成达到预期目标。其他指标运行状况良好，当年基本完成。根据实际情况财政预算数进行计划，合理安排，资金到位合理投入到项目实施中，同时加强对相关工作人员的培训，减少绩效评价工作的失误，确保在项目周期完成各项指标。</w:t>
            </w:r>
          </w:p>
        </w:tc>
      </w:tr>
      <w:tr>
        <w:trPr>
          <w:trHeight w:val="269"/>
        </w:trPr>
        <w:tc>
          <w:tcPr>
            <w:tcW w:w="79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2"/>
              </w:rPr>
              <w:t>填报人:</w:t>
            </w:r>
          </w:p>
        </w:tc>
        <w:tc>
          <w:tcPr>
            <w:tcW w:w="3000" w:type="dxa"/>
            <w:gridSpan w:val="3"/>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2"/>
              </w:rPr>
              <w:t>赵杨</w:t>
            </w:r>
          </w:p>
        </w:tc>
        <w:tc>
          <w:tcPr>
            <w:tcW w:w="93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SimSun" w:eastAsia="SimSun" w:cs="Arial"/>
                <w:b/>
                <w:sz w:val="12"/>
              </w:rPr>
              <w:t>联系电话:</w:t>
            </w:r>
          </w:p>
        </w:tc>
        <w:tc>
          <w:tcPr>
            <w:tcW w:w="4590" w:type="dxa"/>
            <w:gridSpan w:val="7"/>
            <w:tcBorders>
              <w:top w:val="single" w:sz="6" w:space="0" w:color="auto"/>
              <w:left w:val="single" w:sz="6" w:space="0" w:color="auto"/>
              <w:bottom w:val="single" w:sz="6" w:space="0" w:color="auto"/>
              <w:right w:val="single" w:sz="6" w:space="0" w:color="auto"/>
              <w:tl2br w:val="nil"/>
              <w:tr2bl w:val="nil"/>
            </w:tcBorders>
            <w:noWrap/>
          </w:tcPr>
          <w:p>
            <w:pPr>
              <w:jc w:val="center"/>
            </w:pPr>
            <w:r>
              <w:rPr>
                <w:rFonts w:eastAsia="Calibri" w:cs="Arial"/>
                <w:b/>
                <w:color w:val="000000"/>
                <w:sz w:val="12"/>
              </w:rPr>
              <w:t>5963293</w:t>
            </w:r>
          </w:p>
        </w:tc>
      </w:tr>
      <w:tr>
        <w:trPr>
          <w:trHeight w:val="269"/>
        </w:trPr>
        <w:tc>
          <w:tcPr>
            <w:tcW w:w="795" w:type="dxa"/>
            <w:tcBorders>
              <w:top w:val="single" w:sz="6" w:space="0" w:color="auto"/>
              <w:left w:val="single" w:sz="6" w:space="0" w:color="auto"/>
              <w:bottom w:val="single" w:sz="6" w:space="0" w:color="auto"/>
              <w:right w:val="single" w:sz="6" w:space="0" w:color="auto"/>
              <w:tl2br w:val="nil"/>
              <w:tr2bl w:val="nil"/>
            </w:tcBorders>
            <w:noWrap/>
          </w:tcPr>
          <w:p>
            <w:r>
              <w:rPr>
                <w:rFonts w:ascii="SimSun" w:eastAsia="SimSun" w:cs="Arial"/>
                <w:b/>
                <w:sz w:val="12"/>
              </w:rPr>
              <w:t>说明:</w:t>
            </w:r>
          </w:p>
        </w:tc>
        <w:tc>
          <w:tcPr>
            <w:tcW w:w="8520" w:type="dxa"/>
            <w:gridSpan w:val="11"/>
            <w:vMerge w:val="restart"/>
            <w:tcBorders>
              <w:top w:val="single" w:sz="6" w:space="0" w:color="auto"/>
              <w:left w:val="single" w:sz="6" w:space="0" w:color="auto"/>
              <w:bottom w:val="single" w:sz="6" w:space="0" w:color="auto"/>
              <w:right w:val="single" w:sz="6" w:space="0" w:color="auto"/>
              <w:tl2br w:val="nil"/>
              <w:tr2bl w:val="nil"/>
            </w:tcBorders>
            <w:noWrap/>
          </w:tcPr>
          <w:p>
            <w:r>
              <w:rPr>
                <w:rFonts w:ascii="宋体" w:cs="Arial"/>
                <w:sz w:val="12"/>
              </w:rPr>
              <w:t>1.自评总分由各单项指标的自评得分合计而成，满分为100分。2.实际完成值，即填写某项指标截止预算年度末的完成情况，可量化的实际完成值，应填写具体数值和单位；单项指标完成情况，根据下拉菜单选择“完成”或“未完成”。3.当年预算未执行，年终预算调减为0或财政收回全部资金的项目，以及当年重复申报或细化为其他项目的，预算数填0，到位数、执行数、指标完成情况、自评得分等其他内容不再填报，直接保存提交。4.当年预算项目未执行，年终结转下年的项目，资金执行数填0，绩效指标填“未完成”，自评得分填0；当年预算项目部分执行，剩余资金结转下年的项目，资金执行数、指标完成情况如实填写，自评得分应小于100分。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7.实际完成值与预期指标值在描述上应当具有对应关系，比如某培训项目数量指标预期指标值为≥50人次，实际完成值应当填写实际完成多少人次，不能填完成培训多少场次、培训多少人等。8.单项指标完成情况与实际完成值应当具有逻辑关系，当实际完成值达到预期指标值时，单项指标完成情况才能填“完成”，否则填“未完成”。9.当“单项指标完成情况”填“未完成”时，自评得分应小于指标分值。10.由于年初指标值设定明显偏低，造成实际完成值高于预期指标值较多的（偏离度达到30%及以上），应按照偏离度适度调减自评得分。</w:t>
            </w:r>
          </w:p>
        </w:tc>
      </w:tr>
      <w:tr>
        <w:trPr>
          <w:trHeight w:val="269"/>
        </w:trPr>
        <w:tc>
          <w:tcPr>
            <w:tcW w:w="795" w:type="dxa"/>
            <w:tcBorders>
              <w:top w:val="single" w:sz="6" w:space="0" w:color="auto"/>
              <w:left w:val="single" w:sz="6" w:space="0" w:color="auto"/>
              <w:bottom w:val="single" w:sz="6" w:space="0" w:color="auto"/>
              <w:right w:val="single" w:sz="6" w:space="0" w:color="auto"/>
              <w:tl2br w:val="nil"/>
              <w:tr2bl w:val="nil"/>
            </w:tcBorders>
            <w:noWrap/>
          </w:tcPr>
          <w:p/>
        </w:tc>
        <w:tc>
          <w:tcPr>
            <w:tcW w:w="8520" w:type="dxa"/>
            <w:gridSpan w:val="11"/>
            <w:vMerge/>
            <w:tcBorders>
              <w:top w:val="single" w:sz="6" w:space="0" w:color="auto"/>
              <w:left w:val="single" w:sz="6" w:space="0" w:color="auto"/>
              <w:bottom w:val="single" w:sz="6" w:space="0" w:color="auto"/>
              <w:right w:val="single" w:sz="6" w:space="0" w:color="auto"/>
              <w:tl2br w:val="nil"/>
              <w:tr2bl w:val="nil"/>
            </w:tcBorders>
            <w:noWrap/>
          </w:tcPr>
          <w:p/>
        </w:tc>
      </w:tr>
      <w:tr>
        <w:trPr>
          <w:trHeight w:val="419"/>
        </w:trPr>
        <w:tc>
          <w:tcPr>
            <w:tcW w:w="795" w:type="dxa"/>
            <w:tcBorders>
              <w:top w:val="single" w:sz="6" w:space="0" w:color="auto"/>
              <w:left w:val="single" w:sz="6" w:space="0" w:color="auto"/>
              <w:bottom w:val="single" w:sz="6" w:space="0" w:color="auto"/>
              <w:right w:val="single" w:sz="6" w:space="0" w:color="auto"/>
              <w:tl2br w:val="nil"/>
              <w:tr2bl w:val="nil"/>
            </w:tcBorders>
            <w:noWrap/>
          </w:tcPr>
          <w:p/>
        </w:tc>
        <w:tc>
          <w:tcPr>
            <w:tcW w:w="8520" w:type="dxa"/>
            <w:gridSpan w:val="11"/>
            <w:vMerge/>
            <w:tcBorders>
              <w:top w:val="single" w:sz="6" w:space="0" w:color="auto"/>
              <w:left w:val="single" w:sz="6" w:space="0" w:color="auto"/>
              <w:bottom w:val="single" w:sz="6" w:space="0" w:color="auto"/>
              <w:right w:val="single" w:sz="6" w:space="0" w:color="auto"/>
              <w:tl2br w:val="nil"/>
              <w:tr2bl w:val="nil"/>
            </w:tcBorders>
            <w:noWrap/>
          </w:tcPr>
          <w:p/>
        </w:tc>
      </w:tr>
      <w:tr>
        <w:trPr>
          <w:trHeight w:val="1349"/>
        </w:trPr>
        <w:tc>
          <w:tcPr>
            <w:tcW w:w="795" w:type="dxa"/>
            <w:tcBorders>
              <w:top w:val="single" w:sz="6" w:space="0" w:color="auto"/>
              <w:left w:val="single" w:sz="6" w:space="0" w:color="auto"/>
              <w:bottom w:val="single" w:sz="6" w:space="0" w:color="auto"/>
              <w:right w:val="single" w:sz="6" w:space="0" w:color="auto"/>
              <w:tl2br w:val="nil"/>
              <w:tr2bl w:val="nil"/>
            </w:tcBorders>
            <w:noWrap/>
          </w:tcPr>
          <w:p/>
        </w:tc>
        <w:tc>
          <w:tcPr>
            <w:tcW w:w="8520" w:type="dxa"/>
            <w:gridSpan w:val="11"/>
            <w:vMerge/>
            <w:tcBorders>
              <w:top w:val="single" w:sz="6" w:space="0" w:color="auto"/>
              <w:left w:val="single" w:sz="6" w:space="0" w:color="auto"/>
              <w:bottom w:val="single" w:sz="6" w:space="0" w:color="auto"/>
              <w:right w:val="single" w:sz="6" w:space="0" w:color="auto"/>
              <w:tl2br w:val="nil"/>
              <w:tr2bl w:val="nil"/>
            </w:tcBorders>
            <w:noWrap/>
          </w:tcPr>
          <w:p/>
        </w:tc>
      </w:tr>
    </w:tbl>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昌黎县黄金海岸园区基础设施建设昌黎县黄金海岸园区基础设施建设。</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昌黎县黄金海岸园区基础设施建设绩效自评情况：该项目为昌黎县黄金海岸园区基础设施建设，根据预算资金安排开展项目，该项目2024年度拨付资金30万元，项目的实施</w:t>
      </w:r>
      <w:r>
        <w:rPr>
          <w:rFonts w:ascii="Times New Roman" w:eastAsia="仿宋_GB2312" w:hAnsi="Times New Roman" w:hint="eastAsia"/>
          <w:sz w:val="32"/>
          <w:szCs w:val="32"/>
        </w:rPr>
        <w:t>有效保障了黄金海岸暑期旅游旺季，旅游综合事务管理及旅游秩序安全，对基础设施进行提升改造，提升了黄金海岸整体旅游接待环境，提高经济收入，执行情况良好。一、存在问题：1、绩效目标设立不够细化和量化，资金使用效益有待进一步提高。2、调研效满意率，根据以往经验判断进行评分。原因及整改措施：1、加强各个部门沟通及时反馈相关数据，把各个指标落实到位，收集并整理好各项纸质和电子数据形成佐证材料便于评价，有效提升绩效评价质量。2、加大培训力度，提高工作人员绩效评价水平，提升工作人员绩效管理意识。转变工作人员思想观念，从思想根源上除去重资金轻绩效的思想观念，真正认识到绩效不只是财务的事情，而是与各相关业务室工作息息相关。3、要进一步加强预算管理意识，严格按照“预算法”编制，进一步提高预算编制的完整性、科学性，有效推进绩效评价工作开展，保障项目资金发挥最大效益。</w:t>
      </w:r>
    </w:p>
    <w:p>
      <w:pPr>
        <w:widowControl/>
        <w:spacing w:line="360" w:lineRule="auto"/>
        <w:ind w:firstLineChars="200" w:firstLine="640"/>
        <w:jc w:val="left"/>
        <w:rPr>
          <w:rFonts w:ascii="仿宋" w:eastAsia="仿宋"/>
          <w:kern w:val="2"/>
          <w:sz w:val="32"/>
          <w:szCs w:val="32"/>
          <w:lang w:val="zh-CN"/>
        </w:rPr>
      </w:pPr>
    </w:p>
    <w:tbl>
      <w:tblPr>
        <w:jc w:val="left"/>
        <w:tblInd w:w="-521" w:type="dxa"/>
        <w:tblW w:w="9809"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
      <w:tblGrid>
        <w:gridCol w:w="1315"/>
        <w:gridCol w:w="1124"/>
        <w:gridCol w:w="1075"/>
        <w:gridCol w:w="1254"/>
        <w:gridCol w:w="814"/>
        <w:gridCol w:w="1058"/>
        <w:gridCol w:w="717"/>
        <w:gridCol w:w="602"/>
        <w:gridCol w:w="8"/>
        <w:gridCol w:w="554"/>
        <w:gridCol w:w="1075"/>
        <w:gridCol w:w="635"/>
        <w:gridCol w:w="570"/>
      </w:tblGrid>
      <w:tr>
        <w:trPr>
          <w:trHeight w:val="644"/>
        </w:trPr>
        <w:tc>
          <w:tcPr>
            <w:tcW w:w="9809" w:type="dxa"/>
            <w:gridSpan w:val="13"/>
            <w:tcBorders>
              <w:top w:val="single" w:sz="6" w:space="0" w:color="B0C4DE"/>
              <w:left w:val="single" w:sz="6" w:space="0" w:color="B0C4DE"/>
              <w:bottom w:val="nil"/>
              <w:right w:val="single" w:sz="6" w:space="0" w:color="B0C4DE"/>
              <w:tl2br w:val="nil"/>
              <w:tr2bl w:val="nil"/>
            </w:tcBorders>
            <w:noWrap/>
            <w:vAlign w:val="center"/>
          </w:tcPr>
          <w:p>
            <w:pPr>
              <w:jc w:val="center"/>
            </w:pPr>
            <w:r>
              <w:rPr>
                <w:rFonts w:ascii="宋体" w:cs="Arial"/>
                <w:b/>
                <w:color w:val="000000"/>
              </w:rPr>
              <w:t>2024年度预算项目绩效自评表</w:t>
            </w:r>
          </w:p>
        </w:tc>
      </w:tr>
      <w:tr>
        <w:trPr>
          <w:trHeight w:val="764"/>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一、基本情况</w:t>
            </w: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项目名称</w:t>
            </w: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昌黎县黄金海岸园区基础设施建设项目</w:t>
            </w:r>
          </w:p>
        </w:tc>
        <w:tc>
          <w:tcPr>
            <w:tcW w:w="1155" w:type="dxa"/>
            <w:tcBorders>
              <w:top w:val="single" w:sz="6" w:space="0" w:color="auto"/>
              <w:left w:val="single" w:sz="6" w:space="0" w:color="auto"/>
              <w:bottom w:val="single" w:sz="6" w:space="0" w:color="auto"/>
              <w:right w:val="single" w:sz="6" w:space="0" w:color="auto"/>
              <w:tl2br w:val="nil"/>
              <w:tr2bl w:val="nil"/>
            </w:tcBorders>
            <w:noWrap/>
          </w:tcPr>
          <w:p/>
        </w:tc>
        <w:tc>
          <w:tcPr>
            <w:tcW w:w="7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项目级次</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本级</w:t>
            </w:r>
          </w:p>
        </w:tc>
        <w:tc>
          <w:tcPr>
            <w:tcW w:w="1076"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实施主管单位</w:t>
            </w:r>
          </w:p>
        </w:tc>
        <w:tc>
          <w:tcPr>
            <w:tcW w:w="1507" w:type="dxa"/>
            <w:gridSpan w:val="3"/>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420001 - 昌黎县黄金海岸旅游发展中心本级</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金额单位</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万元</w:t>
            </w:r>
          </w:p>
        </w:tc>
      </w:tr>
      <w:tr>
        <w:trPr>
          <w:trHeight w:val="449"/>
        </w:trPr>
        <w:tc>
          <w:tcPr>
            <w:tcW w:w="1211" w:type="dxa"/>
            <w:vMerge w:val="restart"/>
            <w:tcBorders>
              <w:top w:val="single" w:sz="6" w:space="0" w:color="auto"/>
              <w:left w:val="single" w:sz="6" w:space="0" w:color="auto"/>
              <w:bottom w:val="nil"/>
              <w:right w:val="single" w:sz="6" w:space="0" w:color="auto"/>
              <w:tl2br w:val="nil"/>
              <w:tr2bl w:val="nil"/>
            </w:tcBorders>
            <w:noWrap/>
          </w:tcPr>
          <w:p>
            <w:pPr>
              <w:jc w:val="center"/>
            </w:pPr>
            <w:r>
              <w:rPr>
                <w:rFonts w:ascii="宋体" w:cs="Arial"/>
                <w:b/>
                <w:sz w:val="14"/>
              </w:rPr>
              <w:t>二、预算执行情况</w:t>
            </w:r>
          </w:p>
        </w:tc>
        <w:tc>
          <w:tcPr>
            <w:tcW w:w="2025"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预算安排情况(调整后)</w:t>
            </w:r>
          </w:p>
        </w:tc>
        <w:tc>
          <w:tcPr>
            <w:tcW w:w="2880" w:type="dxa"/>
            <w:gridSpan w:val="3"/>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资金到位情况</w:t>
            </w:r>
          </w:p>
        </w:tc>
        <w:tc>
          <w:tcPr>
            <w:tcW w:w="2583" w:type="dxa"/>
            <w:gridSpan w:val="5"/>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资金执行情况</w:t>
            </w:r>
          </w:p>
        </w:tc>
        <w:tc>
          <w:tcPr>
            <w:tcW w:w="111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预算执行进度(%)</w:t>
            </w:r>
          </w:p>
        </w:tc>
      </w:tr>
      <w:tr>
        <w:trPr>
          <w:trHeight w:val="449"/>
        </w:trPr>
        <w:tc>
          <w:tcPr>
            <w:vMerge/>
            <w:tcBorders>
              <w:top w:val="nil"/>
              <w:left w:val="single" w:sz="6" w:space="0" w:color="auto"/>
              <w:bottom w:val="nil"/>
              <w:right w:val="single" w:sz="6" w:space="0" w:color="auto"/>
              <w:tl2br w:val="nil"/>
              <w:tr2bl w:val="nil"/>
            </w:tcBorders>
            <w:noWrap/>
          </w:tc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预算数</w:t>
            </w: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3000.000000</w:t>
            </w: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到位数</w:t>
            </w:r>
          </w:p>
        </w:tc>
        <w:tc>
          <w:tcPr>
            <w:tcW w:w="1725" w:type="dxa"/>
            <w:gridSpan w:val="2"/>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30.000000</w:t>
            </w:r>
          </w:p>
        </w:tc>
        <w:tc>
          <w:tcPr>
            <w:tcW w:w="1076"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执行数</w:t>
            </w:r>
          </w:p>
        </w:tc>
        <w:tc>
          <w:tcPr>
            <w:tcW w:w="1507" w:type="dxa"/>
            <w:gridSpan w:val="3"/>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30.000000</w:t>
            </w:r>
          </w:p>
        </w:tc>
        <w:tc>
          <w:tcPr>
            <w:tcW w:w="1110" w:type="dxa"/>
            <w:gridSpan w:val="2"/>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1</w:t>
            </w:r>
          </w:p>
        </w:tc>
      </w:tr>
      <w:tr>
        <w:trPr>
          <w:trHeight w:val="449"/>
        </w:trPr>
        <w:tc>
          <w:tcPr>
            <w:vMerge/>
            <w:tcBorders>
              <w:top w:val="nil"/>
              <w:left w:val="single" w:sz="6" w:space="0" w:color="auto"/>
              <w:bottom w:val="nil"/>
              <w:right w:val="single" w:sz="6" w:space="0" w:color="auto"/>
              <w:tl2br w:val="nil"/>
              <w:tr2bl w:val="nil"/>
            </w:tcBorders>
            <w:noWrap/>
          </w:tc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其中:财政资金</w:t>
            </w: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3000.000000</w:t>
            </w: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其中:财政资金</w:t>
            </w:r>
          </w:p>
        </w:tc>
        <w:tc>
          <w:tcPr>
            <w:tcW w:w="1725" w:type="dxa"/>
            <w:gridSpan w:val="2"/>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30.000000</w:t>
            </w:r>
          </w:p>
        </w:tc>
        <w:tc>
          <w:tcPr>
            <w:tcW w:w="1076"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其中:财政资金</w:t>
            </w:r>
          </w:p>
        </w:tc>
        <w:tc>
          <w:tcPr>
            <w:tcW w:w="1507" w:type="dxa"/>
            <w:gridSpan w:val="3"/>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30.000000</w:t>
            </w:r>
          </w:p>
        </w:tc>
        <w:tc>
          <w:tcPr>
            <w:gridSpan w:val="2"/>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449"/>
        </w:trPr>
        <w:tc>
          <w:tcPr>
            <w:vMerge/>
            <w:tcBorders>
              <w:top w:val="nil"/>
              <w:left w:val="single" w:sz="6" w:space="0" w:color="auto"/>
              <w:bottom w:val="single" w:sz="6" w:space="0" w:color="auto"/>
              <w:right w:val="single" w:sz="6" w:space="0" w:color="auto"/>
              <w:tl2br w:val="nil"/>
              <w:tr2bl w:val="nil"/>
            </w:tcBorders>
            <w:noWrap/>
          </w:tc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其他</w:t>
            </w: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0</w:t>
            </w: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其他</w:t>
            </w:r>
          </w:p>
        </w:tc>
        <w:tc>
          <w:tcPr>
            <w:tcW w:w="1725" w:type="dxa"/>
            <w:gridSpan w:val="2"/>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0</w:t>
            </w:r>
          </w:p>
        </w:tc>
        <w:tc>
          <w:tcPr>
            <w:tcW w:w="1076"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其他</w:t>
            </w:r>
          </w:p>
        </w:tc>
        <w:tc>
          <w:tcPr>
            <w:tcW w:w="1507" w:type="dxa"/>
            <w:gridSpan w:val="3"/>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0</w:t>
            </w:r>
          </w:p>
        </w:tc>
        <w:tc>
          <w:tcPr>
            <w:gridSpan w:val="2"/>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719"/>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rPr>
                <w:rFonts w:ascii="宋体" w:cs="Arial"/>
                <w:b/>
                <w:sz w:val="14"/>
              </w:rPr>
            </w:pPr>
          </w:p>
        </w:tc>
        <w:tc>
          <w:tcPr>
            <w:tcW w:w="3930" w:type="dxa"/>
            <w:gridSpan w:val="4"/>
            <w:tcBorders>
              <w:top w:val="single" w:sz="6" w:space="0" w:color="auto"/>
              <w:left w:val="single" w:sz="6" w:space="0" w:color="auto"/>
              <w:bottom w:val="single" w:sz="6" w:space="0" w:color="auto"/>
              <w:right w:val="single" w:sz="6" w:space="0" w:color="auto"/>
              <w:tl2br w:val="nil"/>
              <w:tr2bl w:val="nil"/>
            </w:tcBorders>
            <w:noWrap/>
          </w:tcPr>
          <w:p>
            <w:pPr>
              <w:jc w:val="center"/>
              <w:rPr>
                <w:rFonts w:ascii="宋体" w:cs="Arial"/>
                <w:b/>
                <w:sz w:val="14"/>
              </w:rPr>
            </w:pPr>
          </w:p>
        </w:tc>
        <w:tc>
          <w:tcPr>
            <w:tcW w:w="3558" w:type="dxa"/>
            <w:gridSpan w:val="6"/>
            <w:tcBorders>
              <w:top w:val="single" w:sz="6" w:space="0" w:color="auto"/>
              <w:left w:val="single" w:sz="6" w:space="0" w:color="auto"/>
              <w:bottom w:val="single" w:sz="6" w:space="0" w:color="auto"/>
              <w:right w:val="single" w:sz="6" w:space="0" w:color="auto"/>
              <w:tl2br w:val="nil"/>
              <w:tr2bl w:val="nil"/>
            </w:tcBorders>
            <w:noWrap/>
          </w:tcPr>
          <w:p>
            <w:pPr>
              <w:jc w:val="center"/>
              <w:rPr>
                <w:rFonts w:ascii="宋体" w:cs="Arial"/>
                <w:b/>
                <w:sz w:val="14"/>
              </w:rPr>
            </w:pPr>
          </w:p>
        </w:tc>
        <w:tc>
          <w:tcPr>
            <w:tcW w:w="111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rPr>
                <w:rFonts w:ascii="宋体" w:cs="Arial"/>
                <w:b/>
                <w:sz w:val="14"/>
              </w:rPr>
            </w:pPr>
          </w:p>
        </w:tc>
      </w:tr>
      <w:tr>
        <w:trPr>
          <w:trHeight w:val="719"/>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三、目标完成情况</w:t>
            </w:r>
          </w:p>
        </w:tc>
        <w:tc>
          <w:tcPr>
            <w:tcW w:w="3930" w:type="dxa"/>
            <w:gridSpan w:val="4"/>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年度预期目标</w:t>
            </w:r>
          </w:p>
        </w:tc>
        <w:tc>
          <w:tcPr>
            <w:tcW w:w="3558" w:type="dxa"/>
            <w:gridSpan w:val="6"/>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具体完成情况</w:t>
            </w:r>
          </w:p>
        </w:tc>
        <w:tc>
          <w:tcPr>
            <w:tcW w:w="1110"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总体完成率(%)</w:t>
            </w:r>
          </w:p>
        </w:tc>
      </w:tr>
      <w:tr>
        <w:trPr>
          <w:trHeight w:val="449"/>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p>
        </w:tc>
        <w:tc>
          <w:tcPr>
            <w:tcW w:w="3930" w:type="dxa"/>
            <w:gridSpan w:val="4"/>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按照提升改造黄金海岸园区基础设施，积极开拓投融资渠道。</w:t>
            </w:r>
          </w:p>
        </w:tc>
        <w:tc>
          <w:tcPr>
            <w:tcW w:w="3558" w:type="dxa"/>
            <w:gridSpan w:val="6"/>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黄金海岸园区基础设施建设得以提升改造。</w:t>
            </w:r>
          </w:p>
        </w:tc>
        <w:tc>
          <w:tcPr>
            <w:tcW w:w="1110" w:type="dxa"/>
            <w:gridSpan w:val="2"/>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0.00</w:t>
            </w:r>
          </w:p>
        </w:tc>
      </w:tr>
      <w:tr>
        <w:trPr>
          <w:trHeight w:val="449"/>
        </w:trPr>
        <w:tc>
          <w:tcPr>
            <w:tcW w:w="1211" w:type="dxa"/>
            <w:vMerge w:val="restart"/>
            <w:tcBorders>
              <w:top w:val="single" w:sz="6" w:space="0" w:color="auto"/>
              <w:left w:val="single" w:sz="6" w:space="0" w:color="auto"/>
              <w:bottom w:val="nil"/>
              <w:right w:val="single" w:sz="6" w:space="0" w:color="auto"/>
              <w:tl2br w:val="nil"/>
              <w:tr2bl w:val="nil"/>
            </w:tcBorders>
            <w:noWrap/>
          </w:tcPr>
          <w:p>
            <w:pPr>
              <w:jc w:val="center"/>
              <w:rPr>
                <w:rFonts w:ascii="宋体" w:cs="Arial"/>
                <w:b/>
                <w:sz w:val="14"/>
              </w:rPr>
            </w:pPr>
            <w:r>
              <w:rPr>
                <w:rFonts w:ascii="宋体" w:cs="Arial"/>
                <w:b/>
                <w:sz w:val="14"/>
              </w:rPr>
              <w:t>四、年度绩效</w:t>
            </w:r>
          </w:p>
          <w:p>
            <w:pPr>
              <w:jc w:val="center"/>
            </w:pPr>
            <w:r>
              <w:rPr>
                <w:rFonts w:ascii="宋体" w:cs="Arial"/>
                <w:b/>
                <w:sz w:val="14"/>
              </w:rPr>
              <w:t>指标完成情况</w:t>
            </w:r>
          </w:p>
        </w:tc>
        <w:tc>
          <w:tcPr>
            <w:tcW w:w="103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一级指标</w:t>
            </w:r>
          </w:p>
        </w:tc>
        <w:tc>
          <w:tcPr>
            <w:tcW w:w="99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二级指标</w:t>
            </w:r>
          </w:p>
        </w:tc>
        <w:tc>
          <w:tcPr>
            <w:tcW w:w="115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三级指标</w:t>
            </w:r>
          </w:p>
        </w:tc>
        <w:tc>
          <w:tcPr>
            <w:tcW w:w="75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指标说明</w:t>
            </w:r>
          </w:p>
        </w:tc>
        <w:tc>
          <w:tcPr>
            <w:tcW w:w="97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指标分值</w:t>
            </w:r>
          </w:p>
        </w:tc>
        <w:tc>
          <w:tcPr>
            <w:tcW w:w="1593" w:type="dxa"/>
            <w:gridSpan w:val="4"/>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预期指标值</w:t>
            </w:r>
          </w:p>
        </w:tc>
        <w:tc>
          <w:tcPr>
            <w:tcW w:w="990"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单项指标实际完成值</w:t>
            </w:r>
          </w:p>
        </w:tc>
        <w:tc>
          <w:tcPr>
            <w:tcW w:w="58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单项指标完成情况</w:t>
            </w:r>
          </w:p>
        </w:tc>
        <w:tc>
          <w:tcPr>
            <w:tcW w:w="52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自评得分</w:t>
            </w:r>
          </w:p>
        </w:tc>
      </w:tr>
      <w:tr>
        <w:trPr>
          <w:trHeight w:val="449"/>
        </w:trPr>
        <w:tc>
          <w:tcPr>
            <w:vMerge/>
            <w:tcBorders>
              <w:top w:val="nil"/>
              <w:left w:val="single" w:sz="6" w:space="0" w:color="auto"/>
              <w:bottom w:val="nil"/>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tcW w:w="66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符号</w:t>
            </w:r>
          </w:p>
        </w:tc>
        <w:tc>
          <w:tcPr>
            <w:tcW w:w="423" w:type="dxa"/>
            <w:gridSpan w:val="2"/>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值</w:t>
            </w:r>
          </w:p>
        </w:tc>
        <w:tc>
          <w:tcPr>
            <w:tcW w:w="51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单位(文字描述)</w:t>
            </w:r>
          </w:p>
        </w:tc>
        <w:tc>
          <w:tcPr>
            <w:vMerge/>
            <w:tcBorders>
              <w:top w:val="single" w:sz="6" w:space="0" w:color="auto"/>
              <w:left w:val="single" w:sz="6" w:space="0" w:color="auto"/>
              <w:bottom w:val="single" w:sz="6" w:space="0" w:color="auto"/>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r>
      <w:tr>
        <w:trPr>
          <w:trHeight w:val="449"/>
        </w:trPr>
        <w:tc>
          <w:tcPr>
            <w:vMerge/>
            <w:tcBorders>
              <w:top w:val="nil"/>
              <w:left w:val="single" w:sz="6" w:space="0" w:color="auto"/>
              <w:bottom w:val="nil"/>
              <w:right w:val="single" w:sz="6" w:space="0" w:color="auto"/>
              <w:tl2br w:val="nil"/>
              <w:tr2bl w:val="nil"/>
            </w:tcBorders>
            <w:noWrap/>
          </w:tcPr>
          <w:p/>
        </w:tc>
        <w:tc>
          <w:tcPr>
            <w:tcW w:w="103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产出指标</w:t>
            </w: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数量指标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铺设雨水管道数量</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园区内铺设雨水管道</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13629</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米</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13629</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w:t>
            </w:r>
          </w:p>
        </w:tc>
      </w:tr>
      <w:tr>
        <w:trPr>
          <w:trHeight w:val="449"/>
        </w:trPr>
        <w:tc>
          <w:tcPr>
            <w:vMerge/>
            <w:tcBorders>
              <w:top w:val="nil"/>
              <w:left w:val="single" w:sz="6" w:space="0" w:color="auto"/>
              <w:bottom w:val="nil"/>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质量指标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资金到位率</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资金到位率</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15.00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100</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100</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15</w:t>
            </w:r>
          </w:p>
        </w:tc>
      </w:tr>
      <w:tr>
        <w:trPr>
          <w:trHeight w:val="449"/>
        </w:trPr>
        <w:tc>
          <w:tcPr>
            <w:vMerge/>
            <w:tcBorders>
              <w:top w:val="nil"/>
              <w:left w:val="single" w:sz="6" w:space="0" w:color="auto"/>
              <w:bottom w:val="nil"/>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时效指标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及时性</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资金支付及时性</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15.00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98</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100</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15</w:t>
            </w:r>
          </w:p>
        </w:tc>
      </w:tr>
      <w:tr>
        <w:trPr>
          <w:trHeight w:val="449"/>
        </w:trPr>
        <w:tc>
          <w:tcPr>
            <w:vMerge/>
            <w:tcBorders>
              <w:top w:val="nil"/>
              <w:left w:val="single" w:sz="6" w:space="0" w:color="auto"/>
              <w:bottom w:val="nil"/>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成本指标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成本控制</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成本控制在预算范围内</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3000</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万元</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30</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w:t>
            </w:r>
          </w:p>
        </w:tc>
      </w:tr>
      <w:tr>
        <w:trPr>
          <w:trHeight w:val="449"/>
        </w:trPr>
        <w:tc>
          <w:tcPr>
            <w:vMerge/>
            <w:tcBorders>
              <w:top w:val="nil"/>
              <w:left w:val="single" w:sz="6" w:space="0" w:color="auto"/>
              <w:bottom w:val="nil"/>
              <w:right w:val="single" w:sz="6" w:space="0" w:color="auto"/>
              <w:tl2br w:val="nil"/>
              <w:tr2bl w:val="nil"/>
            </w:tcBorders>
            <w:noWrap/>
          </w:tcPr>
          <w:p/>
        </w:tc>
        <w:tc>
          <w:tcPr>
            <w:tcW w:w="1035" w:type="dxa"/>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效益指标</w:t>
            </w: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经济效益指标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经济效益提升%</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经济效益提升%</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4</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4</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w:t>
            </w:r>
          </w:p>
        </w:tc>
      </w:tr>
      <w:tr>
        <w:trPr>
          <w:trHeight w:val="449"/>
        </w:trPr>
        <w:tc>
          <w:tcPr>
            <w:vMerge/>
            <w:tcBorders>
              <w:top w:val="nil"/>
              <w:left w:val="single" w:sz="6" w:space="0" w:color="auto"/>
              <w:bottom w:val="nil"/>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社会效益指标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服务的改善与提升</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服务的改善与提升率</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5.00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10</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10</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5</w:t>
            </w:r>
          </w:p>
        </w:tc>
      </w:tr>
      <w:tr>
        <w:trPr>
          <w:trHeight w:val="449"/>
        </w:trPr>
        <w:tc>
          <w:tcPr>
            <w:vMerge/>
            <w:tcBorders>
              <w:top w:val="nil"/>
              <w:left w:val="single" w:sz="6" w:space="0" w:color="auto"/>
              <w:bottom w:val="nil"/>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生态效益指标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项目对生态效益提升比</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项目对生态效益提升比值</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5.00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5</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5</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5</w:t>
            </w:r>
          </w:p>
        </w:tc>
      </w:tr>
      <w:tr>
        <w:trPr>
          <w:trHeight w:val="449"/>
        </w:trPr>
        <w:tc>
          <w:tcPr>
            <w:vMerge/>
            <w:tcBorders>
              <w:top w:val="nil"/>
              <w:left w:val="single" w:sz="6" w:space="0" w:color="auto"/>
              <w:bottom w:val="nil"/>
              <w:right w:val="single" w:sz="6" w:space="0" w:color="auto"/>
              <w:tl2br w:val="nil"/>
              <w:tr2bl w:val="nil"/>
            </w:tcBorders>
            <w:noWrap/>
          </w:tcPr>
          <w:p/>
        </w:tc>
        <w:tc>
          <w:tcPr>
            <w:vMerge/>
            <w:tcBorders>
              <w:top w:val="single" w:sz="6" w:space="0" w:color="auto"/>
              <w:left w:val="single" w:sz="6" w:space="0" w:color="auto"/>
              <w:bottom w:val="single" w:sz="6" w:space="0" w:color="auto"/>
              <w:right w:val="single" w:sz="6" w:space="0" w:color="auto"/>
              <w:tl2br w:val="nil"/>
              <w:tr2bl w:val="nil"/>
            </w:tcBorders>
            <w:noWrap/>
          </w:tcP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可持续影响指标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项目持续发挥作用期限</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项目持续发挥作用期限</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5</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年</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1</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未完成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2</w:t>
            </w:r>
          </w:p>
        </w:tc>
      </w:tr>
      <w:tr>
        <w:trPr>
          <w:trHeight w:val="449"/>
        </w:trPr>
        <w:tc>
          <w:tcPr>
            <w:vMerge/>
            <w:tcBorders>
              <w:top w:val="nil"/>
              <w:left w:val="single" w:sz="6" w:space="0" w:color="auto"/>
              <w:bottom w:val="nil"/>
              <w:right w:val="single" w:sz="6" w:space="0" w:color="auto"/>
              <w:tl2br w:val="nil"/>
              <w:tr2bl w:val="nil"/>
            </w:tcBorders>
            <w:noWrap/>
          </w:tc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满意度指标</w:t>
            </w: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服务对象满意度指标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服务对象满意度</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服务对象满意度</w:t>
            </w:r>
          </w:p>
        </w:tc>
        <w:tc>
          <w:tcPr>
            <w:tcW w:w="97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10.00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95</w:t>
            </w: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w:t>
            </w:r>
          </w:p>
        </w:tc>
        <w:tc>
          <w:tcPr>
            <w:tcW w:w="990" w:type="dxa"/>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95</w:t>
            </w:r>
          </w:p>
        </w:tc>
        <w:tc>
          <w:tcPr>
            <w:tcW w:w="58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完成</w:t>
            </w: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10</w:t>
            </w:r>
          </w:p>
        </w:tc>
      </w:tr>
      <w:tr>
        <w:trPr>
          <w:trHeight w:val="449"/>
        </w:trPr>
        <w:tc>
          <w:tcPr>
            <w:vMerge/>
            <w:tcBorders>
              <w:top w:val="nil"/>
              <w:left w:val="single" w:sz="6" w:space="0" w:color="auto"/>
              <w:bottom w:val="nil"/>
              <w:right w:val="single" w:sz="6" w:space="0" w:color="auto"/>
              <w:tl2br w:val="nil"/>
              <w:tr2bl w:val="nil"/>
            </w:tcBorders>
            <w:noWrap/>
          </w:tc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预算执行率</w:t>
            </w: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center"/>
            </w:pPr>
            <w:r>
              <w:rPr>
                <w:rFonts w:ascii="宋体" w:cs="Arial"/>
                <w:color w:val="000000"/>
                <w:sz w:val="14"/>
              </w:rPr>
              <w:t>预算执行率</w:t>
            </w:r>
          </w:p>
        </w:tc>
        <w:tc>
          <w:tcPr>
            <w:tcW w:w="115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tc>
        <w:tc>
          <w:tcPr>
            <w:tcW w:w="97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right"/>
            </w:pPr>
            <w:r>
              <w:rPr>
                <w:rFonts w:ascii="宋体" w:cs="Arial"/>
                <w:color w:val="000000"/>
                <w:sz w:val="14"/>
              </w:rPr>
              <w:t>10</w:t>
            </w:r>
          </w:p>
        </w:tc>
        <w:tc>
          <w:tcPr>
            <w:tcW w:w="66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tc>
        <w:tc>
          <w:tcPr>
            <w:tcW w:w="416"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tc>
        <w:tc>
          <w:tcPr>
            <w:tcW w:w="517" w:type="dxa"/>
            <w:gridSpan w:val="2"/>
            <w:tcBorders>
              <w:top w:val="single" w:sz="6" w:space="0" w:color="auto"/>
              <w:left w:val="single" w:sz="6" w:space="0" w:color="auto"/>
              <w:bottom w:val="single" w:sz="6" w:space="0" w:color="auto"/>
              <w:right w:val="single" w:sz="6" w:space="0" w:color="auto"/>
              <w:tl2br w:val="nil"/>
              <w:tr2bl w:val="nil"/>
            </w:tcBorders>
            <w:shd w:val="clear" w:color="auto" w:fill="E9EFF6"/>
            <w:noWrap/>
          </w:tcPr>
          <w:p/>
        </w:tc>
        <w:tc>
          <w:tcPr>
            <w:tcW w:w="990"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tc>
        <w:tc>
          <w:tcPr>
            <w:tcW w:w="585" w:type="dxa"/>
            <w:tcBorders>
              <w:top w:val="single" w:sz="6" w:space="0" w:color="auto"/>
              <w:left w:val="single" w:sz="6" w:space="0" w:color="auto"/>
              <w:bottom w:val="single" w:sz="6" w:space="0" w:color="auto"/>
              <w:right w:val="single" w:sz="6" w:space="0" w:color="auto"/>
              <w:tl2br w:val="nil"/>
              <w:tr2bl w:val="nil"/>
            </w:tcBorders>
            <w:shd w:val="clear" w:color="auto" w:fill="E9EFF6"/>
            <w:noWrap/>
          </w:tcPr>
          <w:p/>
        </w:tc>
        <w:tc>
          <w:tcPr>
            <w:tcW w:w="525" w:type="dxa"/>
            <w:tcBorders>
              <w:top w:val="single" w:sz="6" w:space="0" w:color="auto"/>
              <w:left w:val="single" w:sz="6" w:space="0" w:color="auto"/>
              <w:bottom w:val="single" w:sz="6" w:space="0" w:color="auto"/>
              <w:right w:val="single" w:sz="6" w:space="0" w:color="auto"/>
              <w:tl2br w:val="nil"/>
              <w:tr2bl w:val="nil"/>
            </w:tcBorders>
            <w:noWrap/>
          </w:tcPr>
          <w:p>
            <w:pPr>
              <w:jc w:val="right"/>
            </w:pPr>
            <w:r>
              <w:rPr>
                <w:rFonts w:ascii="宋体" w:cs="Arial"/>
                <w:color w:val="000000"/>
                <w:sz w:val="14"/>
              </w:rPr>
              <w:t>0.1</w:t>
            </w:r>
          </w:p>
        </w:tc>
      </w:tr>
      <w:tr>
        <w:trPr>
          <w:trHeight w:val="449"/>
        </w:trPr>
        <w:tc>
          <w:tcPr>
            <w:vMerge/>
            <w:tcBorders>
              <w:top w:val="nil"/>
              <w:left w:val="single" w:sz="6" w:space="0" w:color="auto"/>
              <w:bottom w:val="single" w:sz="6" w:space="0" w:color="auto"/>
              <w:right w:val="single" w:sz="6" w:space="0" w:color="auto"/>
              <w:tl2br w:val="nil"/>
              <w:tr2bl w:val="nil"/>
            </w:tcBorders>
            <w:noWrap/>
          </w:tcPr>
          <w:p/>
        </w:tc>
        <w:tc>
          <w:tcPr>
            <w:tcW w:w="1035"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自评总分</w:t>
            </w:r>
          </w:p>
        </w:tc>
        <w:tc>
          <w:tcPr>
            <w:tcW w:w="7562" w:type="dxa"/>
            <w:gridSpan w:val="11"/>
            <w:tcBorders>
              <w:top w:val="single" w:sz="6" w:space="0" w:color="auto"/>
              <w:left w:val="single" w:sz="6" w:space="0" w:color="auto"/>
              <w:bottom w:val="single" w:sz="6" w:space="0" w:color="auto"/>
              <w:right w:val="single" w:sz="6" w:space="0" w:color="auto"/>
              <w:tl2br w:val="nil"/>
              <w:tr2bl w:val="nil"/>
            </w:tcBorders>
            <w:shd w:val="clear" w:color="auto" w:fill="E9EFF6"/>
            <w:noWrap/>
          </w:tcPr>
          <w:p>
            <w:pPr>
              <w:jc w:val="right"/>
            </w:pPr>
            <w:r>
              <w:rPr>
                <w:rFonts w:ascii="宋体" w:cs="Arial"/>
                <w:color w:val="000000"/>
                <w:sz w:val="14"/>
              </w:rPr>
              <w:t>82.1</w:t>
            </w:r>
          </w:p>
        </w:tc>
      </w:tr>
      <w:tr>
        <w:trPr>
          <w:trHeight w:val="584"/>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rPr>
                <w:rFonts w:ascii="宋体" w:cs="Arial"/>
                <w:b/>
                <w:sz w:val="14"/>
              </w:rPr>
            </w:pPr>
            <w:r>
              <w:rPr>
                <w:rFonts w:ascii="宋体" w:cs="Arial"/>
                <w:b/>
                <w:sz w:val="14"/>
              </w:rPr>
              <w:t>五、存在问题</w:t>
            </w:r>
          </w:p>
          <w:p>
            <w:pPr>
              <w:jc w:val="center"/>
            </w:pPr>
            <w:r>
              <w:rPr>
                <w:rFonts w:ascii="宋体" w:cs="Arial"/>
                <w:b/>
                <w:sz w:val="14"/>
              </w:rPr>
              <w:t>原因及整改措施</w:t>
            </w:r>
          </w:p>
        </w:tc>
        <w:tc>
          <w:tcPr>
            <w:tcW w:w="8597" w:type="dxa"/>
            <w:gridSpan w:val="12"/>
            <w:vMerge w:val="restart"/>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由于项目的可持续印象指标的持续发挥作用的期限是一个长期的过程，所以指标的</w:t>
            </w:r>
            <w:bookmarkStart w:id="0" w:name="_GoBack"/>
            <w:bookmarkEnd w:id="0"/>
            <w:r>
              <w:rPr>
                <w:rFonts w:ascii="宋体" w:cs="Arial"/>
                <w:color w:val="000000"/>
                <w:sz w:val="14"/>
              </w:rPr>
              <w:t>未能全部完成，其他的指标基本完成。可持续影响指标将逐年实现，在预定的期限内全部完成。</w:t>
            </w:r>
          </w:p>
        </w:tc>
      </w:tr>
      <w:tr>
        <w:trPr>
          <w:trHeight w:val="105"/>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p>
        </w:tc>
        <w:tc>
          <w:tcPr>
            <w:gridSpan w:val="12"/>
            <w:vMerge/>
            <w:tcBorders>
              <w:top w:val="single" w:sz="6" w:space="0" w:color="auto"/>
              <w:left w:val="single" w:sz="6" w:space="0" w:color="auto"/>
              <w:bottom w:val="single" w:sz="6" w:space="0" w:color="auto"/>
              <w:right w:val="single" w:sz="6" w:space="0" w:color="auto"/>
              <w:tl2br w:val="nil"/>
              <w:tr2bl w:val="nil"/>
            </w:tcBorders>
            <w:noWrap/>
          </w:tcPr>
          <w:p/>
        </w:tc>
      </w:tr>
      <w:tr>
        <w:trPr>
          <w:trHeight w:val="449"/>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填报人:</w:t>
            </w:r>
          </w:p>
        </w:tc>
        <w:tc>
          <w:tcPr>
            <w:tcW w:w="3180" w:type="dxa"/>
            <w:gridSpan w:val="3"/>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color w:val="000000"/>
                <w:sz w:val="14"/>
              </w:rPr>
              <w:t>赵扬</w:t>
            </w:r>
          </w:p>
        </w:tc>
        <w:tc>
          <w:tcPr>
            <w:tcW w:w="750"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联系电话:</w:t>
            </w:r>
          </w:p>
        </w:tc>
        <w:tc>
          <w:tcPr>
            <w:tcW w:w="4668" w:type="dxa"/>
            <w:gridSpan w:val="8"/>
            <w:tcBorders>
              <w:top w:val="single" w:sz="6" w:space="0" w:color="auto"/>
              <w:left w:val="single" w:sz="6" w:space="0" w:color="auto"/>
              <w:bottom w:val="single" w:sz="6" w:space="0" w:color="auto"/>
              <w:right w:val="single" w:sz="6" w:space="0" w:color="auto"/>
              <w:tl2br w:val="nil"/>
              <w:tr2bl w:val="nil"/>
            </w:tcBorders>
            <w:noWrap/>
          </w:tcPr>
          <w:p>
            <w:r>
              <w:rPr>
                <w:rFonts w:ascii="宋体" w:cs="Arial"/>
                <w:color w:val="000000"/>
                <w:sz w:val="14"/>
              </w:rPr>
              <w:t>5963293</w:t>
            </w:r>
          </w:p>
        </w:tc>
      </w:tr>
      <w:tr>
        <w:trPr>
          <w:trHeight w:val="1049"/>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b/>
                <w:sz w:val="14"/>
              </w:rPr>
              <w:t>说明:</w:t>
            </w:r>
          </w:p>
        </w:tc>
        <w:tc>
          <w:tcPr>
            <w:tcW w:w="8597" w:type="dxa"/>
            <w:gridSpan w:val="12"/>
            <w:vMerge w:val="restart"/>
            <w:tcBorders>
              <w:top w:val="single" w:sz="6" w:space="0" w:color="auto"/>
              <w:left w:val="single" w:sz="6" w:space="0" w:color="auto"/>
              <w:bottom w:val="single" w:sz="6" w:space="0" w:color="auto"/>
              <w:right w:val="single" w:sz="6" w:space="0" w:color="auto"/>
              <w:tl2br w:val="nil"/>
              <w:tr2bl w:val="nil"/>
            </w:tcBorders>
            <w:noWrap/>
          </w:tcPr>
          <w:p>
            <w:pPr>
              <w:jc w:val="center"/>
            </w:pPr>
            <w:r>
              <w:rPr>
                <w:rFonts w:ascii="宋体" w:cs="Arial"/>
                <w:sz w:val="14"/>
              </w:rPr>
              <w:t>1.自评总分由各单项指标的自评得分合计而成，满分为100分。2.实际完成值，即填写某项指标截止预算年度末的完成情况，可量化的实际完成值，应填写具体数值和单位；单项指标完成情况，根据下拉菜单选择“完成”或“未完成”。3.当年预算未执行，年终预算调减为0或财政收回全部资金的项目，以及当年重复申报或细化为其他项目的，预算数填0，到位数、执行数、指标完成情况、自评得分等其他内容不再填报，直接保存提交。4.当年预算项目未执行，年终结转下年的项目，资金执行数填0，绩效指标填“未完成”，自评得分填0；当年预算项目部分执行，剩余资金结转下年的项目，资金执行数、指标完成情况如实填写，自评得分应小于100分。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7.实际完成值与预期指标值在描述上应当具有对应关系，比如某培训项目数量指标预期指标值为≥50人次，实际完成值应当填写实际完成多少人次，不能填完成培训多少场次、培训多少人等。8.单项指标完成情况与实际完成值应当具有逻辑关系，当实际完成值达到预期指标值时，单项指标完成情况才能填“完成”，否则填“未完成”。9.当“单项指标完成情况”填“未完成”时，自评得分应小于指标分值。10.由于年初指标值设定明显偏低，造成实际完成值高于预期指标值较多的（偏离度达到30%及以上），应按照偏离度适度调减自评得分。</w:t>
            </w:r>
          </w:p>
        </w:tc>
      </w:tr>
      <w:tr>
        <w:trPr>
          <w:trHeight w:val="1544"/>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p>
        </w:tc>
        <w:tc>
          <w:tcPr>
            <w:gridSpan w:val="12"/>
            <w:vMerge/>
            <w:tcBorders>
              <w:top w:val="single" w:sz="6" w:space="0" w:color="auto"/>
              <w:left w:val="single" w:sz="6" w:space="0" w:color="auto"/>
              <w:bottom w:val="single" w:sz="6" w:space="0" w:color="auto"/>
              <w:right w:val="single" w:sz="6" w:space="0" w:color="auto"/>
              <w:tl2br w:val="nil"/>
              <w:tr2bl w:val="nil"/>
            </w:tcBorders>
            <w:noWrap/>
          </w:tcPr>
          <w:p/>
        </w:tc>
      </w:tr>
      <w:tr>
        <w:trPr>
          <w:trHeight w:val="30"/>
        </w:trPr>
        <w:tc>
          <w:tcPr>
            <w:tcW w:w="1211" w:type="dxa"/>
            <w:tcBorders>
              <w:top w:val="single" w:sz="6" w:space="0" w:color="auto"/>
              <w:left w:val="single" w:sz="6" w:space="0" w:color="auto"/>
              <w:bottom w:val="single" w:sz="6" w:space="0" w:color="auto"/>
              <w:right w:val="single" w:sz="6" w:space="0" w:color="auto"/>
              <w:tl2br w:val="nil"/>
              <w:tr2bl w:val="nil"/>
            </w:tcBorders>
            <w:noWrap/>
          </w:tcPr>
          <w:p>
            <w:pPr>
              <w:jc w:val="center"/>
            </w:pPr>
          </w:p>
        </w:tc>
        <w:tc>
          <w:tcPr>
            <w:gridSpan w:val="12"/>
            <w:vMerge/>
            <w:tcBorders>
              <w:top w:val="single" w:sz="6" w:space="0" w:color="auto"/>
              <w:left w:val="single" w:sz="6" w:space="0" w:color="auto"/>
              <w:bottom w:val="single" w:sz="6" w:space="0" w:color="auto"/>
              <w:right w:val="single" w:sz="6" w:space="0" w:color="auto"/>
              <w:tl2br w:val="nil"/>
              <w:tr2bl w:val="nil"/>
            </w:tcBorders>
            <w:noWrap/>
          </w:tcPr>
          <w:p/>
        </w:tc>
      </w:tr>
    </w:tbl>
    <w:p>
      <w:pPr>
        <w:widowControl/>
        <w:spacing w:line="360" w:lineRule="auto"/>
        <w:ind w:firstLineChars="200" w:firstLine="640"/>
        <w:jc w:val="left"/>
        <w:rPr>
          <w:rFonts w:ascii="Times New Roman" w:eastAsia="仿宋_GB2312" w:hAnsi="Times New Roman"/>
          <w:sz w:val="32"/>
          <w:szCs w:val="32"/>
        </w:rPr>
      </w:pPr>
    </w:p>
    <w:p>
      <w:pPr>
        <w:widowControl/>
        <w:spacing w:line="360" w:lineRule="auto"/>
        <w:ind w:firstLineChars="200" w:firstLine="640"/>
        <w:jc w:val="left"/>
        <w:rPr>
          <w:rFonts w:ascii="Times New Roman" w:eastAsia="仿宋_GB2312" w:hAnsi="Times New Roman"/>
          <w:sz w:val="32"/>
          <w:szCs w:val="32"/>
        </w:rPr>
      </w:pP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（三）部门评价项目绩效评价结果（如有）</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本部门根据财政部门评价项目绩效报告，将项目绩效评价结果与绩效评价表进行公开。</w:t>
      </w:r>
    </w:p>
    <w:p>
      <w:pPr>
        <w:widowControl/>
        <w:spacing w:line="360" w:lineRule="auto"/>
        <w:ind w:firstLineChars="200" w:firstLine="640"/>
        <w:jc w:val="left"/>
        <w:rPr>
          <w:rFonts w:ascii="Times New Roman" w:eastAsia="黑体" w:hAnsi="Times New Roman"/>
          <w:sz w:val="32"/>
          <w:szCs w:val="32"/>
        </w:rPr>
      </w:pPr>
      <w:r>
        <w:rPr>
          <w:rFonts w:ascii="Times New Roman" w:eastAsia="黑体" w:hAnsi="Times New Roman"/>
          <w:sz w:val="32"/>
          <w:szCs w:val="32"/>
        </w:rPr>
        <w:t>十、其他需要说明的情况</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1.本</w:t>
      </w:r>
      <w:r>
        <w:rPr>
          <w:rFonts w:ascii="Times New Roman" w:eastAsia="仿宋_GB2312" w:hAnsi="Times New Roman" w:hint="eastAsia"/>
          <w:sz w:val="32"/>
          <w:szCs w:val="32"/>
        </w:rPr>
        <w:t>部门</w:t>
      </w:r>
      <w:r>
        <w:rPr>
          <w:rFonts w:ascii="Times New Roman" w:eastAsia="仿宋_GB2312" w:hAnsi="Times New Roman"/>
          <w:sz w:val="32"/>
          <w:szCs w:val="32"/>
        </w:rPr>
        <w:t>2024年度国有资本经营预算财政拨款支出决算表（公开08表）、财政拨款“三公”经费支出决算表（公开09表）无相应收支，故空表列示。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 由于决算公开表格中金额数值应当保留两位小数，公开数据为四舍五入计算结果，个别数据合计项与分项之和存在小数点后差额，特此说明。</w:t>
      </w:r>
    </w:p>
    <w:p>
      <w:pPr>
        <w:rPr>
          <w:rFonts w:ascii="Times New Roman" w:eastAsia="仿宋_GB2312" w:cs="Times New Roman" w:hAnsi="Times New Roman"/>
          <w:sz w:val="32"/>
          <w:szCs w:val="32"/>
        </w:rPr>
      </w:pPr>
      <w:r>
        <w:rPr>
          <w:rFonts w:ascii="Times New Roman" w:eastAsia="仿宋_GB2312" w:cs="Times New Roman" w:hAnsi="Times New Roman"/>
          <w:sz w:val="32"/>
          <w:szCs w:val="32"/>
        </w:rPr>
        <w:br w:type="page"/>
      </w:r>
    </w:p>
    <w:p>
      <w:pPr>
        <w:widowControl/>
        <w:spacing w:line="360" w:lineRule="auto"/>
        <w:jc w:val="center"/>
        <w:outlineLvl w:val="0"/>
        <w:rPr>
          <w:rFonts w:ascii="Times New Roman" w:eastAsia="黑体" w:hAnsi="Times New Roman"/>
          <w:sz w:val="44"/>
          <w:szCs w:val="44"/>
        </w:rPr>
      </w:pPr>
      <w:r>
        <w:rPr>
          <w:rFonts w:ascii="Times New Roman" w:eastAsia="黑体" w:hAnsi="Times New Roman"/>
          <w:sz w:val="44"/>
          <w:szCs w:val="44"/>
        </w:rPr>
        <w:t>第四部分 名词解释</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一、财政拨款收入：</w:t>
      </w:r>
      <w:r>
        <w:rPr>
          <w:rFonts w:ascii="Times New Roman" w:eastAsia="仿宋_GB2312" w:hAnsi="Times New Roman"/>
          <w:sz w:val="32"/>
          <w:szCs w:val="32"/>
        </w:rPr>
        <w:t>指单位从同级财政部门取得的财政预算资金。</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二、事业收入：</w:t>
      </w:r>
      <w:r>
        <w:rPr>
          <w:rFonts w:ascii="Times New Roman" w:eastAsia="仿宋_GB2312" w:hAnsi="Times New Roman"/>
          <w:sz w:val="32"/>
          <w:szCs w:val="32"/>
        </w:rPr>
        <w:t>指事业单位开展专业业务活动及辅助活动取得的收入。</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三、经营收入：</w:t>
      </w:r>
      <w:r>
        <w:rPr>
          <w:rFonts w:ascii="Times New Roman" w:eastAsia="仿宋_GB2312" w:hAnsi="Times New Roman"/>
          <w:sz w:val="32"/>
          <w:szCs w:val="32"/>
        </w:rPr>
        <w:t>指事业单位在专业业务活动及其辅助活动之外开展非独立核算经营活动取得的收入。</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四、其他收入：</w:t>
      </w:r>
      <w:r>
        <w:rPr>
          <w:rFonts w:ascii="Times New Roman" w:eastAsia="仿宋_GB2312" w:hAnsi="Times New Roman"/>
          <w:sz w:val="32"/>
          <w:szCs w:val="32"/>
        </w:rPr>
        <w:t>指单位取得的除上述收入以外的各项收入。主要是事业单位固定资产出租收入、存款利息收入等。</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五、使用非财政拨款结余（含专用结余）：</w:t>
      </w:r>
      <w:r>
        <w:rPr>
          <w:rFonts w:ascii="Times New Roman" w:eastAsia="仿宋_GB2312" w:hAnsi="Times New Roman"/>
          <w:sz w:val="32"/>
          <w:szCs w:val="32"/>
        </w:rPr>
        <w:t>指事业单位按照预算管理要求使用非财政拨款结余弥补收支差额的金额，以及使用专用结余安排支出的金额。</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六、年初结转和结余：</w:t>
      </w:r>
      <w:r>
        <w:rPr>
          <w:rFonts w:ascii="Times New Roman" w:eastAsia="仿宋_GB2312" w:hAnsi="Times New Roman"/>
          <w:sz w:val="32"/>
          <w:szCs w:val="32"/>
        </w:rPr>
        <w:t>指单位以前年度尚未完成、结转到本年仍按原规定用途继续使用的资金，或项目已完成等产生的结余资金。</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七、结余分配：</w:t>
      </w:r>
      <w:r>
        <w:rPr>
          <w:rFonts w:ascii="Times New Roman" w:eastAsia="仿宋_GB2312" w:hAnsi="Times New Roman"/>
          <w:sz w:val="32"/>
          <w:szCs w:val="32"/>
        </w:rPr>
        <w:t>指事业单位按照会计制度规定缴纳的所得税、提取的专用结余以及转入非财政拨款结余的金额等。</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八、年末结转和结余：</w:t>
      </w:r>
      <w:r>
        <w:rPr>
          <w:rFonts w:ascii="Times New Roman" w:eastAsia="仿宋_GB2312" w:hAnsi="Times New Roman"/>
          <w:sz w:val="32"/>
          <w:szCs w:val="32"/>
        </w:rPr>
        <w:t>指单位按有关规定结转到下年或以后年度继续使用的资金，或项目已完成等产生的结余资金。</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九、基本支出：</w:t>
      </w:r>
      <w:r>
        <w:rPr>
          <w:rFonts w:ascii="Times New Roman" w:eastAsia="仿宋_GB2312" w:hAnsi="Times New Roman"/>
          <w:sz w:val="32"/>
          <w:szCs w:val="32"/>
        </w:rPr>
        <w:t>指为保障机构正常运转、完成日常工作任务而发生的人员支出和公用支出。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十、项目支出：</w:t>
      </w:r>
      <w:r>
        <w:rPr>
          <w:rFonts w:ascii="Times New Roman" w:eastAsia="仿宋_GB2312" w:hAnsi="Times New Roman"/>
          <w:sz w:val="32"/>
          <w:szCs w:val="32"/>
        </w:rPr>
        <w:t>指在基本支出之外为完成特定行政任务和事业发展目标所发生的支出。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十一、经营支出 ：</w:t>
      </w:r>
      <w:r>
        <w:rPr>
          <w:rFonts w:ascii="Times New Roman" w:eastAsia="仿宋_GB2312" w:hAnsi="Times New Roman"/>
          <w:sz w:val="32"/>
          <w:szCs w:val="32"/>
        </w:rPr>
        <w:t>指事业单位在专业业务活动及其辅助活动之外开展非独立核算经营活动发生的支出。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十二、基本建设支出：</w:t>
      </w:r>
      <w:r>
        <w:rPr>
          <w:rFonts w:ascii="Times New Roman" w:eastAsia="仿宋_GB2312" w:hAnsi="Times New Roman"/>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十三、其他资本性支出：</w:t>
      </w:r>
      <w:r>
        <w:rPr>
          <w:rFonts w:ascii="Times New Roman" w:eastAsia="仿宋_GB2312" w:hAnsi="Times New Roman"/>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十四、“三公”经费：</w:t>
      </w:r>
      <w:r>
        <w:rPr>
          <w:rFonts w:ascii="Times New Roman" w:eastAsia="仿宋_GB2312" w:hAnsi="Times New Roman"/>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十五、其他交通费用：</w:t>
      </w:r>
      <w:r>
        <w:rPr>
          <w:rFonts w:ascii="Times New Roman" w:eastAsia="仿宋_GB2312" w:hAnsi="Times New Roman"/>
          <w:sz w:val="32"/>
          <w:szCs w:val="32"/>
        </w:rPr>
        <w:t>填列单位除公务用车运行维护费以外的其他交通费用。如公务交通补贴、租车费用、出租车费用，飞机、船舶等燃料费、维修费、保险费等。</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十六、公务用车购置：</w:t>
      </w:r>
      <w:r>
        <w:rPr>
          <w:rFonts w:ascii="Times New Roman" w:eastAsia="仿宋_GB2312" w:hAnsi="Times New Roman"/>
          <w:sz w:val="32"/>
          <w:szCs w:val="32"/>
        </w:rPr>
        <w:t>填列单位公务用车车辆购置支出（含车辆购置税、牌照费）。</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十七、其他交通工具购置：</w:t>
      </w:r>
      <w:r>
        <w:rPr>
          <w:rFonts w:ascii="Times New Roman" w:eastAsia="仿宋_GB2312" w:hAnsi="Times New Roman"/>
          <w:sz w:val="32"/>
          <w:szCs w:val="32"/>
        </w:rPr>
        <w:t>填列单位除公务用车外的其他各类交通工具（如船舶、飞机等）购置支出（含车辆购置税、牌照费）。</w:t>
      </w:r>
    </w:p>
    <w:p>
      <w:pPr>
        <w:widowControl/>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十八、机关运行经费：</w:t>
      </w:r>
      <w:r>
        <w:rPr>
          <w:rFonts w:ascii="Times New Roman" w:eastAsia="仿宋_GB2312" w:hAnsi="Times New Roman"/>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w:type="default" r:id="rId11"/>
      <w:pgSz w:w="11906" w:h="16838"/>
      <w:pgMar w:top="2098" w:right="1417" w:bottom="1871" w:left="1417" w:header="851" w:footer="992" w:gutter="0"/>
      <w:pgNumType w:start="1"/>
      <w:cols w:num="1" w:space="0"/>
      <w:docGrid w:type="lines" w:linePitch="329"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auto"/>
    <w:pitch w:val="variable"/>
    <w:sig w:usb0="A00002BF" w:usb1="38CF7CFA" w:usb2="00082016" w:usb3="00000000" w:csb0="00040001" w:csb1="00000000"/>
  </w:font>
  <w:font w:name="楷体_GB2312">
    <w:altName w:val="楷体"/>
    <w:panose1 w:val="00000000000000000000"/>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pitch w:val="variable"/>
    <w:sig w:usb0="00000001" w:usb1="080E0000" w:usb2="00000010" w:usb3="00000000" w:csb0="00040000" w:csb1="00000000"/>
  </w:font>
  <w:font w:name="ArialUnicodeMS">
    <w:altName w:val="Malgun Gothic"/>
    <w:panose1 w:val="00000000000000000000"/>
    <w:charset w:val="81"/>
    <w:family w:val="auto"/>
    <w:pitch w:val="variable"/>
    <w:sig w:usb0="00000000" w:usb1="00000000" w:usb2="00000010" w:usb3="00000000" w:csb0="00080001" w:csb1="00000000"/>
  </w:font>
  <w:font w:name="仿宋">
    <w:panose1 w:val="02010609060101010101"/>
    <w:charset w:val="86"/>
    <w:family w:val="modern"/>
    <w:pitch w:val="variable"/>
    <w:sig w:usb0="800002BF" w:usb1="38CF7CFA" w:usb2="00000016" w:usb3="00000000" w:csb0="00040001" w:csb1="00000000"/>
  </w:font>
  <w:font w:name="方正仿宋_GB2312">
    <w:altName w:val="仿宋"/>
    <w:panose1 w:val="00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宋体"/>
    <w:panose1 w:val="00000000000000000000"/>
    <w:charset w:val="00"/>
    <w:family w:val="roman"/>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华文中宋">
    <w:altName w:val="宋体"/>
    <w:panose1 w:val="00000000000000000000"/>
    <w:charset w:val="86"/>
    <w:family w:val="auto"/>
    <w:pitch w:val="variable"/>
    <w:sig w:usb0="00000287" w:usb1="080F0000" w:usb2="00000010" w:usb3="00000000" w:csb0="0004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p/>
  <w:p>
    <w:pPr>
      <w:pStyle w:val="17"/>
      <w:tabs>
        <w:tab w:val="center" w:pos="4153"/>
        <w:tab w:val="right" w:pos="8306"/>
      </w:tabs>
      <w:jc w:val="center"/>
    </w:pPr>
  </w:p>
  <w:p>
    <w:pPr>
      <w:pStyle w:val="1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2</w:t>
    </w:r>
    <w:r>
      <w:fldChar w:fldCharType="end"/>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4</w:t>
    </w:r>
    <w:r>
      <w:fldChar w:fldCharType="end"/>
    </w:r>
  </w:p>
  <w:p/>
  <w:p>
    <w:pPr>
      <w:pStyle w:val="17"/>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18</w:t>
    </w:r>
    <w:r>
      <w:fldChar w:fldCharType="end"/>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16</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DB2BF91"/>
    <w:multiLevelType w:val="multilevel"/>
    <w:tmpl w:val="5F16A424"/>
    <w:lvl w:ilvl="0">
      <w:start w:val="1"/>
      <w:numFmt w:val="decimal"/>
      <w:lvlRestart w:val="0"/>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displayBackgroundShape/>
  <w:bordersDoNotSurroundHeader/>
  <w:bordersDoNotSurroundFooter/>
  <w:defaultTabStop w:val="420"/>
  <w:drawingGridHorizontalSpacing w:val="120"/>
  <w:drawingGridVerticalSpacing w:val="165"/>
  <w:displayHorizontalDrawingGridEvery w:val="0"/>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w:docVars>
    <w:docVar w:name="commondata" w:val="eyJjb3VudCI6NjksImhkaWQiOiJiMzk2N2EzZjUyYWViODRjZjJhMDZjM2YyYjk4MTExMiIsInVzZXJDb3VudCI6MX0="/>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宋体" w:hAnsi="Calibri"/>
      <w:sz w:val="24"/>
      <w:szCs w:val="24"/>
      <w:lang w:val="en-US" w:eastAsia="zh-CN" w:bidi="ar-SA"/>
    </w:rPr>
  </w:style>
  <w:style w:type="paragraph" w:styleId="1">
    <w:name w:val="heading 1"/>
    <w:qFormat/>
    <w:basedOn w:val="0"/>
    <w:next w:val="0"/>
    <w:link w:val="1Char"/>
    <w:pPr>
      <w:keepNext/>
      <w:keepLines/>
      <w:numPr>
        <w:ilvl w:val="0"/>
        <w:numId w:val="1"/>
      </w:numPr>
      <w:adjustRightInd w:val="0"/>
      <w:snapToGrid w:val="0"/>
      <w:spacing w:before="340" w:afterLines="50" w:after="50" w:line="578" w:lineRule="auto"/>
      <w:jc w:val="left"/>
      <w:outlineLvl w:val="0"/>
    </w:pPr>
    <w:rPr>
      <w:rFonts w:ascii="Times New Roman" w:eastAsia="仿宋" w:cs="Times New Roman" w:hAnsi="Times New Roman"/>
      <w:b/>
      <w:bCs/>
      <w:kern w:val="44"/>
      <w:sz w:val="36"/>
      <w:szCs w:val="44"/>
    </w:rPr>
  </w:style>
  <w:style w:type="character" w:customStyle="1" w:styleId="1Char">
    <w:name w:val="heading 1 Char"/>
    <w:basedOn w:val="10"/>
    <w:link w:val="1"/>
    <w:rPr>
      <w:rFonts w:ascii="Times New Roman" w:eastAsia="仿宋" w:cs="Times New Roman" w:hAnsi="Times New Roman"/>
      <w:b/>
      <w:bCs/>
      <w:kern w:val="44"/>
      <w:sz w:val="36"/>
      <w:szCs w:val="44"/>
      <w:lang w:val="en-US" w:eastAsia="zh-CN" w:bidi="ar-SA"/>
    </w:rPr>
  </w:style>
  <w:style w:type="paragraph" w:styleId="2">
    <w:name w:val="heading 2"/>
    <w:qFormat/>
    <w:basedOn w:val="0"/>
    <w:next w:val="0"/>
    <w:link w:val="2Char"/>
    <w:pPr>
      <w:numPr>
        <w:ilvl w:val="1"/>
        <w:numId w:val="1"/>
      </w:numPr>
      <w:spacing w:line="415" w:lineRule="auto"/>
      <w:outlineLvl w:val="1"/>
    </w:pPr>
    <w:rPr>
      <w:rFonts w:ascii="Calibri Light" w:cs="Times New Roman" w:hAnsi="Calibri Light"/>
      <w:b/>
      <w:bCs/>
      <w:sz w:val="28"/>
      <w:szCs w:val="32"/>
    </w:rPr>
  </w:style>
  <w:style w:type="character" w:customStyle="1" w:styleId="2Char">
    <w:name w:val="heading 2 Char"/>
    <w:basedOn w:val="10"/>
    <w:link w:val="2"/>
    <w:rPr>
      <w:rFonts w:ascii="Calibri Light" w:eastAsia="宋体" w:cs="Times New Roman" w:hAnsi="Calibri Light"/>
      <w:b/>
      <w:bCs/>
      <w:sz w:val="28"/>
      <w:szCs w:val="32"/>
      <w:lang w:val="en-US" w:eastAsia="zh-CN" w:bidi="ar-SA"/>
    </w:rPr>
  </w:style>
  <w:style w:type="paragraph" w:styleId="3">
    <w:name w:val="heading 3"/>
    <w:qFormat/>
    <w:basedOn w:val="0"/>
    <w:next w:val="0"/>
    <w:link w:val="3Char"/>
    <w:pPr>
      <w:keepNext/>
      <w:keepLines/>
      <w:numPr>
        <w:ilvl w:val="2"/>
        <w:numId w:val="1"/>
      </w:numPr>
      <w:spacing w:beforeLines="50" w:before="50" w:afterLines="50" w:after="50" w:line="415" w:lineRule="auto"/>
      <w:outlineLvl w:val="2"/>
    </w:pPr>
    <w:rPr>
      <w:rFonts w:ascii="宋体" w:hAnsi="宋体"/>
      <w:b/>
      <w:bCs/>
      <w:sz w:val="32"/>
    </w:rPr>
  </w:style>
  <w:style w:type="character" w:customStyle="1" w:styleId="3Char">
    <w:name w:val="heading 3 Char"/>
    <w:basedOn w:val="10"/>
    <w:link w:val="3"/>
    <w:rPr>
      <w:rFonts w:ascii="宋体" w:eastAsia="宋体" w:cs="宋体" w:hAnsi="宋体"/>
      <w:b/>
      <w:bCs/>
      <w:sz w:val="32"/>
      <w:szCs w:val="24"/>
      <w:lang w:val="en-US" w:eastAsia="zh-CN" w:bidi="ar-SA"/>
    </w:rPr>
  </w:style>
  <w:style w:type="paragraph" w:styleId="4">
    <w:name w:val="heading 4"/>
    <w:qFormat/>
    <w:basedOn w:val="0"/>
    <w:next w:val="0"/>
    <w:link w:val="4Char"/>
    <w:pPr>
      <w:keepNext/>
      <w:keepLines/>
      <w:numPr>
        <w:ilvl w:val="3"/>
        <w:numId w:val="1"/>
      </w:numPr>
      <w:spacing w:before="120" w:after="120"/>
      <w:outlineLvl w:val="3"/>
    </w:pPr>
    <w:rPr>
      <w:rFonts w:ascii="Calibri Light" w:cs="Times New Roman" w:hAnsi="Calibri Light"/>
      <w:b/>
      <w:bCs/>
      <w:sz w:val="28"/>
      <w:szCs w:val="28"/>
    </w:rPr>
  </w:style>
  <w:style w:type="character" w:customStyle="1" w:styleId="4Char">
    <w:name w:val="heading 4 Char"/>
    <w:basedOn w:val="10"/>
    <w:link w:val="4"/>
    <w:rPr>
      <w:rFonts w:ascii="Calibri Light" w:eastAsia="宋体" w:cs="Times New Roman" w:hAnsi="Calibri Light"/>
      <w:b/>
      <w:bCs/>
      <w:sz w:val="28"/>
      <w:szCs w:val="28"/>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Balloon Text"/>
    <w:qFormat/>
    <w:basedOn w:val="0"/>
    <w:rPr>
      <w:rFonts w:cs="Arial"/>
      <w:kern w:val="2"/>
      <w:sz w:val="18"/>
      <w:szCs w:val="18"/>
    </w:rPr>
  </w:style>
  <w:style w:type="paragraph" w:styleId="17">
    <w:name w:val="footer"/>
    <w:qFormat/>
    <w:basedOn w:val="0"/>
    <w:pPr>
      <w:tabs>
        <w:tab w:val="center" w:pos="4153"/>
        <w:tab w:val="right" w:pos="8306"/>
      </w:tabs>
      <w:snapToGrid w:val="0"/>
      <w:jc w:val="left"/>
    </w:pPr>
    <w:rPr>
      <w:rFonts w:cs="Arial"/>
      <w:kern w:val="2"/>
      <w:sz w:val="18"/>
      <w:szCs w:val="18"/>
    </w:rPr>
  </w:style>
  <w:style w:type="paragraph" w:styleId="18">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Arial"/>
      <w:kern w:val="2"/>
      <w:sz w:val="18"/>
      <w:szCs w:val="18"/>
    </w:rPr>
  </w:style>
  <w:style w:type="paragraph" w:styleId="19">
    <w:name w:val="Normal (Web)"/>
    <w:qFormat/>
    <w:basedOn w:val="0"/>
    <w:pPr>
      <w:spacing w:beforeAutospacing="1" w:afterAutospacing="1"/>
      <w:jc w:val="left"/>
    </w:pPr>
    <w:rPr>
      <w:rFonts w:cs="Times New Roman"/>
    </w:rPr>
  </w:style>
  <w:style w:type="character" w:styleId="20">
    <w:name w:val="Strong"/>
    <w:qFormat/>
    <w:basedOn w:val="10"/>
    <w:rPr>
      <w:b/>
    </w:rPr>
  </w:style>
  <w:style w:type="character" w:customStyle="1" w:yozoId="4094" w:styleId="21">
    <w:name w:val="font11"/>
    <w:qFormat/>
    <w:basedOn w:val="10"/>
    <w:rPr>
      <w:rFonts w:ascii="宋体" w:eastAsia="宋体" w:cs="宋体" w:hAnsi="宋体"/>
      <w:color w:val="000000"/>
      <w:sz w:val="20"/>
      <w:szCs w:val="20"/>
      <w:u w:val="none"/>
      <w:lang w:val="en-US" w:eastAsia="zh-CN" w:bidi="ar-SA"/>
    </w:rPr>
  </w:style>
  <w:style w:type="character" w:customStyle="1" w:yozoId="4094" w:styleId="22">
    <w:name w:val="font01"/>
    <w:qFormat/>
    <w:basedOn w:val="10"/>
    <w:rPr>
      <w:rFonts w:ascii="宋体" w:eastAsia="宋体" w:cs="宋体" w:hAnsi="宋体"/>
      <w:color w:val="000000"/>
      <w:sz w:val="22"/>
      <w:szCs w:val="22"/>
      <w:u w:val="none"/>
      <w:lang w:val="en-US" w:eastAsia="zh-CN" w:bidi="ar-SA"/>
    </w:rPr>
  </w:style>
  <w:style w:type="character" w:customStyle="1" w:yozoId="4094" w:styleId="23">
    <w:name w:val="font41"/>
    <w:qFormat/>
    <w:basedOn w:val="10"/>
    <w:rPr>
      <w:rFonts w:ascii="宋体" w:eastAsia="宋体" w:cs="宋体" w:hAnsi="宋体"/>
      <w:color w:val="000000"/>
      <w:sz w:val="24"/>
      <w:szCs w:val="24"/>
      <w:u w:val="none"/>
      <w:lang w:val="en-US" w:eastAsia="zh-CN" w:bidi="ar-SA"/>
    </w:rPr>
  </w:style>
  <w:style w:type="character" w:customStyle="1" w:yozoId="4094" w:styleId="24">
    <w:name w:val="font31"/>
    <w:qFormat/>
    <w:basedOn w:val="10"/>
    <w:rPr>
      <w:rFonts w:ascii="华文中宋" w:eastAsia="华文中宋" w:cs="华文中宋" w:hAnsi="华文中宋"/>
      <w:color w:val="000000"/>
      <w:sz w:val="32"/>
      <w:szCs w:val="32"/>
      <w:u w:val="none"/>
      <w:lang w:val="en-US" w:eastAsia="zh-CN" w:bidi="ar-SA"/>
    </w:rPr>
  </w:style>
  <w:style w:type="character" w:customStyle="1" w:yozoId="4094" w:styleId="25">
    <w:name w:val="font91"/>
    <w:qFormat/>
    <w:basedOn w:val="10"/>
    <w:rPr>
      <w:rFonts w:ascii="华文中宋" w:eastAsia="华文中宋" w:cs="华文中宋" w:hAnsi="华文中宋"/>
      <w:color w:val="000000"/>
      <w:sz w:val="32"/>
      <w:szCs w:val="32"/>
      <w:u w:val="none"/>
      <w:lang w:val="en-US" w:eastAsia="zh-CN" w:bidi="ar-SA"/>
    </w:rPr>
  </w:style>
  <w:style w:type="character" w:customStyle="1" w:yozoId="4094" w:styleId="26">
    <w:name w:val="font51"/>
    <w:qFormat/>
    <w:basedOn w:val="10"/>
    <w:rPr>
      <w:rFonts w:ascii="宋体" w:eastAsia="宋体" w:cs="宋体" w:hAnsi="宋体"/>
      <w:color w:val="000000"/>
      <w:sz w:val="24"/>
      <w:szCs w:val="24"/>
      <w:u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1.jpeg"/><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chart" Target="charts/chart6.xml"/><Relationship Id="rId18" Type="http://schemas.openxmlformats.org/officeDocument/2006/relationships/styles" Target="styl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customXml" Target="../customXml/item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Times New Roman"/>
                <a:ea typeface="宋体"/>
                <a:cs typeface="Arial"/>
              </a:defRPr>
            </a:pPr>
            <a:r>
              <a:rPr lang="zh-CN"/>
              <a:t>图 1 ： 2023-2024年收支总计对比图（万元）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收支总计</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4032.61</c:v>
                </c:pt>
                <c:pt idx="1">
                  <c:v>3344.8100000000018</c:v>
                </c:pt>
              </c:numCache>
            </c:numRef>
          </c:val>
        </c:ser>
        <c:overlap val="-28"/>
        <c:gapWidth val="246"/>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Arial"/>
              </a:defRPr>
            </a:pPr>
            <a:endParaRPr lang="zh-CN"/>
          </a:p>
        </c:txPr>
        <c:crossesAt val="1.0"/>
        <c:crossBetween val="between"/>
        <c:crossAx val="0"/>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Times New Roman"/>
                <a:ea typeface="宋体"/>
                <a:cs typeface="Arial"/>
              </a:defRPr>
            </a:pPr>
            <a:r>
              <a:rPr lang="zh-CN"/>
              <a:t>图 2 ：收入决算构成情况图</a:t>
            </a:r>
          </a:p>
        </c:rich>
      </c:tx>
      <c:layout/>
      <c:overlay val="0"/>
      <c:spPr>
        <a:noFill/>
        <a:ln>
          <a:noFill/>
        </a:ln>
      </c:spPr>
    </c:title>
    <c:autoTitleDeleted val="1"/>
    <c:plotArea>
      <c:layout/>
      <c:pieChart>
        <c:varyColors val="1"/>
        <c:ser>
          <c:idx val="0"/>
          <c:order val="0"/>
          <c:tx>
            <c:strRef>
              <c:f>'Sheet1 (2)'!$B$1</c:f>
              <c:strCache>
                <c:ptCount val="1"/>
                <c:pt idx="0">
                  <c:v>金额</c:v>
                </c:pt>
              </c:strCache>
            </c:strRef>
          </c:tx>
          <c:spPr>
            <a:ln>
              <a:noFill/>
            </a:ln>
          </c:spPr>
          <c:dPt>
            <c:idx val="0"/>
            <c:bubble3D val="0"/>
            <c:spPr>
              <a:solidFill>
                <a:srgbClr val="4874CB"/>
              </a:solidFill>
              <a:ln w="12700">
                <a:solidFill>
                  <a:srgbClr val="FFFFFF"/>
                </a:solidFill>
                <a:prstDash val="solid"/>
              </a:ln>
            </c:spPr>
          </c:dPt>
          <c:dPt>
            <c:idx val="1"/>
            <c:bubble3D val="0"/>
            <c:spPr>
              <a:solidFill>
                <a:srgbClr val="EE822F"/>
              </a:solidFill>
              <a:ln w="12700">
                <a:solidFill>
                  <a:srgbClr val="FFFFFF"/>
                </a:solidFill>
                <a:prstDash val="solid"/>
              </a:ln>
            </c:spPr>
          </c:dPt>
          <c:dPt>
            <c:idx val="2"/>
            <c:bubble3D val="0"/>
            <c:spPr>
              <a:solidFill>
                <a:srgbClr val="F2BA02"/>
              </a:solidFill>
              <a:ln w="12700">
                <a:solidFill>
                  <a:srgbClr val="FFFFFF"/>
                </a:solidFill>
                <a:prstDash val="solid"/>
              </a:ln>
            </c:spPr>
          </c:dPt>
          <c:dPt>
            <c:idx val="3"/>
            <c:bubble3D val="0"/>
            <c:spPr>
              <a:solidFill>
                <a:srgbClr val="75BD42"/>
              </a:solidFill>
              <a:ln w="12700">
                <a:solidFill>
                  <a:srgbClr val="FFFFFF"/>
                </a:solidFill>
                <a:prstDash val="solid"/>
              </a:ln>
            </c:spPr>
          </c:dPt>
          <c:dPt>
            <c:idx val="4"/>
            <c:bubble3D val="0"/>
            <c:spPr>
              <a:solidFill>
                <a:srgbClr val="30C0B4"/>
              </a:solidFill>
              <a:ln w="12700">
                <a:solidFill>
                  <a:srgbClr val="FFFFFF"/>
                </a:solidFill>
                <a:prstDash val="solid"/>
              </a:ln>
            </c:spPr>
          </c:dPt>
          <c:dPt>
            <c:idx val="5"/>
            <c:bubble3D val="0"/>
            <c:spPr>
              <a:solidFill>
                <a:srgbClr val="E54C5E"/>
              </a:solidFill>
              <a:ln w="12700">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numFmt formatCode="0.0%" sourceLinked="0"/>
            <c:dLbl>
              <c:idx val="0"/>
              <c:layout>
                <c:manualLayout>
                  <c:x val="0.32012555"/>
                  <c:y val="0.72690713"/>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bestFit"/>
              <c:showLegendKey val="1"/>
              <c:showVal val="0"/>
              <c:showCatName val="1"/>
              <c:showSerName val="0"/>
              <c:showPercent val="1"/>
              <c:showBubbleSize val="0"/>
              <c:separator> </c:separator>
            </c:dLbl>
            <c:dLbl>
              <c:idx val="1"/>
              <c:layout>
                <c:manualLayout>
                  <c:x val="-0.3080455"/>
                  <c:y val="0.6391468"/>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bestFit"/>
              <c:showLegendKey val="1"/>
              <c:showVal val="0"/>
              <c:showCatName val="1"/>
              <c:showSerName val="0"/>
              <c:showPercent val="1"/>
              <c:showBubbleSize val="0"/>
              <c:separator> </c:separator>
            </c:dLbl>
            <c:dLbl>
              <c:idx val="2"/>
              <c:layout>
                <c:manualLayout>
                  <c:x val="0.40541184"/>
                  <c:y val="0.17185508"/>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bestFit"/>
              <c:showLegendKey val="1"/>
              <c:showVal val="0"/>
              <c:showCatName val="1"/>
              <c:showSerName val="0"/>
              <c:showPercent val="1"/>
              <c:showBubbleSize val="0"/>
              <c:separator> </c:separator>
            </c:dLbl>
            <c:dLbl>
              <c:idx val="3"/>
              <c:layout>
                <c:manualLayout>
                  <c:x val="-0.28690514"/>
                  <c:y val="0.27025074"/>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bestFit"/>
              <c:showLegendKey val="1"/>
              <c:showVal val="0"/>
              <c:showCatName val="1"/>
              <c:showSerName val="0"/>
              <c:showPercent val="1"/>
              <c:showBubbleSize val="0"/>
              <c:separator> </c:separator>
            </c:dLbl>
            <c:dLbl>
              <c:idx val="4"/>
              <c:layout>
                <c:manualLayout>
                  <c:x val="-0.29898536"/>
                  <c:y val="0.44916064"/>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bestFit"/>
              <c:showLegendKey val="1"/>
              <c:showVal val="0"/>
              <c:showCatName val="1"/>
              <c:showSerName val="0"/>
              <c:showPercent val="1"/>
              <c:showBubbleSize val="0"/>
              <c:separator> </c:separator>
            </c:dLbl>
            <c:dLbl>
              <c:idx val="5"/>
              <c:layout>
                <c:manualLayout>
                  <c:x val="-0.28847557"/>
                  <c:y val="0.12416596"/>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bestFit"/>
              <c:showLegendKey val="1"/>
              <c:showVal val="0"/>
              <c:showCatName val="1"/>
              <c:showSerName val="0"/>
              <c:showPercent val="1"/>
              <c:showBubbleSize val="0"/>
              <c:separator> </c:separator>
            </c:dLbl>
            <c:dLblPos val="ctr"/>
            <c:showLegendKey val="1"/>
            <c:showVal val="0"/>
            <c:showCatName val="1"/>
            <c:showSerName val="0"/>
            <c:showPercent val="1"/>
            <c:showBubbleSize val="0"/>
            <c:separator> </c:separator>
            <c:showLeaderLines val="1"/>
          </c:dLbls>
          <c:cat>
            <c:strRef>
              <c:f>'Sheet1 (2)'!$A$2:$A$7</c:f>
              <c:strCache>
                <c:ptCount val="6"/>
                <c:pt idx="0">
                  <c:v>财政拨款收入</c:v>
                </c:pt>
                <c:pt idx="1">
                  <c:v>上级补助收入</c:v>
                </c:pt>
                <c:pt idx="2">
                  <c:v>事业收入</c:v>
                </c:pt>
                <c:pt idx="3">
                  <c:v>经营收入</c:v>
                </c:pt>
                <c:pt idx="4">
                  <c:v>附属单位上缴收入</c:v>
                </c:pt>
                <c:pt idx="5">
                  <c:v>其他收入</c:v>
                </c:pt>
              </c:strCache>
            </c:strRef>
          </c:cat>
          <c:val>
            <c:numRef>
              <c:f>'Sheet1 (2)'!$B$2:$B$7</c:f>
              <c:numCache>
                <c:formatCode>0.00_);[Red](0.00)</c:formatCode>
                <c:ptCount val="6"/>
                <c:pt idx="0">
                  <c:v>3.3448115010000005E7</c:v>
                </c:pt>
                <c:pt idx="1">
                  <c:v>0.0</c:v>
                </c:pt>
                <c:pt idx="2">
                  <c:v>0.0</c:v>
                </c:pt>
                <c:pt idx="3">
                  <c:v>0.0</c:v>
                </c:pt>
                <c:pt idx="4">
                  <c:v>0.0</c:v>
                </c:pt>
                <c:pt idx="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zero"/>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Times New Roman"/>
                <a:ea typeface="宋体"/>
                <a:cs typeface="Arial"/>
              </a:defRPr>
            </a:pPr>
            <a:r>
              <a:rPr lang="zh-CN"/>
              <a:t>图 3 ：支出决算构成情况图</a:t>
            </a:r>
          </a:p>
        </c:rich>
      </c:tx>
      <c:layout/>
      <c:overlay val="0"/>
      <c:spPr>
        <a:noFill/>
        <a:ln>
          <a:noFill/>
        </a:ln>
      </c:spPr>
    </c:title>
    <c:autoTitleDeleted val="1"/>
    <c:plotArea>
      <c:layout/>
      <c:pieChart>
        <c:varyColors val="1"/>
        <c:ser>
          <c:idx val="0"/>
          <c:order val="0"/>
          <c:tx>
            <c:strRef>
              <c:f>'Sheet1 (3)'!$B$1</c:f>
              <c:strCache>
                <c:ptCount val="1"/>
                <c:pt idx="0">
                  <c:v>金额</c:v>
                </c:pt>
              </c:strCache>
            </c:strRef>
          </c:tx>
          <c:spPr>
            <a:ln>
              <a:noFill/>
            </a:ln>
          </c:spPr>
          <c:dPt>
            <c:idx val="0"/>
            <c:bubble3D val="0"/>
            <c:spPr>
              <a:solidFill>
                <a:srgbClr val="4874CB"/>
              </a:solidFill>
              <a:ln w="12700">
                <a:solidFill>
                  <a:srgbClr val="FFFFFF"/>
                </a:solidFill>
                <a:prstDash val="solid"/>
              </a:ln>
            </c:spPr>
          </c:dPt>
          <c:dPt>
            <c:idx val="1"/>
            <c:bubble3D val="0"/>
            <c:spPr>
              <a:solidFill>
                <a:srgbClr val="EE822F"/>
              </a:solidFill>
              <a:ln w="12700">
                <a:solidFill>
                  <a:srgbClr val="FFFFFF"/>
                </a:solidFill>
                <a:prstDash val="solid"/>
              </a:ln>
            </c:spPr>
          </c:dPt>
          <c:dPt>
            <c:idx val="2"/>
            <c:bubble3D val="0"/>
            <c:spPr>
              <a:solidFill>
                <a:srgbClr val="F2BA02"/>
              </a:solidFill>
              <a:ln w="12700">
                <a:solidFill>
                  <a:srgbClr val="FFFFFF"/>
                </a:solidFill>
                <a:prstDash val="solid"/>
              </a:ln>
            </c:spPr>
          </c:dPt>
          <c:dPt>
            <c:idx val="3"/>
            <c:bubble3D val="0"/>
            <c:spPr>
              <a:solidFill>
                <a:srgbClr val="75BD42"/>
              </a:solidFill>
              <a:ln w="12700">
                <a:solidFill>
                  <a:srgbClr val="FFFFFF"/>
                </a:solidFill>
                <a:prstDash val="solid"/>
              </a:ln>
            </c:spPr>
          </c:dPt>
          <c:dPt>
            <c:idx val="4"/>
            <c:bubble3D val="0"/>
            <c:spPr>
              <a:solidFill>
                <a:srgbClr val="30C0B4"/>
              </a:solidFill>
              <a:ln w="12700">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numFmt formatCode="0.0%" sourceLinked="0"/>
            <c:dLbl>
              <c:idx val="0"/>
              <c:layout>
                <c:manualLayout>
                  <c:x val="0.34621888"/>
                  <c:y val="0.7154696"/>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showLegendKey val="1"/>
              <c:showVal val="0"/>
              <c:showCatName val="1"/>
              <c:showSerName val="0"/>
              <c:showPercent val="1"/>
              <c:showBubbleSize val="0"/>
              <c:separator>
</c:separator>
            </c:dLbl>
            <c:dLbl>
              <c:idx val="1"/>
              <c:layout>
                <c:manualLayout>
                  <c:x val="0.35709593"/>
                  <c:y val="0.09793837"/>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showLegendKey val="1"/>
              <c:showVal val="0"/>
              <c:showCatName val="1"/>
              <c:showSerName val="0"/>
              <c:showPercent val="1"/>
              <c:showBubbleSize val="0"/>
              <c:separator>
</c:separator>
            </c:dLbl>
            <c:dLbl>
              <c:idx val="2"/>
              <c:layout>
                <c:manualLayout>
                  <c:x val="-0.29270354"/>
                  <c:y val="0.26689333"/>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showLegendKey val="1"/>
              <c:showVal val="0"/>
              <c:showCatName val="1"/>
              <c:showSerName val="0"/>
              <c:showPercent val="1"/>
              <c:showBubbleSize val="0"/>
              <c:separator>
</c:separator>
            </c:dLbl>
            <c:dLbl>
              <c:idx val="3"/>
              <c:layout>
                <c:manualLayout>
                  <c:x val="-0.31523567"/>
                  <c:y val="0.4683166"/>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showLegendKey val="1"/>
              <c:showVal val="0"/>
              <c:showCatName val="1"/>
              <c:showSerName val="0"/>
              <c:showPercent val="1"/>
              <c:showBubbleSize val="0"/>
              <c:separator>
</c:separator>
            </c:dLbl>
            <c:dLbl>
              <c:idx val="4"/>
              <c:layout>
                <c:manualLayout>
                  <c:x val="-0.27355897"/>
                  <c:y val="0.7182104"/>
                </c:manualLayout>
              </c:layout>
              <c:numFmt formatCode="0.0%" sourceLinked="0"/>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showLegendKey val="1"/>
              <c:showVal val="0"/>
              <c:showCatName val="1"/>
              <c:showSerName val="0"/>
              <c:showPercent val="1"/>
              <c:showBubbleSize val="0"/>
              <c:separator>
</c:separator>
            </c:dLbl>
            <c:showLegendKey val="1"/>
            <c:showVal val="0"/>
            <c:showCatName val="1"/>
            <c:showSerName val="0"/>
            <c:showPercent val="1"/>
            <c:showBubbleSize val="0"/>
            <c:showLeaderLines val="1"/>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General</c:formatCode>
                <c:ptCount val="5"/>
                <c:pt idx="0">
                  <c:v>3.2348115010000005E7</c:v>
                </c:pt>
                <c:pt idx="1">
                  <c:v>1100000.0</c:v>
                </c:pt>
                <c:pt idx="2">
                  <c:v>0.0</c:v>
                </c:pt>
                <c:pt idx="3">
                  <c:v>0.0</c:v>
                </c:pt>
                <c:pt idx="4">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zero"/>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Times New Roman"/>
                <a:ea typeface="宋体"/>
                <a:cs typeface="Arial"/>
              </a:defRPr>
            </a:pPr>
            <a:r>
              <a:rPr lang="zh-CN"/>
              <a:t>图 4 ：2023-2024年财政拨款收支对比图（万元）</a:t>
            </a:r>
          </a:p>
        </c:rich>
      </c:tx>
      <c:layout/>
      <c:overlay val="0"/>
      <c:spPr>
        <a:noFill/>
        <a:ln>
          <a:noFill/>
        </a:ln>
      </c:spPr>
    </c:title>
    <c:autoTitleDeleted val="1"/>
    <c:plotArea>
      <c:layout/>
      <c:barChart>
        <c:barDir val="col"/>
        <c:grouping val="clustered"/>
        <c:varyColors val="0"/>
        <c:ser>
          <c:idx val="0"/>
          <c:order val="0"/>
          <c:tx>
            <c:strRef>
              <c:f>'Sheet1 (4)'!$B$1</c:f>
              <c:strCache>
                <c:ptCount val="1"/>
                <c:pt idx="0">
                  <c:v>2023年</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 (4)'!$B$2:$B$9</c:f>
              <c:numCache>
                <c:formatCode>General</c:formatCode>
                <c:ptCount val="8"/>
                <c:pt idx="0">
                  <c:v>4032.61</c:v>
                </c:pt>
                <c:pt idx="1">
                  <c:v>4032.61</c:v>
                </c:pt>
                <c:pt idx="2">
                  <c:v>4032.61</c:v>
                </c:pt>
                <c:pt idx="3">
                  <c:v>4032.61</c:v>
                </c:pt>
                <c:pt idx="4">
                  <c:v>0.0</c:v>
                </c:pt>
                <c:pt idx="5">
                  <c:v>0.0</c:v>
                </c:pt>
                <c:pt idx="6">
                  <c:v>0.0</c:v>
                </c:pt>
                <c:pt idx="7">
                  <c:v>0.0</c:v>
                </c:pt>
              </c:numCache>
            </c:numRef>
          </c:val>
        </c:ser>
        <c:ser>
          <c:idx val="1"/>
          <c:order val="1"/>
          <c:tx>
            <c:strRef>
              <c:f>'Sheet1 (4)'!$C$1</c:f>
              <c:strCache>
                <c:ptCount val="1"/>
                <c:pt idx="0">
                  <c:v>2024年</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 (4)'!$C$2:$C$9</c:f>
              <c:numCache>
                <c:formatCode>General</c:formatCode>
                <c:ptCount val="8"/>
                <c:pt idx="0">
                  <c:v>3344.8100000000018</c:v>
                </c:pt>
                <c:pt idx="1">
                  <c:v>3344.8100000000018</c:v>
                </c:pt>
                <c:pt idx="2">
                  <c:v>3314.8100000000018</c:v>
                </c:pt>
                <c:pt idx="3">
                  <c:v>3314.8100000000018</c:v>
                </c:pt>
                <c:pt idx="4">
                  <c:v>30.0</c:v>
                </c:pt>
                <c:pt idx="5">
                  <c:v>30.0</c:v>
                </c:pt>
                <c:pt idx="6">
                  <c:v>0.0</c:v>
                </c:pt>
                <c:pt idx="7">
                  <c:v>0.0</c:v>
                </c:pt>
              </c:numCache>
            </c:numRef>
          </c:val>
        </c:ser>
        <c:overlap val="-28"/>
        <c:gapWidth val="246"/>
        <c:axId val="0"/>
        <c:axId val="1"/>
      </c:barChart>
      <c:catAx>
        <c:axId val="0"/>
        <c:scaling>
          <c:orientation val="minMax"/>
        </c:scaling>
        <c:delete val="0"/>
        <c:axPos val="b"/>
        <c:numFmt formatCode="General" sourceLinked="0"/>
        <c:majorTickMark val="out"/>
        <c:minorTickMark val="none"/>
        <c:tickLblPos val="nextTo"/>
        <c:spPr>
          <a:ln w="12700">
            <a:solidFill>
              <a:srgbClr val="D9D9D9"/>
            </a:solidFill>
            <a:prstDash val="solid"/>
          </a:ln>
        </c:spPr>
        <c:txPr>
          <a:bodyPr/>
          <a:lstStyle/>
          <a:p>
            <a:pPr>
              <a:defRPr sz="900" b="0" i="0" u="none" strike="noStrike" baseline="0">
                <a:solidFill>
                  <a:srgbClr val="595959"/>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out"/>
        <c:minorTickMark val="none"/>
        <c:tickLblPos val="nextTo"/>
        <c:spPr>
          <a:ln>
            <a:noFill/>
          </a:ln>
        </c:spPr>
        <c:txPr>
          <a:bodyPr/>
          <a:lstStyle/>
          <a:p>
            <a:pPr>
              <a:defRPr sz="900" b="0" i="0" u="none" strike="noStrike" baseline="0">
                <a:solidFill>
                  <a:srgbClr val="595959"/>
                </a:solidFill>
                <a:latin typeface="Times New Roman"/>
                <a:ea typeface="宋体"/>
                <a:cs typeface="Arial"/>
              </a:defRPr>
            </a:pPr>
            <a:endParaRPr lang="zh-CN"/>
          </a:p>
        </c:txPr>
        <c:crossesAt val="1.0"/>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Times New Roman"/>
                <a:ea typeface="宋体"/>
                <a:cs typeface="Arial"/>
              </a:defRPr>
            </a:pPr>
            <a:endParaRPr lang="zh-CN"/>
          </a:p>
        </c:txPr>
      </c:dTable>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Times New Roman"/>
                <a:ea typeface="宋体"/>
                <a:cs typeface="Arial"/>
              </a:defRPr>
            </a:pPr>
            <a:r>
              <a:rPr lang="zh-CN"/>
              <a:t>图 5 :财政拨款收支预算对比图（万元）</a:t>
            </a:r>
          </a:p>
        </c:rich>
      </c:tx>
      <c:layout/>
      <c:overlay val="0"/>
      <c:spPr>
        <a:noFill/>
        <a:ln>
          <a:noFill/>
        </a:ln>
      </c:spPr>
    </c:title>
    <c:autoTitleDeleted val="1"/>
    <c:plotArea>
      <c:layout>
        <c:manualLayout>
          <c:layoutTarget val="inner"/>
          <c:xMode val="edge"/>
          <c:yMode val="edge"/>
          <c:x val="0.17641942"/>
          <c:y val="0.16043349"/>
          <c:w val="0.7957961"/>
          <c:h val="0.47433063"/>
        </c:manualLayout>
      </c:layout>
      <c:barChart>
        <c:barDir val="col"/>
        <c:grouping val="clustered"/>
        <c:varyColors val="0"/>
        <c:ser>
          <c:idx val="0"/>
          <c:order val="0"/>
          <c:tx>
            <c:strRef>
              <c:f>'Sheet1 (5)'!$B$1</c:f>
              <c:strCache>
                <c:ptCount val="1"/>
                <c:pt idx="0">
                  <c:v>年初预算数</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 (5)'!$B$2:$B$9</c:f>
              <c:numCache>
                <c:formatCode>General</c:formatCode>
                <c:ptCount val="8"/>
                <c:pt idx="0">
                  <c:v>3494.910000000001</c:v>
                </c:pt>
                <c:pt idx="1">
                  <c:v>3494.910000000001</c:v>
                </c:pt>
                <c:pt idx="2">
                  <c:v>3494.910000000001</c:v>
                </c:pt>
                <c:pt idx="3">
                  <c:v>3494.910000000001</c:v>
                </c:pt>
                <c:pt idx="4">
                  <c:v>0.0</c:v>
                </c:pt>
                <c:pt idx="5">
                  <c:v>0.0</c:v>
                </c:pt>
                <c:pt idx="6">
                  <c:v>0.0</c:v>
                </c:pt>
                <c:pt idx="7">
                  <c:v>0.0</c:v>
                </c:pt>
              </c:numCache>
            </c:numRef>
          </c:val>
        </c:ser>
        <c:ser>
          <c:idx val="1"/>
          <c:order val="1"/>
          <c:tx>
            <c:strRef>
              <c:f>'Sheet1 (5)'!$C$1</c:f>
              <c:strCache>
                <c:ptCount val="1"/>
                <c:pt idx="0">
                  <c:v>决算数</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Times New Roman"/>
                    <a:ea typeface="宋体"/>
                    <a:cs typeface="Arial"/>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 (5)'!$C$2:$C$9</c:f>
              <c:numCache>
                <c:formatCode>General</c:formatCode>
                <c:ptCount val="8"/>
                <c:pt idx="0">
                  <c:v>3344.8100000000018</c:v>
                </c:pt>
                <c:pt idx="1">
                  <c:v>3344.8100000000018</c:v>
                </c:pt>
                <c:pt idx="2">
                  <c:v>3314.8100000000018</c:v>
                </c:pt>
                <c:pt idx="3">
                  <c:v>3314.8100000000018</c:v>
                </c:pt>
                <c:pt idx="4">
                  <c:v>30.0</c:v>
                </c:pt>
                <c:pt idx="5">
                  <c:v>30.0</c:v>
                </c:pt>
                <c:pt idx="6">
                  <c:v>0.0</c:v>
                </c:pt>
                <c:pt idx="7">
                  <c:v>0.0</c:v>
                </c:pt>
              </c:numCache>
            </c:numRef>
          </c:val>
        </c:ser>
        <c:gapWidth val="150"/>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Arial"/>
              </a:defRPr>
            </a:pPr>
            <a:endParaRPr lang="zh-CN"/>
          </a:p>
        </c:txPr>
        <c:crossesAt val="1.0"/>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Times New Roman"/>
                <a:ea typeface="宋体"/>
                <a:cs typeface="Arial"/>
              </a:defRPr>
            </a:pPr>
            <a:endParaRPr lang="zh-CN"/>
          </a:p>
        </c:txPr>
      </c:dTable>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b="1" i="0" u="none" strike="noStrike" baseline="0">
                <a:solidFill>
                  <a:srgbClr val="404040"/>
                </a:solidFill>
                <a:latin typeface="Times New Roman"/>
                <a:ea typeface="宋体"/>
                <a:cs typeface="Arial"/>
              </a:defRPr>
            </a:pPr>
            <a:r>
              <a:rPr lang="zh-CN"/>
              <a:t>图6  : 财政拨款支出决算构成情况图</a:t>
            </a:r>
          </a:p>
        </c:rich>
      </c:tx>
      <c:layout/>
      <c:overlay val="0"/>
      <c:spPr>
        <a:noFill/>
        <a:ln>
          <a:noFill/>
        </a:ln>
      </c:spPr>
    </c:title>
    <c:autoTitleDeleted val="1"/>
    <c:plotArea>
      <c:layout/>
      <c:pieChart>
        <c:varyColors val="1"/>
        <c:ser>
          <c:idx val="0"/>
          <c:order val="0"/>
          <c:tx>
            <c:strRef>
              <c:f>'Sheet1 (6)'!$B$1</c:f>
              <c:strCache>
                <c:ptCount val="1"/>
                <c:pt idx="0">
                  <c:v>金额</c:v>
                </c:pt>
              </c:strCache>
            </c:strRef>
          </c:tx>
          <c:spPr>
            <a:ln>
              <a:noFill/>
            </a:ln>
          </c:spPr>
          <c:dPt>
            <c:idx val="0"/>
            <c:bubble3D val="0"/>
            <c:spPr>
              <a:solidFill>
                <a:srgbClr val="4874CB"/>
              </a:solidFill>
              <a:ln w="12700">
                <a:solidFill>
                  <a:srgbClr val="FFFFFF"/>
                </a:solidFill>
                <a:prstDash val="solid"/>
              </a:ln>
            </c:spPr>
          </c:dPt>
          <c:dPt>
            <c:idx val="1"/>
            <c:bubble3D val="0"/>
            <c:spPr>
              <a:solidFill>
                <a:srgbClr val="EE822F"/>
              </a:solidFill>
              <a:ln w="12700">
                <a:solidFill>
                  <a:srgbClr val="FFFFFF"/>
                </a:solidFill>
                <a:prstDash val="solid"/>
              </a:ln>
            </c:spPr>
          </c:dPt>
          <c:dPt>
            <c:idx val="2"/>
            <c:bubble3D val="0"/>
            <c:spPr>
              <a:solidFill>
                <a:srgbClr val="F2BA02"/>
              </a:solidFill>
              <a:ln w="12700">
                <a:solidFill>
                  <a:srgbClr val="FFFFFF"/>
                </a:solidFill>
                <a:prstDash val="solid"/>
              </a:ln>
            </c:spPr>
          </c:dPt>
          <c:dPt>
            <c:idx val="3"/>
            <c:bubble3D val="0"/>
            <c:spPr>
              <a:solidFill>
                <a:srgbClr val="75BD42"/>
              </a:solidFill>
              <a:ln w="12700">
                <a:solidFill>
                  <a:srgbClr val="FFFFFF"/>
                </a:solidFill>
                <a:prstDash val="solid"/>
              </a:ln>
            </c:spPr>
          </c:dPt>
          <c:dPt>
            <c:idx val="4"/>
            <c:bubble3D val="0"/>
            <c:spPr>
              <a:solidFill>
                <a:srgbClr val="30C0B4"/>
              </a:solidFill>
              <a:ln w="12700">
                <a:solidFill>
                  <a:srgbClr val="FFFFFF"/>
                </a:solidFill>
                <a:prstDash val="solid"/>
              </a:ln>
            </c:spPr>
          </c:dPt>
          <c:dPt>
            <c:idx val="5"/>
            <c:bubble3D val="0"/>
            <c:spPr>
              <a:solidFill>
                <a:srgbClr val="E54C5E"/>
              </a:solidFill>
              <a:ln w="12700">
                <a:solidFill>
                  <a:srgbClr val="FFFFFF"/>
                </a:solidFill>
                <a:prstDash val="solid"/>
              </a:ln>
            </c:spPr>
          </c:dPt>
          <c:dPt>
            <c:idx val="6"/>
            <c:bubble3D val="0"/>
            <c:spPr>
              <a:solidFill>
                <a:srgbClr val="254380"/>
              </a:solidFill>
              <a:ln w="12700">
                <a:solidFill>
                  <a:srgbClr val="FFFFFF"/>
                </a:solidFill>
                <a:prstDash val="solid"/>
              </a:ln>
            </c:spPr>
          </c:dPt>
          <c:dPt>
            <c:idx val="7"/>
            <c:bubble3D val="0"/>
            <c:spPr>
              <a:solidFill>
                <a:srgbClr val="9E4C0D"/>
              </a:solidFill>
              <a:ln w="12700">
                <a:solidFill>
                  <a:srgbClr val="FFFFFF"/>
                </a:solidFill>
                <a:prstDash val="solid"/>
              </a:ln>
            </c:spPr>
          </c:dPt>
          <c:dPt>
            <c:idx val="8"/>
            <c:bubble3D val="0"/>
            <c:spPr>
              <a:solidFill>
                <a:srgbClr val="917001"/>
              </a:solidFill>
              <a:ln w="12700">
                <a:solidFill>
                  <a:srgbClr val="FFFFFF"/>
                </a:solidFill>
                <a:prstDash val="solid"/>
              </a:ln>
            </c:spPr>
          </c:dPt>
          <c:dPt>
            <c:idx val="9"/>
            <c:bubble3D val="0"/>
            <c:spPr>
              <a:solidFill>
                <a:srgbClr val="467128"/>
              </a:solidFill>
              <a:ln w="12700">
                <a:solidFill>
                  <a:srgbClr val="FFFFFF"/>
                </a:solidFill>
                <a:prstDash val="solid"/>
              </a:ln>
            </c:spPr>
          </c:dPt>
          <c:dPt>
            <c:idx val="10"/>
            <c:bubble3D val="0"/>
            <c:spPr>
              <a:solidFill>
                <a:srgbClr val="1D736C"/>
              </a:solidFill>
              <a:ln w="12700">
                <a:solidFill>
                  <a:srgbClr val="FFFFFF"/>
                </a:solidFill>
                <a:prstDash val="solid"/>
              </a:ln>
            </c:spPr>
          </c:dPt>
          <c:dPt>
            <c:idx val="11"/>
            <c:bubble3D val="0"/>
            <c:spPr>
              <a:solidFill>
                <a:srgbClr val="A01727"/>
              </a:solidFill>
              <a:ln w="12700">
                <a:solidFill>
                  <a:srgbClr val="FFFFFF"/>
                </a:solidFill>
                <a:prstDash val="solid"/>
              </a:ln>
            </c:spPr>
          </c:dPt>
          <c:dPt>
            <c:idx val="12"/>
            <c:bubble3D val="0"/>
            <c:spPr>
              <a:solidFill>
                <a:srgbClr val="6D90D5"/>
              </a:solidFill>
              <a:ln w="12700">
                <a:solidFill>
                  <a:srgbClr val="FFFFFF"/>
                </a:solidFill>
                <a:prstDash val="solid"/>
              </a:ln>
            </c:spPr>
          </c:dPt>
          <c:dPt>
            <c:idx val="13"/>
            <c:bubble3D val="0"/>
            <c:spPr>
              <a:solidFill>
                <a:srgbClr val="F19B59"/>
              </a:solidFill>
              <a:ln w="12700">
                <a:solidFill>
                  <a:srgbClr val="FFFFFF"/>
                </a:solidFill>
                <a:prstDash val="solid"/>
              </a:ln>
            </c:spPr>
          </c:dPt>
          <c:dPt>
            <c:idx val="14"/>
            <c:bubble3D val="0"/>
            <c:spPr>
              <a:solidFill>
                <a:srgbClr val="FDCC2C"/>
              </a:solidFill>
              <a:ln w="12700">
                <a:solidFill>
                  <a:srgbClr val="FFFFFF"/>
                </a:solidFill>
                <a:prstDash val="solid"/>
              </a:ln>
            </c:spPr>
          </c:dPt>
          <c:dPt>
            <c:idx val="15"/>
            <c:bubble3D val="0"/>
            <c:spPr>
              <a:solidFill>
                <a:srgbClr val="91CA68"/>
              </a:solidFill>
              <a:ln w="12700">
                <a:solidFill>
                  <a:srgbClr val="FFFFFF"/>
                </a:solidFill>
                <a:prstDash val="solid"/>
              </a:ln>
            </c:spPr>
          </c:dPt>
          <c:dPt>
            <c:idx val="16"/>
            <c:bubble3D val="0"/>
            <c:spPr>
              <a:solidFill>
                <a:srgbClr val="52D4C9"/>
              </a:solidFill>
              <a:ln w="12700">
                <a:solidFill>
                  <a:srgbClr val="FFFFFF"/>
                </a:solidFill>
                <a:prstDash val="solid"/>
              </a:ln>
            </c:spPr>
          </c:dPt>
          <c:dPt>
            <c:idx val="17"/>
            <c:bubble3D val="0"/>
            <c:spPr>
              <a:solidFill>
                <a:srgbClr val="EA707E"/>
              </a:solidFill>
              <a:ln w="12700">
                <a:solidFill>
                  <a:srgbClr val="FFFFFF"/>
                </a:solidFill>
                <a:prstDash val="solid"/>
              </a:ln>
            </c:spPr>
          </c:dPt>
          <c:dPt>
            <c:idx val="18"/>
            <c:bubble3D val="0"/>
            <c:spPr>
              <a:solidFill>
                <a:srgbClr val="315AAB"/>
              </a:solidFill>
              <a:ln w="12700">
                <a:solidFill>
                  <a:srgbClr val="FFFFFF"/>
                </a:solidFill>
                <a:prstDash val="solid"/>
              </a:ln>
            </c:spPr>
          </c:dPt>
          <c:dPt>
            <c:idx val="19"/>
            <c:bubble3D val="0"/>
            <c:spPr>
              <a:solidFill>
                <a:srgbClr val="D36511"/>
              </a:solidFill>
              <a:ln w="12700">
                <a:solidFill>
                  <a:srgbClr val="FFFFFF"/>
                </a:solidFill>
                <a:prstDash val="solid"/>
              </a:ln>
            </c:spPr>
          </c:dPt>
          <c:dPt>
            <c:idx val="20"/>
            <c:bubble3D val="0"/>
            <c:spPr>
              <a:solidFill>
                <a:srgbClr val="C29502"/>
              </a:solidFill>
              <a:ln w="12700">
                <a:solidFill>
                  <a:srgbClr val="FFFFFF"/>
                </a:solidFill>
                <a:prstDash val="solid"/>
              </a:ln>
            </c:spPr>
          </c:dPt>
          <c:dPt>
            <c:idx val="21"/>
            <c:bubble3D val="0"/>
            <c:spPr>
              <a:solidFill>
                <a:srgbClr val="5E9735"/>
              </a:solidFill>
              <a:ln w="12700">
                <a:solidFill>
                  <a:srgbClr val="FFFFFF"/>
                </a:solidFill>
                <a:prstDash val="solid"/>
              </a:ln>
            </c:spPr>
          </c:dPt>
          <c:dPt>
            <c:idx val="22"/>
            <c:bubble3D val="0"/>
            <c:spPr>
              <a:solidFill>
                <a:srgbClr val="269A90"/>
              </a:solidFill>
              <a:ln w="12700">
                <a:solidFill>
                  <a:srgbClr val="FFFFFF"/>
                </a:solidFill>
                <a:prstDash val="solid"/>
              </a:ln>
            </c:spPr>
          </c:dPt>
          <c:dPt>
            <c:idx val="23"/>
            <c:bubble3D val="0"/>
            <c:spPr>
              <a:solidFill>
                <a:srgbClr val="D51F34"/>
              </a:solidFill>
              <a:ln w="12700">
                <a:solidFill>
                  <a:srgbClr val="FFFFFF"/>
                </a:solidFill>
                <a:prstDash val="solid"/>
              </a:ln>
            </c:spPr>
          </c:dPt>
          <c:dPt>
            <c:idx val="24"/>
            <c:bubble3D val="0"/>
            <c:spPr>
              <a:solidFill>
                <a:srgbClr val="91ACE0"/>
              </a:solidFill>
              <a:ln w="12700">
                <a:solidFill>
                  <a:srgbClr val="FFFFFF"/>
                </a:solidFill>
                <a:prstDash val="solid"/>
              </a:ln>
            </c:spPr>
          </c:dPt>
          <c:dPt>
            <c:idx val="25"/>
            <c:bubble3D val="0"/>
            <c:spPr>
              <a:solidFill>
                <a:srgbClr val="F5B482"/>
              </a:solidFill>
              <a:ln w="12700">
                <a:solidFill>
                  <a:srgbClr val="FFFFFF"/>
                </a:solidFill>
                <a:prstDash val="solid"/>
              </a:ln>
            </c:spPr>
          </c:dPt>
          <c:dLbls>
            <c:showLegendKey val="0"/>
            <c:showVal val="0"/>
            <c:showCatName val="0"/>
            <c:showSerName val="0"/>
            <c:showPercent val="0"/>
            <c:showBubbleSize val="0"/>
            <c:showLeaderLines val="0"/>
          </c:dLbls>
          <c:cat>
            <c:strRef>
              <c:f>'Sheet1 (6)'!$A$2:$A$27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 (6)'!$B$2:$B$27</c:f>
              <c:numCache>
                <c:formatCode>General</c:formatCode>
                <c:ptCount val="26"/>
                <c:pt idx="0">
                  <c:v>0.0</c:v>
                </c:pt>
                <c:pt idx="1">
                  <c:v>0.0</c:v>
                </c:pt>
                <c:pt idx="2">
                  <c:v>0.0</c:v>
                </c:pt>
                <c:pt idx="3">
                  <c:v>0.0</c:v>
                </c:pt>
                <c:pt idx="4">
                  <c:v>0.0</c:v>
                </c:pt>
                <c:pt idx="5">
                  <c:v>0.0</c:v>
                </c:pt>
                <c:pt idx="6">
                  <c:v>3314.8100000000018</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30.0</c:v>
                </c:pt>
                <c:pt idx="23">
                  <c:v>0.0</c:v>
                </c:pt>
                <c:pt idx="24">
                  <c:v>0.0</c:v>
                </c:pt>
                <c:pt idx="2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zero"/>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customProps>
</customData>
</file>

<file path=customXml/itemProps1.xml><?xml version="1.0" encoding="utf-8"?>
<ds:datastoreItem xmlns:ds="http://schemas.openxmlformats.org/officeDocument/2006/customXml" ds:itemID="{9C0517CD-4D9B-44FB-939F-5CD668D54E6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TotalTime>
  <Application>Yozo_Office9.0.6292.102ZH.HE70</Application>
  <Pages>44</Pages>
  <Words>0</Words>
  <Characters>15621</Characters>
  <Lines>0</Lines>
  <Paragraphs>196</Paragraphs>
  <CharactersWithSpaces>20829</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王明新TIAD</dc:creator>
  <cp:lastModifiedBy>Administrator</cp:lastModifiedBy>
  <cp:revision>6</cp:revision>
  <cp:lastPrinted>2023-08-04T01:00:00Z</cp:lastPrinted>
  <dcterms:created xsi:type="dcterms:W3CDTF">2025-10-16T07:05:00Z</dcterms:created>
  <dcterms:modified xsi:type="dcterms:W3CDTF">2025-10-17T09:10:44Z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