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方正黑体_GBK"/>
          <w:bCs/>
          <w:sz w:val="32"/>
          <w:szCs w:val="32"/>
        </w:rPr>
      </w:pPr>
      <w:r>
        <w:rPr>
          <w:rFonts w:ascii="黑体" w:hAnsi="黑体" w:eastAsia="黑体"/>
          <w:bCs/>
          <w:sz w:val="32"/>
          <w:szCs w:val="32"/>
        </w:rPr>
        <w:t>附件</w:t>
      </w:r>
      <w:r>
        <w:rPr>
          <w:rFonts w:eastAsia="方正黑体_GBK"/>
          <w:bCs/>
          <w:sz w:val="32"/>
          <w:szCs w:val="32"/>
        </w:rPr>
        <w:t>3</w:t>
      </w:r>
    </w:p>
    <w:p>
      <w:pPr>
        <w:spacing w:line="580" w:lineRule="exact"/>
        <w:jc w:val="center"/>
        <w:rPr>
          <w:rFonts w:hint="eastAsia" w:ascii="方正小标宋_GBK" w:hAnsi="Arial" w:eastAsia="方正小标宋_GBK" w:cs="Arial"/>
          <w:sz w:val="36"/>
          <w:szCs w:val="36"/>
          <w:lang w:val="en-US" w:eastAsia="zh-CN"/>
        </w:rPr>
      </w:pPr>
      <w:r>
        <w:rPr>
          <w:rFonts w:hint="eastAsia" w:ascii="方正小标宋_GBK" w:hAnsi="Arial" w:eastAsia="方正小标宋_GBK" w:cs="Arial"/>
          <w:sz w:val="36"/>
          <w:szCs w:val="36"/>
          <w:lang w:val="en-US" w:eastAsia="zh-CN"/>
        </w:rPr>
        <w:t>昌黎县卫生健康局基本药物制度补助资金</w:t>
      </w:r>
    </w:p>
    <w:p>
      <w:pPr>
        <w:spacing w:line="580" w:lineRule="exact"/>
        <w:jc w:val="center"/>
        <w:rPr>
          <w:rFonts w:ascii="方正小标宋_GBK" w:hAnsi="宋体" w:eastAsia="方正小标宋_GBK" w:cs="宋体"/>
          <w:sz w:val="36"/>
          <w:szCs w:val="36"/>
        </w:rPr>
      </w:pPr>
      <w:r>
        <w:rPr>
          <w:rFonts w:hint="eastAsia" w:ascii="方正小标宋_GBK" w:hAnsi="宋体" w:eastAsia="方正小标宋_GBK" w:cs="宋体"/>
          <w:sz w:val="36"/>
          <w:szCs w:val="36"/>
        </w:rPr>
        <w:t>转移支付</w:t>
      </w:r>
      <w:r>
        <w:rPr>
          <w:rFonts w:hint="eastAsia" w:ascii="方正小标宋_GBK" w:hAnsi="Arial" w:eastAsia="方正小标宋_GBK" w:cs="Arial"/>
          <w:sz w:val="36"/>
          <w:szCs w:val="36"/>
        </w:rPr>
        <w:t>2024</w:t>
      </w:r>
      <w:r>
        <w:rPr>
          <w:rFonts w:hint="eastAsia" w:ascii="方正小标宋_GBK" w:hAnsi="宋体" w:eastAsia="方正小标宋_GBK" w:cs="宋体"/>
          <w:sz w:val="36"/>
          <w:szCs w:val="36"/>
        </w:rPr>
        <w:t>年度绩效自评报告</w:t>
      </w:r>
    </w:p>
    <w:p>
      <w:pPr>
        <w:spacing w:line="560" w:lineRule="exact"/>
        <w:ind w:firstLine="640" w:firstLineChars="200"/>
        <w:rPr>
          <w:rFonts w:hint="eastAsia" w:ascii="黑体" w:hAnsi="黑体" w:eastAsia="黑体"/>
          <w:bCs/>
          <w:sz w:val="32"/>
          <w:szCs w:val="32"/>
        </w:rPr>
      </w:pPr>
    </w:p>
    <w:p>
      <w:pPr>
        <w:spacing w:line="56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一、绩效目标分解下达情况</w:t>
      </w:r>
    </w:p>
    <w:p>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2024年我县收到中央下达基本药物制度补助资金565.34万元。</w:t>
      </w:r>
    </w:p>
    <w:p>
      <w:pPr>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冀财社【2024】58号关于下达2024年中央基本药物制度补助资金预算的通知，下达资金77.92万元，实际支出0万元。</w:t>
      </w:r>
    </w:p>
    <w:p>
      <w:pPr>
        <w:pStyle w:val="2"/>
        <w:rPr>
          <w:rFonts w:hint="default"/>
          <w:highlight w:val="none"/>
          <w:lang w:val="en-US" w:eastAsia="zh-CN"/>
        </w:rPr>
      </w:pPr>
      <w:r>
        <w:rPr>
          <w:rFonts w:hint="eastAsia" w:ascii="仿宋" w:hAnsi="仿宋" w:eastAsia="仿宋" w:cs="仿宋"/>
          <w:sz w:val="32"/>
          <w:szCs w:val="32"/>
          <w:highlight w:val="none"/>
          <w:lang w:val="en-US" w:eastAsia="zh-CN"/>
        </w:rPr>
        <w:t xml:space="preserve">    冀财社【2023】242号关于提前下达2024年中央基本药物制度补助资金预算的通知，下达资金295.63万元，实际支出295.63万元。</w:t>
      </w:r>
    </w:p>
    <w:p>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冀财社【2023】77号关于2023年中央基本药物制度补助资金预算的通知，下达资金103.44万元，实际支出103.44万元。</w:t>
      </w:r>
    </w:p>
    <w:p>
      <w:pPr>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冀财社【2023】241号关于提前下达2024年省级公共卫生服务补助资金预算的通知，下达资金88.35万元，实际支出88.35万元。</w:t>
      </w:r>
    </w:p>
    <w:p>
      <w:pPr>
        <w:spacing w:line="56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二、绩效情况分析</w:t>
      </w:r>
    </w:p>
    <w:p>
      <w:pPr>
        <w:spacing w:line="560" w:lineRule="exact"/>
        <w:ind w:firstLine="643" w:firstLineChars="200"/>
        <w:outlineLvl w:val="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（一）资金投入情况分析。</w:t>
      </w:r>
    </w:p>
    <w:p>
      <w:pPr>
        <w:pStyle w:val="2"/>
        <w:ind w:firstLine="640" w:firstLineChars="200"/>
        <w:rPr>
          <w:rFonts w:hint="default" w:eastAsia="仿宋_GB2312"/>
          <w:highlight w:val="none"/>
          <w:lang w:val="en-US" w:eastAsia="zh-CN"/>
        </w:rPr>
      </w:pPr>
      <w:r>
        <w:rPr>
          <w:rFonts w:hint="eastAsia" w:ascii="仿宋_GB2312"/>
          <w:sz w:val="32"/>
          <w:szCs w:val="32"/>
          <w:highlight w:val="none"/>
          <w:lang w:val="en-US" w:eastAsia="zh-CN"/>
        </w:rPr>
        <w:t>我县2024年共投入基本药物制度补助资金565.34万元，主要用于基层医疗卫生机构与村卫生室，实际支出487.42万元</w:t>
      </w:r>
    </w:p>
    <w:p>
      <w:pPr>
        <w:numPr>
          <w:ilvl w:val="0"/>
          <w:numId w:val="1"/>
        </w:numPr>
        <w:spacing w:line="560" w:lineRule="exact"/>
        <w:ind w:firstLine="643" w:firstLineChars="200"/>
        <w:outlineLvl w:val="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资金管理情况分析。</w:t>
      </w:r>
    </w:p>
    <w:p>
      <w:pPr>
        <w:spacing w:line="560" w:lineRule="exact"/>
        <w:ind w:firstLine="640" w:firstLineChars="200"/>
        <w:outlineLvl w:val="0"/>
        <w:rPr>
          <w:rFonts w:hint="eastAsia" w:ascii="仿宋_GB2312" w:hAnsi="Times New Roman" w:cs="Times New Roman"/>
          <w:sz w:val="32"/>
          <w:szCs w:val="32"/>
          <w:lang w:val="en-US" w:eastAsia="zh-CN"/>
        </w:rPr>
      </w:pPr>
      <w:r>
        <w:rPr>
          <w:rFonts w:hint="eastAsia" w:ascii="仿宋_GB2312" w:hAnsi="Times New Roman" w:cs="Times New Roman"/>
          <w:sz w:val="32"/>
          <w:szCs w:val="32"/>
          <w:highlight w:val="none"/>
          <w:lang w:val="en-US" w:eastAsia="zh-CN"/>
        </w:rPr>
        <w:t>我局严格按照基本药物制度分配方案执行支付实行“资金拨</w:t>
      </w:r>
      <w:r>
        <w:rPr>
          <w:rFonts w:hint="eastAsia" w:ascii="仿宋_GB2312" w:hAnsi="Times New Roman" w:cs="Times New Roman"/>
          <w:sz w:val="32"/>
          <w:szCs w:val="32"/>
          <w:lang w:val="en-US" w:eastAsia="zh-CN"/>
        </w:rPr>
        <w:t>付与绩效考核挂钩”机制，对服务质量、药品供应及时性等指标进行量化评估，激励资金高效使用。</w:t>
      </w:r>
    </w:p>
    <w:p>
      <w:pPr>
        <w:numPr>
          <w:ilvl w:val="0"/>
          <w:numId w:val="1"/>
        </w:numPr>
        <w:spacing w:line="560" w:lineRule="exact"/>
        <w:ind w:left="0" w:leftChars="0" w:firstLine="643" w:firstLineChars="200"/>
        <w:outlineLvl w:val="0"/>
        <w:rPr>
          <w:rFonts w:hint="eastAsia" w:ascii="楷体_GB2312" w:hAnsi="楷体_GB2312" w:eastAsia="楷体_GB2312" w:cs="楷体_GB2312"/>
          <w:b/>
          <w:bCs/>
          <w:sz w:val="32"/>
          <w:szCs w:val="32"/>
        </w:rPr>
      </w:pPr>
      <w:bookmarkStart w:id="0" w:name="OLE_LINK1"/>
      <w:r>
        <w:rPr>
          <w:rFonts w:hint="eastAsia" w:ascii="楷体_GB2312" w:hAnsi="楷体_GB2312" w:eastAsia="楷体_GB2312" w:cs="楷体_GB2312"/>
          <w:b/>
          <w:bCs/>
          <w:sz w:val="32"/>
          <w:szCs w:val="32"/>
        </w:rPr>
        <w:t>总体绩效目标完成情况</w:t>
      </w:r>
      <w:bookmarkEnd w:id="0"/>
      <w:r>
        <w:rPr>
          <w:rFonts w:hint="eastAsia" w:ascii="楷体_GB2312" w:hAnsi="楷体_GB2312" w:eastAsia="楷体_GB2312" w:cs="楷体_GB2312"/>
          <w:b/>
          <w:bCs/>
          <w:sz w:val="32"/>
          <w:szCs w:val="32"/>
        </w:rPr>
        <w:t>分析。</w:t>
      </w:r>
    </w:p>
    <w:p>
      <w:pPr>
        <w:pStyle w:val="6"/>
        <w:keepNext w:val="0"/>
        <w:keepLines w:val="0"/>
        <w:widowControl/>
        <w:suppressLineNumbers w:val="0"/>
        <w:shd w:val="clear" w:fill="FFFFFF"/>
        <w:spacing w:before="150" w:beforeAutospacing="0" w:after="150" w:afterAutospacing="0" w:line="17" w:lineRule="atLeast"/>
        <w:ind w:left="0" w:right="0" w:firstLine="0"/>
        <w:rPr>
          <w:rFonts w:hint="eastAsia" w:ascii="仿宋_GB2312" w:hAnsi="Times New Roman" w:eastAsia="仿宋_GB2312" w:cs="Times New Roman"/>
          <w:b w:val="0"/>
          <w:kern w:val="2"/>
          <w:sz w:val="32"/>
          <w:szCs w:val="32"/>
          <w:lang w:val="en-US" w:eastAsia="zh-CN" w:bidi="ar-SA"/>
        </w:rPr>
      </w:pPr>
      <w:r>
        <w:rPr>
          <w:rFonts w:hint="eastAsia" w:ascii="仿宋_GB2312" w:hAnsi="Times New Roman" w:eastAsia="仿宋_GB2312" w:cs="Times New Roman"/>
          <w:b w:val="0"/>
          <w:kern w:val="2"/>
          <w:sz w:val="32"/>
          <w:szCs w:val="32"/>
          <w:lang w:val="en-US" w:eastAsia="zh-CN" w:bidi="ar-SA"/>
        </w:rPr>
        <w:t>一、总体目标完成概况</w:t>
      </w:r>
    </w:p>
    <w:p>
      <w:pPr>
        <w:keepNext w:val="0"/>
        <w:keepLines w:val="0"/>
        <w:widowControl/>
        <w:numPr>
          <w:ilvl w:val="0"/>
          <w:numId w:val="0"/>
        </w:numPr>
        <w:suppressLineNumbers w:val="0"/>
        <w:spacing w:before="0" w:beforeAutospacing="0" w:after="0" w:afterAutospacing="0"/>
        <w:ind w:left="-360" w:leftChars="0" w:right="0" w:rightChars="0" w:firstLine="640" w:firstLineChars="200"/>
        <w:rPr>
          <w:rFonts w:hint="eastAsia" w:ascii="仿宋_GB2312" w:hAnsi="Times New Roman" w:eastAsia="仿宋_GB2312" w:cs="Times New Roman"/>
          <w:b w:val="0"/>
          <w:kern w:val="2"/>
          <w:sz w:val="32"/>
          <w:szCs w:val="32"/>
          <w:lang w:val="en-US" w:eastAsia="zh-CN" w:bidi="ar-SA"/>
        </w:rPr>
      </w:pPr>
      <w:r>
        <w:rPr>
          <w:rFonts w:hint="eastAsia" w:ascii="仿宋_GB2312" w:hAnsi="Times New Roman" w:cs="Times New Roman"/>
          <w:b w:val="0"/>
          <w:kern w:val="2"/>
          <w:sz w:val="32"/>
          <w:szCs w:val="32"/>
          <w:lang w:val="en-US" w:eastAsia="zh-CN" w:bidi="ar-SA"/>
        </w:rPr>
        <w:t>1、</w:t>
      </w:r>
      <w:r>
        <w:rPr>
          <w:rFonts w:hint="eastAsia" w:ascii="仿宋_GB2312" w:hAnsi="Times New Roman" w:eastAsia="仿宋_GB2312" w:cs="Times New Roman"/>
          <w:b w:val="0"/>
          <w:kern w:val="2"/>
          <w:sz w:val="32"/>
          <w:szCs w:val="32"/>
          <w:lang w:val="en-US" w:eastAsia="zh-CN" w:bidi="ar-SA"/>
        </w:rPr>
        <w:t>核心目标：保障基本药物可及性、价格合理性、使用规范性，提升基层医疗卫生服务能力。</w:t>
      </w:r>
    </w:p>
    <w:p>
      <w:pPr>
        <w:keepNext w:val="0"/>
        <w:keepLines w:val="0"/>
        <w:widowControl/>
        <w:numPr>
          <w:ilvl w:val="0"/>
          <w:numId w:val="0"/>
        </w:numPr>
        <w:suppressLineNumbers w:val="0"/>
        <w:spacing w:before="0" w:beforeAutospacing="0" w:after="0" w:afterAutospacing="0"/>
        <w:ind w:left="-360" w:leftChars="0" w:right="0" w:rightChars="0" w:firstLine="640" w:firstLineChars="200"/>
        <w:rPr>
          <w:rFonts w:hint="eastAsia" w:ascii="仿宋_GB2312" w:hAnsi="Times New Roman" w:eastAsia="仿宋_GB2312" w:cs="Times New Roman"/>
          <w:b w:val="0"/>
          <w:kern w:val="2"/>
          <w:sz w:val="32"/>
          <w:szCs w:val="32"/>
          <w:lang w:val="en-US" w:eastAsia="zh-CN" w:bidi="ar-SA"/>
        </w:rPr>
      </w:pPr>
      <w:r>
        <w:rPr>
          <w:rFonts w:hint="eastAsia" w:ascii="仿宋_GB2312" w:hAnsi="Times New Roman" w:cs="Times New Roman"/>
          <w:b w:val="0"/>
          <w:kern w:val="2"/>
          <w:sz w:val="32"/>
          <w:szCs w:val="32"/>
          <w:lang w:val="en-US" w:eastAsia="zh-CN" w:bidi="ar-SA"/>
        </w:rPr>
        <w:t>2、</w:t>
      </w:r>
      <w:r>
        <w:rPr>
          <w:rFonts w:hint="eastAsia" w:ascii="仿宋_GB2312" w:hAnsi="Times New Roman" w:eastAsia="仿宋_GB2312" w:cs="Times New Roman"/>
          <w:b w:val="0"/>
          <w:kern w:val="2"/>
          <w:sz w:val="32"/>
          <w:szCs w:val="32"/>
          <w:lang w:val="en-US" w:eastAsia="zh-CN" w:bidi="ar-SA"/>
        </w:rPr>
        <w:t>量化指标：基层医疗机构基本药物配备率≥90%、药品价格平均降幅≥15%、患者满意度≥</w:t>
      </w:r>
      <w:r>
        <w:rPr>
          <w:rFonts w:hint="eastAsia" w:ascii="仿宋_GB2312" w:hAnsi="Times New Roman" w:cs="Times New Roman"/>
          <w:b w:val="0"/>
          <w:kern w:val="2"/>
          <w:sz w:val="32"/>
          <w:szCs w:val="32"/>
          <w:lang w:val="en-US" w:eastAsia="zh-CN" w:bidi="ar-SA"/>
        </w:rPr>
        <w:t>90</w:t>
      </w:r>
      <w:r>
        <w:rPr>
          <w:rFonts w:hint="eastAsia" w:ascii="仿宋_GB2312" w:hAnsi="Times New Roman" w:eastAsia="仿宋_GB2312" w:cs="Times New Roman"/>
          <w:b w:val="0"/>
          <w:kern w:val="2"/>
          <w:sz w:val="32"/>
          <w:szCs w:val="32"/>
          <w:lang w:val="en-US" w:eastAsia="zh-CN" w:bidi="ar-SA"/>
        </w:rPr>
        <w:t>%、药品供应及时率≥95%等。</w:t>
      </w:r>
    </w:p>
    <w:p>
      <w:pPr>
        <w:keepNext w:val="0"/>
        <w:keepLines w:val="0"/>
        <w:widowControl/>
        <w:numPr>
          <w:ilvl w:val="0"/>
          <w:numId w:val="0"/>
        </w:numPr>
        <w:suppressLineNumbers w:val="0"/>
        <w:spacing w:before="0" w:beforeAutospacing="0" w:after="0" w:afterAutospacing="0"/>
        <w:ind w:left="-360" w:leftChars="0" w:right="0" w:rightChars="0" w:firstLine="640" w:firstLineChars="200"/>
        <w:rPr>
          <w:rFonts w:hint="eastAsia" w:ascii="仿宋_GB2312" w:hAnsi="Times New Roman" w:eastAsia="仿宋_GB2312" w:cs="Times New Roman"/>
          <w:b w:val="0"/>
          <w:kern w:val="2"/>
          <w:sz w:val="32"/>
          <w:szCs w:val="32"/>
          <w:lang w:val="en-US" w:eastAsia="zh-CN" w:bidi="ar-SA"/>
        </w:rPr>
      </w:pPr>
      <w:r>
        <w:rPr>
          <w:rFonts w:hint="eastAsia" w:ascii="仿宋_GB2312" w:hAnsi="Times New Roman" w:cs="Times New Roman"/>
          <w:b w:val="0"/>
          <w:kern w:val="2"/>
          <w:sz w:val="32"/>
          <w:szCs w:val="32"/>
          <w:lang w:val="en-US" w:eastAsia="zh-CN" w:bidi="ar-SA"/>
        </w:rPr>
        <w:t>二、</w:t>
      </w:r>
      <w:r>
        <w:rPr>
          <w:rFonts w:hint="eastAsia" w:ascii="仿宋_GB2312" w:hAnsi="Times New Roman" w:eastAsia="仿宋_GB2312" w:cs="Times New Roman"/>
          <w:b w:val="0"/>
          <w:kern w:val="2"/>
          <w:sz w:val="32"/>
          <w:szCs w:val="32"/>
          <w:lang w:val="en-US" w:eastAsia="zh-CN" w:bidi="ar-SA"/>
        </w:rPr>
        <w:t>总体完成度</w:t>
      </w:r>
    </w:p>
    <w:p>
      <w:pPr>
        <w:keepNext w:val="0"/>
        <w:keepLines w:val="0"/>
        <w:widowControl/>
        <w:numPr>
          <w:ilvl w:val="0"/>
          <w:numId w:val="0"/>
        </w:numPr>
        <w:suppressLineNumbers w:val="0"/>
        <w:spacing w:before="0" w:beforeAutospacing="0" w:after="0" w:afterAutospacing="0"/>
        <w:ind w:left="-360" w:leftChars="0" w:right="0" w:rightChars="0" w:firstLine="640" w:firstLineChars="200"/>
        <w:rPr>
          <w:rFonts w:hint="eastAsia" w:ascii="仿宋_GB2312" w:hAnsi="Times New Roman" w:eastAsia="仿宋_GB2312" w:cs="Times New Roman"/>
          <w:b w:val="0"/>
          <w:kern w:val="2"/>
          <w:sz w:val="32"/>
          <w:szCs w:val="32"/>
          <w:lang w:val="en-US" w:eastAsia="zh-CN" w:bidi="ar-SA"/>
        </w:rPr>
      </w:pPr>
      <w:r>
        <w:rPr>
          <w:rFonts w:hint="eastAsia" w:ascii="仿宋_GB2312" w:hAnsi="Times New Roman" w:cs="Times New Roman"/>
          <w:b w:val="0"/>
          <w:kern w:val="2"/>
          <w:sz w:val="32"/>
          <w:szCs w:val="32"/>
          <w:lang w:val="en-US" w:eastAsia="zh-CN" w:bidi="ar-SA"/>
        </w:rPr>
        <w:t>1、</w:t>
      </w:r>
      <w:r>
        <w:rPr>
          <w:rFonts w:hint="eastAsia" w:ascii="仿宋_GB2312" w:hAnsi="Times New Roman" w:eastAsia="仿宋_GB2312" w:cs="Times New Roman"/>
          <w:b w:val="0"/>
          <w:kern w:val="2"/>
          <w:sz w:val="32"/>
          <w:szCs w:val="32"/>
          <w:lang w:val="en-US" w:eastAsia="zh-CN" w:bidi="ar-SA"/>
        </w:rPr>
        <w:t>达标率：202</w:t>
      </w:r>
      <w:r>
        <w:rPr>
          <w:rFonts w:hint="eastAsia" w:ascii="仿宋_GB2312" w:hAnsi="Times New Roman" w:cs="Times New Roman"/>
          <w:b w:val="0"/>
          <w:kern w:val="2"/>
          <w:sz w:val="32"/>
          <w:szCs w:val="32"/>
          <w:lang w:val="en-US" w:eastAsia="zh-CN" w:bidi="ar-SA"/>
        </w:rPr>
        <w:t>4</w:t>
      </w:r>
      <w:r>
        <w:rPr>
          <w:rFonts w:hint="eastAsia" w:ascii="仿宋_GB2312" w:hAnsi="Times New Roman" w:eastAsia="仿宋_GB2312" w:cs="Times New Roman"/>
          <w:b w:val="0"/>
          <w:kern w:val="2"/>
          <w:sz w:val="32"/>
          <w:szCs w:val="32"/>
          <w:lang w:val="en-US" w:eastAsia="zh-CN" w:bidi="ar-SA"/>
        </w:rPr>
        <w:t>年总体绩</w:t>
      </w:r>
      <w:bookmarkStart w:id="1" w:name="_GoBack"/>
      <w:bookmarkEnd w:id="1"/>
      <w:r>
        <w:rPr>
          <w:rFonts w:hint="eastAsia" w:ascii="仿宋_GB2312" w:hAnsi="Times New Roman" w:eastAsia="仿宋_GB2312" w:cs="Times New Roman"/>
          <w:b w:val="0"/>
          <w:kern w:val="2"/>
          <w:sz w:val="32"/>
          <w:szCs w:val="32"/>
          <w:lang w:val="en-US" w:eastAsia="zh-CN" w:bidi="ar-SA"/>
        </w:rPr>
        <w:t>效目标完成率为</w:t>
      </w:r>
      <w:r>
        <w:rPr>
          <w:rFonts w:hint="eastAsia" w:ascii="仿宋_GB2312" w:hAnsi="Times New Roman" w:cs="Times New Roman"/>
          <w:b w:val="0"/>
          <w:kern w:val="2"/>
          <w:sz w:val="32"/>
          <w:szCs w:val="32"/>
          <w:lang w:val="en-US" w:eastAsia="zh-CN" w:bidi="ar-SA"/>
        </w:rPr>
        <w:t>86.</w:t>
      </w:r>
      <w:r>
        <w:rPr>
          <w:rFonts w:hint="eastAsia" w:ascii="仿宋_GB2312" w:cs="Times New Roman"/>
          <w:b w:val="0"/>
          <w:kern w:val="2"/>
          <w:sz w:val="32"/>
          <w:szCs w:val="32"/>
          <w:lang w:val="en-US" w:eastAsia="zh-CN" w:bidi="ar-SA"/>
        </w:rPr>
        <w:t>22</w:t>
      </w:r>
      <w:r>
        <w:rPr>
          <w:rFonts w:hint="eastAsia" w:ascii="仿宋_GB2312" w:hAnsi="Times New Roman" w:eastAsia="仿宋_GB2312" w:cs="Times New Roman"/>
          <w:b w:val="0"/>
          <w:kern w:val="2"/>
          <w:sz w:val="32"/>
          <w:szCs w:val="32"/>
          <w:lang w:val="en-US" w:eastAsia="zh-CN" w:bidi="ar-SA"/>
        </w:rPr>
        <w:t>%，其中</w:t>
      </w:r>
      <w:r>
        <w:rPr>
          <w:rFonts w:hint="eastAsia" w:ascii="仿宋_GB2312" w:hAnsi="Times New Roman" w:cs="Times New Roman"/>
          <w:b w:val="0"/>
          <w:kern w:val="2"/>
          <w:sz w:val="32"/>
          <w:szCs w:val="32"/>
          <w:lang w:val="en-US" w:eastAsia="zh-CN" w:bidi="ar-SA"/>
        </w:rPr>
        <w:t>基本药物制度补助资金及时</w:t>
      </w:r>
      <w:r>
        <w:rPr>
          <w:rFonts w:hint="eastAsia" w:ascii="仿宋_GB2312" w:hAnsi="Times New Roman" w:eastAsia="仿宋_GB2312" w:cs="Times New Roman"/>
          <w:b w:val="0"/>
          <w:kern w:val="2"/>
          <w:sz w:val="32"/>
          <w:szCs w:val="32"/>
          <w:lang w:val="en-US" w:eastAsia="zh-CN" w:bidi="ar-SA"/>
        </w:rPr>
        <w:t>性（</w:t>
      </w:r>
      <w:r>
        <w:rPr>
          <w:rFonts w:hint="eastAsia" w:ascii="仿宋_GB2312" w:cs="Times New Roman"/>
          <w:b w:val="0"/>
          <w:kern w:val="2"/>
          <w:sz w:val="32"/>
          <w:szCs w:val="32"/>
          <w:lang w:val="en-US" w:eastAsia="zh-CN" w:bidi="ar-SA"/>
        </w:rPr>
        <w:t>86.35</w:t>
      </w:r>
      <w:r>
        <w:rPr>
          <w:rFonts w:hint="eastAsia" w:ascii="仿宋_GB2312" w:hAnsi="Times New Roman" w:eastAsia="仿宋_GB2312" w:cs="Times New Roman"/>
          <w:b w:val="0"/>
          <w:kern w:val="2"/>
          <w:sz w:val="32"/>
          <w:szCs w:val="32"/>
          <w:lang w:val="en-US" w:eastAsia="zh-CN" w:bidi="ar-SA"/>
        </w:rPr>
        <w:t>%）、基本药物制度政策实施率（</w:t>
      </w:r>
      <w:r>
        <w:rPr>
          <w:rFonts w:hint="eastAsia" w:ascii="仿宋_GB2312" w:hAnsi="Times New Roman" w:cs="Times New Roman"/>
          <w:b w:val="0"/>
          <w:kern w:val="2"/>
          <w:sz w:val="32"/>
          <w:szCs w:val="32"/>
          <w:lang w:val="en-US" w:eastAsia="zh-CN" w:bidi="ar-SA"/>
        </w:rPr>
        <w:t>95</w:t>
      </w:r>
      <w:r>
        <w:rPr>
          <w:rFonts w:hint="eastAsia" w:ascii="仿宋_GB2312" w:hAnsi="Times New Roman" w:eastAsia="仿宋_GB2312" w:cs="Times New Roman"/>
          <w:b w:val="0"/>
          <w:kern w:val="2"/>
          <w:sz w:val="32"/>
          <w:szCs w:val="32"/>
          <w:lang w:val="en-US" w:eastAsia="zh-CN" w:bidi="ar-SA"/>
        </w:rPr>
        <w:t>%）、使用规范（</w:t>
      </w:r>
      <w:r>
        <w:rPr>
          <w:rFonts w:hint="eastAsia" w:ascii="仿宋_GB2312" w:hAnsi="Times New Roman" w:cs="Times New Roman"/>
          <w:b w:val="0"/>
          <w:kern w:val="2"/>
          <w:sz w:val="32"/>
          <w:szCs w:val="32"/>
          <w:lang w:val="en-US" w:eastAsia="zh-CN" w:bidi="ar-SA"/>
        </w:rPr>
        <w:t>95</w:t>
      </w:r>
      <w:r>
        <w:rPr>
          <w:rFonts w:hint="eastAsia" w:ascii="仿宋_GB2312" w:hAnsi="Times New Roman" w:eastAsia="仿宋_GB2312" w:cs="Times New Roman"/>
          <w:b w:val="0"/>
          <w:kern w:val="2"/>
          <w:sz w:val="32"/>
          <w:szCs w:val="32"/>
          <w:lang w:val="en-US" w:eastAsia="zh-CN" w:bidi="ar-SA"/>
        </w:rPr>
        <w:t>%）等分项指标差异明显。</w:t>
      </w:r>
    </w:p>
    <w:p>
      <w:pPr>
        <w:numPr>
          <w:ilvl w:val="0"/>
          <w:numId w:val="0"/>
        </w:numPr>
        <w:spacing w:line="560" w:lineRule="exact"/>
        <w:ind w:leftChars="200"/>
        <w:outlineLvl w:val="0"/>
        <w:rPr>
          <w:rFonts w:hint="eastAsia" w:ascii="仿宋_GB2312" w:hAnsi="Times New Roman" w:cs="Times New Roman"/>
          <w:sz w:val="32"/>
          <w:szCs w:val="32"/>
          <w:lang w:val="en-US" w:eastAsia="zh-CN"/>
        </w:rPr>
      </w:pPr>
      <w:r>
        <w:rPr>
          <w:rFonts w:hint="eastAsia" w:ascii="仿宋_GB2312"/>
          <w:sz w:val="32"/>
          <w:szCs w:val="32"/>
          <w:lang w:val="en-US" w:eastAsia="zh-CN"/>
        </w:rPr>
        <w:t>2、乡镇与乡镇之间</w:t>
      </w:r>
      <w:r>
        <w:rPr>
          <w:rFonts w:hint="eastAsia" w:ascii="仿宋_GB2312" w:hAnsi="Times New Roman" w:cs="Times New Roman"/>
          <w:sz w:val="32"/>
          <w:szCs w:val="32"/>
          <w:lang w:val="en-US" w:eastAsia="zh-CN"/>
        </w:rPr>
        <w:t>差距逐步缩小</w:t>
      </w:r>
    </w:p>
    <w:p>
      <w:pPr>
        <w:keepNext w:val="0"/>
        <w:keepLines w:val="0"/>
        <w:widowControl/>
        <w:numPr>
          <w:ilvl w:val="0"/>
          <w:numId w:val="0"/>
        </w:numPr>
        <w:suppressLineNumbers w:val="0"/>
        <w:spacing w:before="0" w:beforeAutospacing="0" w:after="0" w:afterAutospacing="0"/>
        <w:ind w:left="-360" w:leftChars="0" w:right="0" w:rightChars="0" w:firstLine="640" w:firstLineChars="200"/>
        <w:rPr>
          <w:rFonts w:hint="eastAsia" w:ascii="仿宋_GB2312" w:hAnsi="Times New Roman" w:cs="Times New Roman"/>
          <w:b w:val="0"/>
          <w:kern w:val="2"/>
          <w:sz w:val="32"/>
          <w:szCs w:val="32"/>
          <w:lang w:val="en-US" w:eastAsia="zh-CN" w:bidi="ar-SA"/>
        </w:rPr>
      </w:pPr>
      <w:r>
        <w:rPr>
          <w:rFonts w:hint="eastAsia" w:ascii="仿宋_GB2312" w:hAnsi="Times New Roman" w:cs="Times New Roman"/>
          <w:b w:val="0"/>
          <w:kern w:val="2"/>
          <w:sz w:val="32"/>
          <w:szCs w:val="32"/>
          <w:lang w:val="en-US" w:eastAsia="zh-CN" w:bidi="ar-SA"/>
        </w:rPr>
        <w:t>基层医疗机构基本药物目录内药品配备率达95%，但部分乡镇部分急救药、慢性病用药仍存在短缺。</w:t>
      </w:r>
    </w:p>
    <w:p>
      <w:pPr>
        <w:pStyle w:val="2"/>
        <w:numPr>
          <w:ilvl w:val="0"/>
          <w:numId w:val="2"/>
        </w:numPr>
        <w:ind w:left="320" w:leftChars="0" w:firstLine="0" w:firstLineChars="0"/>
        <w:rPr>
          <w:rFonts w:hint="eastAsia" w:ascii="仿宋_GB2312" w:hAnsi="Times New Roman"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合理用药率</w:t>
      </w:r>
      <w:r>
        <w:rPr>
          <w:rFonts w:hint="eastAsia" w:ascii="仿宋_GB2312" w:hAnsi="Times New Roman" w:cs="Times New Roman"/>
          <w:kern w:val="2"/>
          <w:sz w:val="32"/>
          <w:szCs w:val="32"/>
          <w:lang w:val="en-US" w:eastAsia="zh-CN" w:bidi="ar-SA"/>
        </w:rPr>
        <w:t>显著提升</w:t>
      </w:r>
    </w:p>
    <w:p>
      <w:pPr>
        <w:pStyle w:val="2"/>
        <w:numPr>
          <w:ilvl w:val="0"/>
          <w:numId w:val="0"/>
        </w:numPr>
        <w:ind w:left="320" w:leftChars="0"/>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基层医疗机构处方合格率达95%，抗生素滥用问题改善明显</w:t>
      </w:r>
    </w:p>
    <w:p>
      <w:pPr>
        <w:spacing w:line="560" w:lineRule="exact"/>
        <w:ind w:firstLine="643" w:firstLineChars="200"/>
        <w:outlineLvl w:val="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（四）绩效指标完成情况分析。</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baseline"/>
        <w:rPr>
          <w:rFonts w:hint="eastAsia" w:ascii="楷体" w:hAnsi="楷体" w:eastAsia="楷体" w:cs="楷体"/>
          <w:b w:val="0"/>
          <w:i w:val="0"/>
          <w:caps w:val="0"/>
          <w:spacing w:val="0"/>
          <w:w w:val="100"/>
          <w:sz w:val="32"/>
          <w:szCs w:val="32"/>
        </w:rPr>
      </w:pPr>
      <w:r>
        <w:rPr>
          <w:rFonts w:hint="eastAsia" w:ascii="楷体" w:hAnsi="楷体" w:eastAsia="楷体" w:cs="楷体"/>
          <w:b w:val="0"/>
          <w:i w:val="0"/>
          <w:caps w:val="0"/>
          <w:spacing w:val="0"/>
          <w:w w:val="100"/>
          <w:sz w:val="32"/>
          <w:szCs w:val="32"/>
        </w:rPr>
        <w:t>1</w:t>
      </w:r>
      <w:r>
        <w:rPr>
          <w:rFonts w:hint="eastAsia" w:ascii="楷体" w:hAnsi="楷体" w:eastAsia="楷体" w:cs="楷体"/>
          <w:b w:val="0"/>
          <w:i w:val="0"/>
          <w:caps w:val="0"/>
          <w:spacing w:val="0"/>
          <w:w w:val="100"/>
          <w:sz w:val="32"/>
          <w:szCs w:val="32"/>
          <w:lang w:eastAsia="zh-CN"/>
        </w:rPr>
        <w:t>、</w:t>
      </w:r>
      <w:r>
        <w:rPr>
          <w:rFonts w:hint="eastAsia" w:ascii="楷体" w:hAnsi="楷体" w:eastAsia="楷体" w:cs="楷体"/>
          <w:b w:val="0"/>
          <w:i w:val="0"/>
          <w:caps w:val="0"/>
          <w:spacing w:val="0"/>
          <w:w w:val="100"/>
          <w:sz w:val="32"/>
          <w:szCs w:val="32"/>
        </w:rPr>
        <w:t>产出指标完成情况分析</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baseline"/>
        <w:rPr>
          <w:rFonts w:hint="eastAsia" w:ascii="仿宋" w:hAnsi="仿宋" w:eastAsia="仿宋" w:cs="仿宋"/>
          <w:sz w:val="32"/>
          <w:szCs w:val="32"/>
          <w:lang w:val="en-US" w:eastAsia="zh-CN"/>
        </w:rPr>
      </w:pPr>
      <w:r>
        <w:rPr>
          <w:rFonts w:hint="eastAsia" w:ascii="仿宋_GB2312" w:cs="Times New Roman"/>
          <w:sz w:val="32"/>
          <w:szCs w:val="32"/>
          <w:lang w:val="en-US" w:eastAsia="zh-CN"/>
        </w:rPr>
        <w:t>数量指标：</w:t>
      </w:r>
      <w:r>
        <w:rPr>
          <w:rFonts w:hint="eastAsia" w:ascii="仿宋" w:hAnsi="仿宋" w:eastAsia="仿宋" w:cs="仿宋"/>
          <w:sz w:val="32"/>
          <w:szCs w:val="32"/>
          <w:lang w:val="en-US" w:eastAsia="zh-CN"/>
        </w:rPr>
        <w:t>实施基本药物制度补偿机制的乡镇数量预期≥16个，实际完成16个，指标目标已完成</w:t>
      </w:r>
    </w:p>
    <w:p>
      <w:pPr>
        <w:ind w:firstLine="640" w:firstLineChars="200"/>
        <w:outlineLvl w:val="0"/>
        <w:rPr>
          <w:rFonts w:hint="default" w:ascii="仿宋" w:hAnsi="仿宋" w:eastAsia="仿宋"/>
          <w:sz w:val="32"/>
          <w:szCs w:val="32"/>
          <w:highlight w:val="none"/>
          <w:lang w:val="en-US" w:eastAsia="zh-CN"/>
        </w:rPr>
      </w:pPr>
      <w:r>
        <w:rPr>
          <w:rFonts w:hint="eastAsia" w:ascii="仿宋" w:hAnsi="仿宋" w:eastAsia="仿宋"/>
          <w:sz w:val="32"/>
          <w:szCs w:val="32"/>
        </w:rPr>
        <w:t>质量指标:</w:t>
      </w:r>
      <w:r>
        <w:rPr>
          <w:rFonts w:hint="eastAsia" w:ascii="仿宋" w:hAnsi="仿宋" w:eastAsia="仿宋"/>
          <w:sz w:val="32"/>
          <w:szCs w:val="32"/>
          <w:lang w:val="en-US" w:eastAsia="zh-CN"/>
        </w:rPr>
        <w:t>基层医疗机构处方合格率≥90%，实际达到95%，指</w:t>
      </w:r>
      <w:r>
        <w:rPr>
          <w:rFonts w:hint="eastAsia" w:ascii="仿宋" w:hAnsi="仿宋" w:eastAsia="仿宋"/>
          <w:sz w:val="32"/>
          <w:szCs w:val="32"/>
          <w:highlight w:val="none"/>
          <w:lang w:val="en-US" w:eastAsia="zh-CN"/>
        </w:rPr>
        <w:t>标目标已完成</w:t>
      </w:r>
    </w:p>
    <w:p>
      <w:pPr>
        <w:ind w:firstLine="640" w:firstLineChars="200"/>
        <w:outlineLvl w:val="0"/>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时效指标：拨付基本药物制度补助资金及时率预计达到≥90%，实际达到95%，指标目标已完成</w:t>
      </w:r>
    </w:p>
    <w:p>
      <w:pPr>
        <w:ind w:firstLine="640" w:firstLineChars="200"/>
        <w:outlineLvl w:val="0"/>
        <w:rPr>
          <w:rFonts w:hint="default" w:ascii="仿宋" w:hAnsi="仿宋" w:eastAsia="仿宋"/>
          <w:sz w:val="32"/>
          <w:szCs w:val="32"/>
          <w:highlight w:val="none"/>
          <w:lang w:val="en-US" w:eastAsia="zh-CN"/>
        </w:rPr>
      </w:pPr>
      <w:r>
        <w:rPr>
          <w:rFonts w:hint="eastAsia" w:ascii="仿宋" w:hAnsi="仿宋" w:eastAsia="仿宋"/>
          <w:sz w:val="32"/>
          <w:szCs w:val="32"/>
          <w:highlight w:val="none"/>
        </w:rPr>
        <w:t>成本指标:基本药物制度项目</w:t>
      </w:r>
      <w:r>
        <w:rPr>
          <w:rFonts w:hint="eastAsia" w:ascii="仿宋" w:hAnsi="仿宋" w:eastAsia="仿宋"/>
          <w:sz w:val="32"/>
          <w:szCs w:val="32"/>
          <w:highlight w:val="none"/>
          <w:lang w:val="en-US" w:eastAsia="zh-CN"/>
        </w:rPr>
        <w:t>资金投入预计成本565.34万元，实际达到487.42万元，指标目标未完成，用财政资金紧张，结转下年支出。</w:t>
      </w:r>
    </w:p>
    <w:p>
      <w:pPr>
        <w:ind w:firstLine="640" w:firstLineChars="200"/>
        <w:outlineLvl w:val="0"/>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效益指标完成情况。</w:t>
      </w:r>
    </w:p>
    <w:p>
      <w:pPr>
        <w:ind w:firstLine="640" w:firstLineChars="200"/>
        <w:outlineLvl w:val="0"/>
        <w:rPr>
          <w:rFonts w:hint="default" w:ascii="仿宋" w:hAnsi="仿宋" w:eastAsia="仿宋"/>
          <w:sz w:val="32"/>
          <w:szCs w:val="32"/>
          <w:lang w:val="en-US" w:eastAsia="zh-CN"/>
        </w:rPr>
      </w:pPr>
      <w:r>
        <w:rPr>
          <w:rFonts w:hint="eastAsia" w:ascii="仿宋" w:hAnsi="仿宋" w:eastAsia="仿宋"/>
          <w:sz w:val="32"/>
          <w:szCs w:val="32"/>
          <w:lang w:val="en-US" w:eastAsia="zh-CN"/>
        </w:rPr>
        <w:t>经济指标：预计减轻居民购药经济成本，实际较上年减轻居民购药成本，指标目标已完成</w:t>
      </w:r>
    </w:p>
    <w:p>
      <w:pPr>
        <w:ind w:firstLine="640" w:firstLineChars="200"/>
        <w:outlineLvl w:val="0"/>
        <w:rPr>
          <w:rFonts w:hint="default" w:ascii="仿宋" w:hAnsi="仿宋" w:eastAsia="仿宋"/>
          <w:sz w:val="32"/>
          <w:szCs w:val="32"/>
          <w:lang w:val="en-US" w:eastAsia="zh-CN"/>
        </w:rPr>
      </w:pPr>
      <w:r>
        <w:rPr>
          <w:rFonts w:hint="eastAsia" w:ascii="仿宋" w:hAnsi="仿宋" w:eastAsia="仿宋"/>
          <w:sz w:val="32"/>
          <w:szCs w:val="32"/>
        </w:rPr>
        <w:t>社会效益指标：</w:t>
      </w:r>
      <w:r>
        <w:rPr>
          <w:rFonts w:hint="eastAsia" w:ascii="仿宋" w:hAnsi="仿宋" w:eastAsia="仿宋"/>
          <w:sz w:val="32"/>
          <w:szCs w:val="32"/>
          <w:lang w:val="en-US" w:eastAsia="zh-CN"/>
        </w:rPr>
        <w:t>基本药物制度政策实施率预计≥90%，实际达到95%，指标目标已完成</w:t>
      </w:r>
    </w:p>
    <w:p>
      <w:pPr>
        <w:ind w:firstLine="640" w:firstLineChars="200"/>
        <w:rPr>
          <w:rFonts w:hint="default" w:ascii="仿宋" w:hAnsi="仿宋" w:eastAsia="仿宋"/>
          <w:sz w:val="32"/>
          <w:szCs w:val="32"/>
          <w:lang w:val="en-US"/>
        </w:rPr>
      </w:pPr>
      <w:r>
        <w:rPr>
          <w:rFonts w:hint="eastAsia" w:ascii="仿宋" w:hAnsi="仿宋" w:eastAsia="仿宋"/>
          <w:sz w:val="32"/>
          <w:szCs w:val="32"/>
          <w:lang w:val="en-US" w:eastAsia="zh-CN"/>
        </w:rPr>
        <w:t>生态指标：在项目实施过程中，预计达到</w:t>
      </w:r>
      <w:r>
        <w:rPr>
          <w:rFonts w:hint="default" w:ascii="仿宋" w:hAnsi="仿宋" w:eastAsia="仿宋"/>
          <w:sz w:val="32"/>
          <w:szCs w:val="32"/>
          <w:lang w:val="en-US" w:eastAsia="zh-CN"/>
        </w:rPr>
        <w:t>绿色办公无污染，节约用水、用电、用纸</w:t>
      </w:r>
      <w:r>
        <w:rPr>
          <w:rFonts w:hint="eastAsia" w:ascii="仿宋" w:hAnsi="仿宋" w:eastAsia="仿宋"/>
          <w:sz w:val="32"/>
          <w:szCs w:val="32"/>
          <w:lang w:val="en-US" w:eastAsia="zh-CN"/>
        </w:rPr>
        <w:t>。实际较上年节约，指标目标已完成</w:t>
      </w:r>
    </w:p>
    <w:p>
      <w:p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可持续影响指标：项目资金持续作用期限预计≥1年，实际达到1年，指标目标已完成</w:t>
      </w:r>
    </w:p>
    <w:p>
      <w:pPr>
        <w:ind w:firstLine="640" w:firstLineChars="200"/>
        <w:rPr>
          <w:rFonts w:ascii="仿宋_GB2312"/>
          <w:szCs w:val="32"/>
        </w:rPr>
      </w:pPr>
      <w:r>
        <w:rPr>
          <w:rFonts w:hint="eastAsia" w:ascii="仿宋" w:hAnsi="仿宋" w:eastAsia="仿宋"/>
          <w:sz w:val="32"/>
          <w:szCs w:val="32"/>
        </w:rPr>
        <w:t>3</w:t>
      </w:r>
      <w:r>
        <w:rPr>
          <w:rFonts w:hint="eastAsia" w:ascii="仿宋" w:hAnsi="仿宋" w:eastAsia="仿宋"/>
          <w:sz w:val="32"/>
          <w:szCs w:val="32"/>
          <w:lang w:eastAsia="zh-CN"/>
        </w:rPr>
        <w:t>、</w:t>
      </w:r>
      <w:r>
        <w:rPr>
          <w:rFonts w:hint="eastAsia" w:ascii="仿宋" w:hAnsi="仿宋" w:eastAsia="仿宋"/>
          <w:sz w:val="32"/>
          <w:szCs w:val="32"/>
        </w:rPr>
        <w:t>满意度指标完成情况。</w:t>
      </w:r>
      <w:r>
        <w:rPr>
          <w:rFonts w:hint="eastAsia" w:ascii="仿宋" w:hAnsi="仿宋" w:eastAsia="仿宋"/>
          <w:sz w:val="32"/>
          <w:szCs w:val="32"/>
          <w:lang w:val="en-US" w:eastAsia="zh-CN"/>
        </w:rPr>
        <w:t>调查群众满意度</w:t>
      </w:r>
      <w:r>
        <w:rPr>
          <w:rFonts w:hint="eastAsia" w:ascii="仿宋" w:hAnsi="仿宋" w:eastAsia="仿宋"/>
          <w:sz w:val="32"/>
          <w:szCs w:val="32"/>
        </w:rPr>
        <w:t>,</w:t>
      </w:r>
      <w:r>
        <w:rPr>
          <w:rFonts w:hint="eastAsia" w:ascii="仿宋" w:hAnsi="仿宋" w:eastAsia="仿宋"/>
          <w:sz w:val="32"/>
          <w:szCs w:val="32"/>
          <w:lang w:val="en-US" w:eastAsia="zh-CN"/>
        </w:rPr>
        <w:t>预期达到≥90%，实际达到90%，指标目标已完成</w:t>
      </w:r>
    </w:p>
    <w:p>
      <w:pPr>
        <w:spacing w:line="560" w:lineRule="exact"/>
        <w:ind w:firstLine="643" w:firstLineChars="200"/>
        <w:outlineLvl w:val="0"/>
        <w:rPr>
          <w:rFonts w:hint="eastAsia" w:ascii="楷体_GB2312" w:hAnsi="楷体_GB2312" w:eastAsia="楷体_GB2312" w:cs="楷体_GB2312"/>
          <w:b/>
          <w:bCs/>
          <w:sz w:val="32"/>
          <w:szCs w:val="32"/>
        </w:rPr>
      </w:pP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三、偏离绩效目标的原因和下一步改进措施</w:t>
      </w:r>
    </w:p>
    <w:p>
      <w:pPr>
        <w:pStyle w:val="5"/>
        <w:widowControl/>
        <w:shd w:val="clear" w:color="auto" w:fill="FFFFFF"/>
        <w:spacing w:beforeAutospacing="0" w:afterAutospacing="0"/>
        <w:ind w:firstLine="643" w:firstLineChars="200"/>
        <w:jc w:val="both"/>
        <w:rPr>
          <w:rFonts w:hint="eastAsia" w:ascii="仿宋" w:hAnsi="仿宋" w:eastAsia="仿宋"/>
          <w:b/>
          <w:bCs/>
          <w:kern w:val="2"/>
          <w:sz w:val="32"/>
          <w:szCs w:val="32"/>
          <w:lang w:eastAsia="zh-CN"/>
        </w:rPr>
      </w:pPr>
      <w:r>
        <w:rPr>
          <w:rFonts w:hint="eastAsia" w:ascii="仿宋" w:hAnsi="仿宋" w:eastAsia="仿宋"/>
          <w:b/>
          <w:bCs/>
          <w:kern w:val="2"/>
          <w:sz w:val="32"/>
          <w:szCs w:val="32"/>
          <w:lang w:val="en-US" w:eastAsia="zh-CN"/>
        </w:rPr>
        <w:t>偏离原因</w:t>
      </w:r>
      <w:r>
        <w:rPr>
          <w:rFonts w:hint="eastAsia" w:ascii="仿宋" w:hAnsi="仿宋" w:eastAsia="仿宋"/>
          <w:b/>
          <w:bCs/>
          <w:kern w:val="2"/>
          <w:sz w:val="32"/>
          <w:szCs w:val="32"/>
          <w:lang w:eastAsia="zh-CN"/>
        </w:rPr>
        <w:t>：</w:t>
      </w:r>
    </w:p>
    <w:p>
      <w:pPr>
        <w:pStyle w:val="5"/>
        <w:widowControl/>
        <w:shd w:val="clear" w:color="auto" w:fill="FFFFFF"/>
        <w:spacing w:beforeAutospacing="0" w:afterAutospacing="0"/>
        <w:ind w:firstLine="640" w:firstLineChars="200"/>
        <w:jc w:val="both"/>
        <w:rPr>
          <w:rFonts w:ascii="仿宋" w:hAnsi="仿宋" w:eastAsia="仿宋"/>
          <w:b w:val="0"/>
          <w:kern w:val="2"/>
          <w:sz w:val="32"/>
          <w:szCs w:val="32"/>
        </w:rPr>
      </w:pPr>
      <w:r>
        <w:rPr>
          <w:rFonts w:ascii="仿宋" w:hAnsi="仿宋" w:eastAsia="仿宋"/>
          <w:b w:val="0"/>
          <w:kern w:val="2"/>
          <w:sz w:val="32"/>
          <w:szCs w:val="32"/>
        </w:rPr>
        <w:t>1</w:t>
      </w:r>
      <w:r>
        <w:rPr>
          <w:rFonts w:hint="eastAsia" w:ascii="仿宋" w:hAnsi="仿宋" w:eastAsia="仿宋"/>
          <w:b w:val="0"/>
          <w:kern w:val="2"/>
          <w:sz w:val="32"/>
          <w:szCs w:val="32"/>
        </w:rPr>
        <w:t>、部分基本药物缺货</w:t>
      </w:r>
      <w:r>
        <w:rPr>
          <w:rFonts w:hint="eastAsia" w:ascii="仿宋" w:hAnsi="仿宋" w:eastAsia="仿宋"/>
          <w:b w:val="0"/>
          <w:kern w:val="2"/>
          <w:sz w:val="32"/>
          <w:szCs w:val="32"/>
          <w:lang w:eastAsia="zh-CN"/>
        </w:rPr>
        <w:t>，</w:t>
      </w:r>
      <w:r>
        <w:rPr>
          <w:rFonts w:hint="eastAsia" w:ascii="仿宋" w:hAnsi="仿宋" w:eastAsia="仿宋"/>
          <w:b w:val="0"/>
          <w:kern w:val="2"/>
          <w:sz w:val="32"/>
          <w:szCs w:val="32"/>
        </w:rPr>
        <w:t>大部分是因为中标价格低厂家不配送或配送不及时造成临床断药，给群众带来不便。</w:t>
      </w:r>
    </w:p>
    <w:p>
      <w:pPr>
        <w:pStyle w:val="5"/>
        <w:widowControl/>
        <w:shd w:val="clear" w:color="auto" w:fill="FFFFFF"/>
        <w:spacing w:beforeAutospacing="0" w:afterAutospacing="0"/>
        <w:ind w:firstLine="640" w:firstLineChars="200"/>
        <w:jc w:val="both"/>
        <w:rPr>
          <w:rFonts w:ascii="仿宋" w:hAnsi="仿宋" w:eastAsia="仿宋"/>
          <w:b w:val="0"/>
          <w:kern w:val="2"/>
          <w:sz w:val="32"/>
          <w:szCs w:val="32"/>
        </w:rPr>
      </w:pPr>
      <w:r>
        <w:rPr>
          <w:rFonts w:ascii="仿宋" w:hAnsi="仿宋" w:eastAsia="仿宋"/>
          <w:b w:val="0"/>
          <w:kern w:val="2"/>
          <w:sz w:val="32"/>
          <w:szCs w:val="32"/>
        </w:rPr>
        <w:t>2</w:t>
      </w:r>
      <w:r>
        <w:rPr>
          <w:rFonts w:hint="eastAsia" w:ascii="仿宋" w:hAnsi="仿宋" w:eastAsia="仿宋"/>
          <w:b w:val="0"/>
          <w:kern w:val="2"/>
          <w:sz w:val="32"/>
          <w:szCs w:val="32"/>
        </w:rPr>
        <w:t>、医生素质参差不齐虽然我院对全体医生进行了宣传发动及实施基本药物制度相关知识培训，但仍有个别医生因为种种原因，对实行基本药物的重要性认识不够，对政策和制度核心内容的理解和掌握不够深刻，给我院基本药物的全面推行造成了一定的阻力。</w:t>
      </w:r>
    </w:p>
    <w:p>
      <w:pPr>
        <w:pStyle w:val="5"/>
        <w:widowControl/>
        <w:numPr>
          <w:ilvl w:val="0"/>
          <w:numId w:val="3"/>
        </w:numPr>
        <w:shd w:val="clear" w:color="auto" w:fill="FFFFFF"/>
        <w:spacing w:beforeAutospacing="0" w:afterAutospacing="0"/>
        <w:ind w:firstLine="640" w:firstLineChars="200"/>
        <w:jc w:val="both"/>
        <w:rPr>
          <w:rFonts w:ascii="仿宋" w:hAnsi="仿宋" w:eastAsia="仿宋"/>
          <w:b w:val="0"/>
          <w:kern w:val="2"/>
          <w:sz w:val="32"/>
          <w:szCs w:val="32"/>
        </w:rPr>
      </w:pPr>
      <w:r>
        <w:rPr>
          <w:rFonts w:hint="eastAsia" w:ascii="仿宋" w:hAnsi="仿宋" w:eastAsia="仿宋"/>
          <w:b w:val="0"/>
          <w:kern w:val="2"/>
          <w:sz w:val="32"/>
          <w:szCs w:val="32"/>
        </w:rPr>
        <w:t>部分群众对基本药物的种类不满意由于有部分基本药物缺货或者种类不全，医生用药习惯和老百姓用药偏好，造成目录落实困难，部分患者来就医购药时，对基本药物的种类不满意，认为基本药物的种类太少，基本药物目录不能满足一些常见病、多发病的诊疗需求。</w:t>
      </w:r>
    </w:p>
    <w:p>
      <w:pPr>
        <w:ind w:firstLine="643" w:firstLineChars="200"/>
        <w:rPr>
          <w:rFonts w:hint="eastAsia" w:ascii="仿宋" w:hAnsi="仿宋" w:eastAsia="仿宋" w:cs="宋体"/>
          <w:b/>
          <w:bCs/>
          <w:sz w:val="32"/>
          <w:szCs w:val="32"/>
        </w:rPr>
      </w:pPr>
      <w:r>
        <w:rPr>
          <w:rFonts w:hint="eastAsia" w:ascii="仿宋" w:hAnsi="仿宋" w:eastAsia="仿宋" w:cs="宋体"/>
          <w:b/>
          <w:bCs/>
          <w:sz w:val="32"/>
          <w:szCs w:val="32"/>
        </w:rPr>
        <w:t>整改措施：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hint="eastAsia" w:ascii="仿宋_GB2312" w:cs="Times New Roman"/>
          <w:sz w:val="32"/>
          <w:szCs w:val="32"/>
          <w:lang w:val="en-US" w:eastAsia="zh-CN"/>
        </w:rPr>
        <w:t>.</w:t>
      </w:r>
      <w:r>
        <w:rPr>
          <w:rFonts w:hint="eastAsia" w:ascii="仿宋_GB2312" w:hAnsi="Times New Roman" w:eastAsia="仿宋_GB2312" w:cs="Times New Roman"/>
          <w:sz w:val="32"/>
          <w:szCs w:val="32"/>
        </w:rPr>
        <w:t>基药目录应定期增补，考虑</w:t>
      </w:r>
      <w:r>
        <w:rPr>
          <w:rFonts w:hint="eastAsia" w:ascii="仿宋_GB2312" w:hAnsi="Times New Roman" w:eastAsia="仿宋_GB2312" w:cs="Times New Roman"/>
          <w:sz w:val="32"/>
          <w:szCs w:val="32"/>
          <w:lang w:val="en-US" w:eastAsia="zh-CN"/>
        </w:rPr>
        <w:t>基层</w:t>
      </w:r>
      <w:r>
        <w:rPr>
          <w:rFonts w:hint="eastAsia" w:ascii="仿宋_GB2312" w:hAnsi="Times New Roman" w:eastAsia="仿宋_GB2312" w:cs="Times New Roman"/>
          <w:sz w:val="32"/>
          <w:szCs w:val="32"/>
        </w:rPr>
        <w:t>医生用药习惯及患者需求</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要持续</w:t>
      </w:r>
      <w:r>
        <w:rPr>
          <w:rFonts w:hint="eastAsia" w:ascii="仿宋_GB2312" w:hAnsi="Times New Roman" w:eastAsia="仿宋_GB2312" w:cs="Times New Roman"/>
          <w:sz w:val="32"/>
          <w:szCs w:val="32"/>
        </w:rPr>
        <w:t>增加药品种类</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2</w:t>
      </w:r>
      <w:r>
        <w:rPr>
          <w:rFonts w:hint="eastAsia" w:ascii="仿宋_GB2312" w:cs="Times New Roman"/>
          <w:sz w:val="32"/>
          <w:szCs w:val="32"/>
          <w:lang w:val="en-US" w:eastAsia="zh-CN"/>
        </w:rPr>
        <w:t>.</w:t>
      </w:r>
      <w:r>
        <w:rPr>
          <w:rFonts w:hint="eastAsia" w:ascii="仿宋_GB2312" w:hAnsi="Times New Roman" w:eastAsia="仿宋_GB2312" w:cs="Times New Roman"/>
          <w:sz w:val="32"/>
          <w:szCs w:val="32"/>
        </w:rPr>
        <w:t>扩大</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4+7</w:t>
      </w:r>
      <w:r>
        <w:rPr>
          <w:rFonts w:hint="eastAsia" w:ascii="仿宋_GB2312" w:hAnsi="Times New Roman" w:eastAsia="仿宋_GB2312" w:cs="Times New Roman"/>
          <w:sz w:val="32"/>
          <w:szCs w:val="32"/>
          <w:lang w:eastAsia="zh-CN"/>
        </w:rPr>
        <w:t>”带量</w:t>
      </w:r>
      <w:r>
        <w:rPr>
          <w:rFonts w:hint="eastAsia" w:ascii="仿宋_GB2312" w:hAnsi="Times New Roman" w:eastAsia="仿宋_GB2312" w:cs="Times New Roman"/>
          <w:sz w:val="32"/>
          <w:szCs w:val="32"/>
        </w:rPr>
        <w:t>采购品种，降低药价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解决药品同品种价格相差悬殊问题</w:t>
      </w:r>
      <w:r>
        <w:rPr>
          <w:rFonts w:hint="eastAsia" w:ascii="仿宋_GB2312"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3</w:t>
      </w:r>
      <w:r>
        <w:rPr>
          <w:rFonts w:hint="eastAsia" w:ascii="仿宋_GB2312" w:hAnsi="Times New Roman" w:eastAsia="仿宋_GB2312" w:cs="Times New Roman"/>
          <w:sz w:val="32"/>
          <w:szCs w:val="32"/>
          <w:lang w:eastAsia="zh-CN"/>
        </w:rPr>
        <w:t>.部分基药品种与乡镇卫生院用药不匹配。目录内药品很多，但基层能用的上的药品很少。建议相关部门广泛争取基层意见，按照基层需求调整基药品种。</w:t>
      </w:r>
    </w:p>
    <w:p>
      <w:pPr>
        <w:spacing w:line="560" w:lineRule="exact"/>
        <w:ind w:firstLine="640" w:firstLineChars="200"/>
        <w:rPr>
          <w:rFonts w:hint="eastAsia" w:ascii="黑体" w:hAnsi="黑体" w:eastAsia="黑体"/>
          <w:bCs/>
          <w:sz w:val="32"/>
          <w:szCs w:val="32"/>
        </w:rPr>
      </w:pPr>
      <w:r>
        <w:rPr>
          <w:rFonts w:hint="eastAsia" w:ascii="黑体" w:hAnsi="黑体" w:eastAsia="黑体"/>
          <w:bCs/>
          <w:sz w:val="32"/>
          <w:szCs w:val="32"/>
        </w:rPr>
        <w:t>四、绩效自评结果拟应用和公开情况</w:t>
      </w:r>
    </w:p>
    <w:p>
      <w:pPr>
        <w:ind w:firstLine="640" w:firstLineChars="200"/>
        <w:rPr>
          <w:rFonts w:hint="eastAsia" w:ascii="仿宋_GB2312" w:hAnsi="Times New Roman" w:eastAsia="仿宋_GB2312" w:cs="Times New Roman"/>
          <w:color w:val="auto"/>
          <w:sz w:val="32"/>
          <w:szCs w:val="32"/>
          <w:lang w:val="en-US" w:eastAsia="zh-CN"/>
        </w:rPr>
      </w:pPr>
      <w:r>
        <w:rPr>
          <w:rFonts w:hint="eastAsia" w:ascii="仿宋_GB2312" w:hAnsi="仿宋_GB2312" w:eastAsia="仿宋_GB2312" w:cs="仿宋_GB2312"/>
          <w:sz w:val="32"/>
          <w:szCs w:val="32"/>
        </w:rPr>
        <w:t>基层医疗机构实施基本药物制度项目是依据《河北省基层医疗机构实施国家基本药物制度补助资金管理办法》对实施基本药物制度的医疗机构给予补助，村卫生室按照乡村医生服务人口数</w:t>
      </w:r>
      <w:r>
        <w:rPr>
          <w:rFonts w:hint="eastAsia" w:ascii="仿宋_GB2312" w:hAnsi="仿宋_GB2312" w:eastAsia="仿宋_GB2312" w:cs="仿宋_GB2312"/>
          <w:color w:val="000000"/>
          <w:sz w:val="32"/>
          <w:szCs w:val="32"/>
        </w:rPr>
        <w:t>量核定补助资</w:t>
      </w:r>
      <w:r>
        <w:rPr>
          <w:rFonts w:hint="eastAsia" w:ascii="仿宋_GB2312" w:hAnsi="仿宋_GB2312" w:eastAsia="仿宋_GB2312" w:cs="仿宋_GB2312"/>
          <w:sz w:val="32"/>
          <w:szCs w:val="32"/>
        </w:rPr>
        <w:t>金。通过对绩效目标分解下达情况、绩效指标完成情况分析进行自评，整体情况良好，取到了很好的社会效益，得到了服务对象较高的评价。</w:t>
      </w:r>
      <w:r>
        <w:rPr>
          <w:rFonts w:hint="eastAsia" w:ascii="仿宋_GB2312" w:hAnsi="Times New Roman" w:eastAsia="仿宋_GB2312" w:cs="Times New Roman"/>
          <w:sz w:val="32"/>
          <w:szCs w:val="32"/>
        </w:rPr>
        <w:t>我</w:t>
      </w:r>
      <w:r>
        <w:rPr>
          <w:rFonts w:hint="eastAsia" w:ascii="仿宋_GB2312" w:cs="Times New Roman"/>
          <w:sz w:val="32"/>
          <w:szCs w:val="32"/>
          <w:lang w:val="en-US" w:eastAsia="zh-CN"/>
        </w:rPr>
        <w:t>县</w:t>
      </w:r>
      <w:r>
        <w:rPr>
          <w:rFonts w:hint="eastAsia" w:ascii="仿宋_GB2312" w:hAnsi="Times New Roman" w:eastAsia="仿宋_GB2312" w:cs="Times New Roman"/>
          <w:sz w:val="32"/>
          <w:szCs w:val="32"/>
          <w:lang w:val="en-US" w:eastAsia="zh-CN"/>
        </w:rPr>
        <w:t>制定实施基本药物实施方案、绩效考核办法和资金分配制度，实行年初预拨、年终按照考核结果结算，大大提高了国家基本药</w:t>
      </w:r>
      <w:r>
        <w:rPr>
          <w:rFonts w:hint="eastAsia" w:ascii="仿宋_GB2312" w:hAnsi="Times New Roman" w:eastAsia="仿宋_GB2312" w:cs="Times New Roman"/>
          <w:color w:val="auto"/>
          <w:sz w:val="32"/>
          <w:szCs w:val="32"/>
          <w:lang w:val="en-US" w:eastAsia="zh-CN"/>
        </w:rPr>
        <w:t>物执行率和使用率。</w:t>
      </w:r>
    </w:p>
    <w:p>
      <w:pPr>
        <w:ind w:firstLine="640" w:firstLineChars="200"/>
      </w:pPr>
      <w:r>
        <w:rPr>
          <w:rFonts w:hint="eastAsia" w:ascii="仿宋" w:hAnsi="仿宋" w:eastAsia="仿宋" w:cs="仿宋"/>
          <w:color w:val="auto"/>
          <w:sz w:val="32"/>
          <w:szCs w:val="32"/>
          <w:lang w:val="en-US" w:eastAsia="zh-CN"/>
        </w:rPr>
        <w:t>基本药物制度补助资金项目绩效自评结果合格,拟在政府门户网站公开。</w:t>
      </w: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五、其他需要说明的问题</w:t>
      </w:r>
    </w:p>
    <w:p>
      <w:pPr>
        <w:tabs>
          <w:tab w:val="left" w:pos="7080"/>
        </w:tabs>
        <w:spacing w:line="560" w:lineRule="exact"/>
        <w:ind w:firstLine="640" w:firstLineChars="200"/>
        <w:outlineLvl w:val="0"/>
        <w:rPr>
          <w:rFonts w:hint="eastAsia" w:ascii="仿宋" w:hAnsi="仿宋" w:eastAsia="仿宋" w:cs="仿宋"/>
          <w:sz w:val="32"/>
          <w:szCs w:val="32"/>
        </w:rPr>
      </w:pPr>
      <w:r>
        <w:rPr>
          <w:rFonts w:hint="eastAsia" w:ascii="仿宋" w:hAnsi="仿宋" w:eastAsia="仿宋" w:cs="黑体"/>
          <w:bCs/>
          <w:sz w:val="32"/>
          <w:szCs w:val="32"/>
        </w:rPr>
        <w:t>无其他需要说明的问题</w:t>
      </w:r>
      <w:r>
        <w:rPr>
          <w:rFonts w:hint="eastAsia" w:ascii="仿宋" w:hAnsi="仿宋" w:eastAsia="仿宋" w:cs="仿宋"/>
          <w:sz w:val="32"/>
          <w:szCs w:val="32"/>
        </w:rPr>
        <w:t>。</w:t>
      </w:r>
    </w:p>
    <w:p>
      <w:pPr>
        <w:tabs>
          <w:tab w:val="left" w:pos="7080"/>
        </w:tabs>
        <w:spacing w:line="560" w:lineRule="exact"/>
        <w:ind w:firstLine="640" w:firstLineChars="200"/>
        <w:outlineLvl w:val="0"/>
        <w:rPr>
          <w:rFonts w:ascii="黑体" w:hAnsi="黑体" w:eastAsia="黑体"/>
          <w:bCs/>
          <w:sz w:val="32"/>
          <w:szCs w:val="32"/>
        </w:rPr>
      </w:pPr>
      <w:r>
        <w:rPr>
          <w:rFonts w:hint="eastAsia" w:ascii="黑体" w:hAnsi="黑体" w:eastAsia="黑体"/>
          <w:bCs/>
          <w:sz w:val="32"/>
          <w:szCs w:val="32"/>
        </w:rPr>
        <w:t>六、附件</w:t>
      </w:r>
    </w:p>
    <w:p>
      <w:pPr>
        <w:tabs>
          <w:tab w:val="left" w:pos="7080"/>
        </w:tabs>
        <w:spacing w:line="560" w:lineRule="exact"/>
        <w:ind w:firstLine="640" w:firstLineChars="200"/>
        <w:outlineLvl w:val="0"/>
        <w:rPr>
          <w:rFonts w:ascii="仿宋_GB2312"/>
          <w:sz w:val="32"/>
          <w:szCs w:val="32"/>
        </w:rPr>
      </w:pPr>
      <w:r>
        <w:rPr>
          <w:rFonts w:hint="eastAsia" w:ascii="仿宋_GB2312"/>
          <w:sz w:val="32"/>
          <w:szCs w:val="32"/>
        </w:rPr>
        <w:t>转移支付区域（</w:t>
      </w:r>
      <w:r>
        <w:rPr>
          <w:rFonts w:hint="eastAsia" w:ascii="仿宋" w:hAnsi="仿宋" w:eastAsia="仿宋" w:cs="仿宋"/>
          <w:sz w:val="32"/>
          <w:szCs w:val="32"/>
          <w:lang w:val="en-US" w:eastAsia="zh-CN"/>
        </w:rPr>
        <w:t>基本药物制度补助资金</w:t>
      </w:r>
      <w:r>
        <w:rPr>
          <w:rFonts w:hint="eastAsia" w:ascii="仿宋_GB2312"/>
          <w:sz w:val="32"/>
          <w:szCs w:val="32"/>
        </w:rPr>
        <w:t>）绩效目标自评表</w:t>
      </w:r>
    </w:p>
    <w:sectPr>
      <w:footerReference r:id="rId3" w:type="default"/>
      <w:pgSz w:w="11906" w:h="16838"/>
      <w:pgMar w:top="2098" w:right="1418" w:bottom="170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B6045E"/>
    <w:multiLevelType w:val="singleLevel"/>
    <w:tmpl w:val="92B6045E"/>
    <w:lvl w:ilvl="0" w:tentative="0">
      <w:start w:val="3"/>
      <w:numFmt w:val="decimal"/>
      <w:suff w:val="nothing"/>
      <w:lvlText w:val="%1、"/>
      <w:lvlJc w:val="left"/>
      <w:rPr>
        <w:rFonts w:cs="Times New Roman"/>
      </w:rPr>
    </w:lvl>
  </w:abstractNum>
  <w:abstractNum w:abstractNumId="1">
    <w:nsid w:val="D2E52E37"/>
    <w:multiLevelType w:val="singleLevel"/>
    <w:tmpl w:val="D2E52E37"/>
    <w:lvl w:ilvl="0" w:tentative="0">
      <w:start w:val="2"/>
      <w:numFmt w:val="chineseCounting"/>
      <w:suff w:val="nothing"/>
      <w:lvlText w:val="（%1）"/>
      <w:lvlJc w:val="left"/>
      <w:rPr>
        <w:rFonts w:hint="eastAsia"/>
      </w:rPr>
    </w:lvl>
  </w:abstractNum>
  <w:abstractNum w:abstractNumId="2">
    <w:nsid w:val="4DFC972B"/>
    <w:multiLevelType w:val="singleLevel"/>
    <w:tmpl w:val="4DFC972B"/>
    <w:lvl w:ilvl="0" w:tentative="0">
      <w:start w:val="3"/>
      <w:numFmt w:val="decimal"/>
      <w:suff w:val="nothing"/>
      <w:lvlText w:val="%1、"/>
      <w:lvlJc w:val="left"/>
      <w:pPr>
        <w:ind w:left="320" w:leftChars="0" w:firstLine="0" w:firstLineChars="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50"/>
  <w:drawingGridVerticalSpacing w:val="58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57F82"/>
    <w:rsid w:val="000101E1"/>
    <w:rsid w:val="000732DA"/>
    <w:rsid w:val="00075CDC"/>
    <w:rsid w:val="000B1E8F"/>
    <w:rsid w:val="000B6964"/>
    <w:rsid w:val="00103D16"/>
    <w:rsid w:val="00111638"/>
    <w:rsid w:val="00111928"/>
    <w:rsid w:val="0012041C"/>
    <w:rsid w:val="00164D84"/>
    <w:rsid w:val="00173016"/>
    <w:rsid w:val="0017509C"/>
    <w:rsid w:val="001808CA"/>
    <w:rsid w:val="00181389"/>
    <w:rsid w:val="001A4E46"/>
    <w:rsid w:val="001D165D"/>
    <w:rsid w:val="001E03FE"/>
    <w:rsid w:val="002123E8"/>
    <w:rsid w:val="00250053"/>
    <w:rsid w:val="0029569C"/>
    <w:rsid w:val="002A5FA7"/>
    <w:rsid w:val="002B3EEF"/>
    <w:rsid w:val="002B54E4"/>
    <w:rsid w:val="002E5562"/>
    <w:rsid w:val="002F6705"/>
    <w:rsid w:val="00301FC0"/>
    <w:rsid w:val="00336A16"/>
    <w:rsid w:val="003663A3"/>
    <w:rsid w:val="00387DD5"/>
    <w:rsid w:val="003B0980"/>
    <w:rsid w:val="003C6374"/>
    <w:rsid w:val="003D2CB9"/>
    <w:rsid w:val="00411C17"/>
    <w:rsid w:val="00413F12"/>
    <w:rsid w:val="00493012"/>
    <w:rsid w:val="004D2137"/>
    <w:rsid w:val="004F14FB"/>
    <w:rsid w:val="004F2BEF"/>
    <w:rsid w:val="00563A06"/>
    <w:rsid w:val="005D1514"/>
    <w:rsid w:val="005D7CC3"/>
    <w:rsid w:val="006218A1"/>
    <w:rsid w:val="00682A10"/>
    <w:rsid w:val="006A30E4"/>
    <w:rsid w:val="006A74BF"/>
    <w:rsid w:val="006C1CEE"/>
    <w:rsid w:val="006D5A86"/>
    <w:rsid w:val="00707C2E"/>
    <w:rsid w:val="0072054B"/>
    <w:rsid w:val="00722A7D"/>
    <w:rsid w:val="00724A6B"/>
    <w:rsid w:val="0073331B"/>
    <w:rsid w:val="00733C2D"/>
    <w:rsid w:val="00756C7F"/>
    <w:rsid w:val="007D7E6E"/>
    <w:rsid w:val="007F1424"/>
    <w:rsid w:val="00850797"/>
    <w:rsid w:val="00853FC4"/>
    <w:rsid w:val="0086265C"/>
    <w:rsid w:val="008720F1"/>
    <w:rsid w:val="00882EFA"/>
    <w:rsid w:val="008B2F56"/>
    <w:rsid w:val="008F0996"/>
    <w:rsid w:val="00903791"/>
    <w:rsid w:val="00953C2A"/>
    <w:rsid w:val="009600BD"/>
    <w:rsid w:val="00961C83"/>
    <w:rsid w:val="009922BC"/>
    <w:rsid w:val="009E0D8C"/>
    <w:rsid w:val="00A02AF3"/>
    <w:rsid w:val="00A25077"/>
    <w:rsid w:val="00A610CC"/>
    <w:rsid w:val="00A8737E"/>
    <w:rsid w:val="00AA19AF"/>
    <w:rsid w:val="00B24A9A"/>
    <w:rsid w:val="00BC6882"/>
    <w:rsid w:val="00BD3FE0"/>
    <w:rsid w:val="00BE58CF"/>
    <w:rsid w:val="00C61086"/>
    <w:rsid w:val="00C75346"/>
    <w:rsid w:val="00CA5578"/>
    <w:rsid w:val="00CA7DAA"/>
    <w:rsid w:val="00D04826"/>
    <w:rsid w:val="00D63908"/>
    <w:rsid w:val="00D8718A"/>
    <w:rsid w:val="00D93453"/>
    <w:rsid w:val="00DA0091"/>
    <w:rsid w:val="00DB5248"/>
    <w:rsid w:val="00DC524D"/>
    <w:rsid w:val="00E071D6"/>
    <w:rsid w:val="00E50520"/>
    <w:rsid w:val="00EA1995"/>
    <w:rsid w:val="00ED3E0F"/>
    <w:rsid w:val="00F015E4"/>
    <w:rsid w:val="00F57F82"/>
    <w:rsid w:val="00F75224"/>
    <w:rsid w:val="00F91EAE"/>
    <w:rsid w:val="00FA086C"/>
    <w:rsid w:val="00FA2093"/>
    <w:rsid w:val="00FA357A"/>
    <w:rsid w:val="037D0BC8"/>
    <w:rsid w:val="0845082D"/>
    <w:rsid w:val="09E965F2"/>
    <w:rsid w:val="139840D3"/>
    <w:rsid w:val="14262241"/>
    <w:rsid w:val="143E091F"/>
    <w:rsid w:val="14865FC8"/>
    <w:rsid w:val="150C2DB0"/>
    <w:rsid w:val="1C845BDA"/>
    <w:rsid w:val="1E761F05"/>
    <w:rsid w:val="1FC7205C"/>
    <w:rsid w:val="228B3D05"/>
    <w:rsid w:val="23260274"/>
    <w:rsid w:val="284E74F8"/>
    <w:rsid w:val="2ADB48E8"/>
    <w:rsid w:val="323A1302"/>
    <w:rsid w:val="36687282"/>
    <w:rsid w:val="38EF7AD8"/>
    <w:rsid w:val="3E1672E6"/>
    <w:rsid w:val="415F08D8"/>
    <w:rsid w:val="44E2230F"/>
    <w:rsid w:val="48B51347"/>
    <w:rsid w:val="491B45FA"/>
    <w:rsid w:val="4A55216A"/>
    <w:rsid w:val="4FE0696A"/>
    <w:rsid w:val="50004F5F"/>
    <w:rsid w:val="55673508"/>
    <w:rsid w:val="59595A6F"/>
    <w:rsid w:val="599330CA"/>
    <w:rsid w:val="60D5009F"/>
    <w:rsid w:val="610A7C14"/>
    <w:rsid w:val="64AC2E11"/>
    <w:rsid w:val="660721C9"/>
    <w:rsid w:val="661E6C75"/>
    <w:rsid w:val="67F75FF5"/>
    <w:rsid w:val="681D4831"/>
    <w:rsid w:val="692E4B19"/>
    <w:rsid w:val="69513EF7"/>
    <w:rsid w:val="6BF3256F"/>
    <w:rsid w:val="6CE7018A"/>
    <w:rsid w:val="6E03700A"/>
    <w:rsid w:val="6E3E3F2D"/>
    <w:rsid w:val="715B2F02"/>
    <w:rsid w:val="76A548F2"/>
    <w:rsid w:val="7765772E"/>
    <w:rsid w:val="77867685"/>
    <w:rsid w:val="781F36B6"/>
    <w:rsid w:val="790627AD"/>
    <w:rsid w:val="7ADC59FA"/>
    <w:rsid w:val="7DDD79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5">
    <w:name w:val="heading 3"/>
    <w:basedOn w:val="1"/>
    <w:next w:val="1"/>
    <w:qFormat/>
    <w:uiPriority w:val="99"/>
    <w:pPr>
      <w:spacing w:beforeAutospacing="1" w:afterAutospacing="1"/>
      <w:jc w:val="left"/>
      <w:outlineLvl w:val="2"/>
    </w:pPr>
    <w:rPr>
      <w:rFonts w:ascii="宋体" w:hAnsi="宋体"/>
      <w:b/>
      <w:kern w:val="0"/>
      <w:sz w:val="27"/>
      <w:szCs w:val="27"/>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header"/>
    <w:basedOn w:val="1"/>
    <w:next w:val="4"/>
    <w:link w:val="14"/>
    <w:qFormat/>
    <w:uiPriority w:val="0"/>
    <w:pPr>
      <w:pBdr>
        <w:bottom w:val="single" w:color="auto" w:sz="6" w:space="1"/>
      </w:pBdr>
      <w:tabs>
        <w:tab w:val="center" w:pos="4153"/>
        <w:tab w:val="right" w:pos="8306"/>
      </w:tabs>
      <w:snapToGrid w:val="0"/>
      <w:jc w:val="center"/>
    </w:pPr>
    <w:rPr>
      <w:sz w:val="18"/>
      <w:szCs w:val="18"/>
    </w:rPr>
  </w:style>
  <w:style w:type="paragraph" w:customStyle="1" w:styleId="4">
    <w:name w:val="引用1"/>
    <w:basedOn w:val="1"/>
    <w:next w:val="1"/>
    <w:qFormat/>
    <w:uiPriority w:val="0"/>
    <w:pPr>
      <w:ind w:left="864" w:right="864"/>
      <w:jc w:val="center"/>
    </w:pPr>
    <w:rPr>
      <w:i/>
      <w:iCs/>
      <w:color w:val="000000"/>
    </w:rPr>
  </w:style>
  <w:style w:type="paragraph" w:styleId="7">
    <w:name w:val="Balloon Text"/>
    <w:basedOn w:val="1"/>
    <w:link w:val="15"/>
    <w:qFormat/>
    <w:uiPriority w:val="0"/>
    <w:rPr>
      <w:sz w:val="18"/>
      <w:szCs w:val="18"/>
    </w:rPr>
  </w:style>
  <w:style w:type="paragraph" w:styleId="8">
    <w:name w:val="footer"/>
    <w:basedOn w:val="1"/>
    <w:link w:val="13"/>
    <w:qFormat/>
    <w:uiPriority w:val="99"/>
    <w:pPr>
      <w:tabs>
        <w:tab w:val="center" w:pos="4153"/>
        <w:tab w:val="right" w:pos="8306"/>
      </w:tabs>
      <w:snapToGrid w:val="0"/>
      <w:jc w:val="left"/>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customStyle="1" w:styleId="13">
    <w:name w:val="页脚 Char"/>
    <w:basedOn w:val="11"/>
    <w:link w:val="8"/>
    <w:qFormat/>
    <w:uiPriority w:val="99"/>
    <w:rPr>
      <w:rFonts w:eastAsia="仿宋_GB2312"/>
      <w:kern w:val="2"/>
      <w:sz w:val="18"/>
      <w:szCs w:val="18"/>
    </w:rPr>
  </w:style>
  <w:style w:type="character" w:customStyle="1" w:styleId="14">
    <w:name w:val="页眉 Char"/>
    <w:basedOn w:val="11"/>
    <w:link w:val="3"/>
    <w:qFormat/>
    <w:uiPriority w:val="0"/>
    <w:rPr>
      <w:rFonts w:eastAsia="仿宋_GB2312"/>
      <w:kern w:val="2"/>
      <w:sz w:val="18"/>
      <w:szCs w:val="18"/>
    </w:rPr>
  </w:style>
  <w:style w:type="character" w:customStyle="1" w:styleId="15">
    <w:name w:val="批注框文本 Char"/>
    <w:basedOn w:val="11"/>
    <w:link w:val="7"/>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3D6536-7B06-45E0-9FC1-69CC27D541A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64</Words>
  <Characters>365</Characters>
  <Lines>3</Lines>
  <Paragraphs>1</Paragraphs>
  <TotalTime>10</TotalTime>
  <ScaleCrop>false</ScaleCrop>
  <LinksUpToDate>false</LinksUpToDate>
  <CharactersWithSpaces>428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2019-02-12T06:26:00Z</dcterms:created>
  <dc:creator>lhn</dc:creator>
  <cp:lastModifiedBy>嗯</cp:lastModifiedBy>
  <cp:lastPrinted>2020-02-28T05:55:00Z</cp:lastPrinted>
  <dcterms:modified xsi:type="dcterms:W3CDTF">2025-06-25T03:26:41Z</dcterms:modified>
  <dc:title>财政支出绩效评价报告</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