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eastAsia="方正黑体_GBK"/>
          <w:bCs/>
          <w:sz w:val="32"/>
          <w:szCs w:val="32"/>
        </w:rPr>
      </w:pPr>
      <w:r>
        <w:rPr>
          <w:rFonts w:ascii="黑体" w:eastAsia="黑体" w:hAnsi="黑体"/>
          <w:bCs/>
          <w:sz w:val="32"/>
          <w:szCs w:val="32"/>
        </w:rPr>
        <w:t>附件</w:t>
      </w:r>
      <w:r>
        <w:rPr>
          <w:rFonts w:eastAsia="方正黑体_GBK"/>
          <w:bCs/>
          <w:sz w:val="32"/>
          <w:szCs w:val="32"/>
        </w:rPr>
        <w:t>3</w:t>
      </w:r>
    </w:p>
    <w:p>
      <w:pPr>
        <w:spacing w:line="580" w:lineRule="exact"/>
        <w:jc w:val="center"/>
        <w:rPr>
          <w:rFonts w:ascii="方正小标宋_GBK" w:eastAsia="方正小标宋_GBK" w:cs="Arial" w:hAnsi="Arial" w:hint="eastAsia"/>
          <w:sz w:val="36"/>
          <w:szCs w:val="36"/>
          <w:lang w:val="en-US" w:eastAsia="zh-CN"/>
          <w:highlight w:val="none"/>
        </w:rPr>
      </w:pPr>
      <w:r>
        <w:rPr>
          <w:rFonts w:ascii="方正小标宋_GBK" w:eastAsia="方正小标宋_GBK" w:cs="Arial" w:hAnsi="Arial" w:hint="eastAsia"/>
          <w:sz w:val="36"/>
          <w:szCs w:val="36"/>
          <w:lang w:val="en-US" w:eastAsia="zh-CN"/>
          <w:highlight w:val="none"/>
        </w:rPr>
        <w:t>昌黎县卫生健康局基本公共卫生服务补助资金</w:t>
      </w:r>
    </w:p>
    <w:p>
      <w:pPr>
        <w:spacing w:line="580" w:lineRule="exact"/>
        <w:jc w:val="center"/>
        <w:rPr>
          <w:rFonts w:ascii="方正小标宋_GBK" w:eastAsia="方正小标宋_GBK" w:cs="宋体" w:hAnsi="宋体"/>
          <w:sz w:val="36"/>
          <w:szCs w:val="36"/>
          <w:highlight w:val="none"/>
        </w:rPr>
      </w:pPr>
      <w:r>
        <w:rPr>
          <w:rFonts w:ascii="方正小标宋_GBK" w:eastAsia="方正小标宋_GBK" w:cs="宋体" w:hAnsi="宋体" w:hint="eastAsia"/>
          <w:sz w:val="36"/>
          <w:szCs w:val="36"/>
          <w:highlight w:val="none"/>
        </w:rPr>
        <w:t>转移支付</w:t>
      </w:r>
      <w:r>
        <w:rPr>
          <w:rFonts w:ascii="方正小标宋_GBK" w:eastAsia="方正小标宋_GBK" w:cs="Arial" w:hAnsi="Arial" w:hint="eastAsia"/>
          <w:sz w:val="36"/>
          <w:szCs w:val="36"/>
          <w:highlight w:val="none"/>
        </w:rPr>
        <w:t>2024</w:t>
      </w:r>
      <w:r>
        <w:rPr>
          <w:rFonts w:ascii="方正小标宋_GBK" w:eastAsia="方正小标宋_GBK" w:cs="宋体" w:hAnsi="宋体" w:hint="eastAsia"/>
          <w:sz w:val="36"/>
          <w:szCs w:val="36"/>
          <w:highlight w:val="none"/>
        </w:rPr>
        <w:t>年度绩效自评报告</w:t>
      </w:r>
    </w:p>
    <w:p>
      <w:pPr>
        <w:spacing w:line="580" w:lineRule="exact"/>
        <w:jc w:val="center"/>
        <w:rPr>
          <w:rFonts w:ascii="仿宋_GB2312" w:hAnsi="华文中宋" w:hint="eastAsia"/>
          <w:bCs/>
          <w:sz w:val="32"/>
          <w:szCs w:val="32"/>
          <w:highlight w:val="none"/>
        </w:rPr>
      </w:pPr>
    </w:p>
    <w:p>
      <w:pPr>
        <w:spacing w:line="560" w:lineRule="exact"/>
        <w:ind w:firstLineChars="200" w:firstLine="640"/>
        <w:rPr>
          <w:rFonts w:ascii="黑体" w:eastAsia="黑体" w:hAnsi="黑体"/>
          <w:bCs/>
          <w:sz w:val="32"/>
          <w:szCs w:val="32"/>
          <w:highlight w:val="none"/>
        </w:rPr>
      </w:pPr>
      <w:r>
        <w:rPr>
          <w:rFonts w:ascii="黑体" w:eastAsia="黑体" w:hAnsi="黑体" w:hint="eastAsia"/>
          <w:bCs/>
          <w:sz w:val="32"/>
          <w:szCs w:val="32"/>
          <w:highlight w:val="none"/>
        </w:rPr>
        <w:t>一、绩效目标分解下达情况</w:t>
      </w:r>
    </w:p>
    <w:p>
      <w:pPr>
        <w:tabs>
          <w:tab w:val="left" w:pos="7080"/>
        </w:tabs>
        <w:spacing w:line="560" w:lineRule="exact"/>
        <w:ind w:firstLineChars="200" w:firstLine="640"/>
        <w:outlineLvl w:val="0"/>
        <w:rPr>
          <w:rFonts w:ascii="仿宋" w:eastAsia="仿宋" w:cs="仿宋" w:hAnsi="仿宋"/>
          <w:sz w:val="32"/>
          <w:szCs w:val="32"/>
          <w:lang w:val="en-US" w:eastAsia="zh-CN"/>
          <w:highlight w:val="none"/>
        </w:rPr>
      </w:pPr>
      <w:r>
        <w:rPr>
          <w:rFonts w:ascii="仿宋" w:eastAsia="仿宋" w:cs="仿宋" w:hAnsi="仿宋" w:hint="eastAsia"/>
          <w:sz w:val="32"/>
          <w:szCs w:val="32"/>
          <w:lang w:val="en-US" w:eastAsia="zh-CN"/>
          <w:highlight w:val="none"/>
        </w:rPr>
        <w:t>基本公共卫生服务补助资金转移支付预算资金4730.562万元</w:t>
      </w:r>
    </w:p>
    <w:p>
      <w:pPr>
        <w:ind w:firstLineChars="200" w:firstLine="640"/>
        <w:rPr>
          <w:rFonts w:ascii="仿宋" w:eastAsia="仿宋" w:cs="仿宋" w:hAnsi="仿宋" w:hint="eastAsia"/>
          <w:b/>
          <w:bCs/>
          <w:sz w:val="32"/>
          <w:szCs w:val="32"/>
          <w:lang w:eastAsia="zh-CN"/>
          <w:highlight w:val="none"/>
        </w:rPr>
      </w:pPr>
      <w:r>
        <w:rPr>
          <w:rFonts w:ascii="仿宋" w:eastAsia="仿宋" w:cs="仿宋" w:hAnsi="仿宋" w:hint="eastAsia"/>
          <w:b/>
          <w:bCs/>
          <w:sz w:val="32"/>
          <w:szCs w:val="32"/>
          <w:highlight w:val="none"/>
        </w:rPr>
        <w:t>资金</w:t>
      </w:r>
      <w:r>
        <w:rPr>
          <w:rFonts w:ascii="仿宋" w:eastAsia="仿宋" w:cs="仿宋" w:hAnsi="仿宋" w:hint="eastAsia"/>
          <w:b/>
          <w:bCs/>
          <w:sz w:val="32"/>
          <w:szCs w:val="32"/>
          <w:lang w:val="en-US" w:eastAsia="zh-CN"/>
          <w:highlight w:val="none"/>
        </w:rPr>
        <w:t>下达情况</w:t>
      </w:r>
      <w:r>
        <w:rPr>
          <w:rFonts w:ascii="仿宋" w:eastAsia="仿宋" w:cs="仿宋" w:hAnsi="仿宋" w:hint="eastAsia"/>
          <w:b/>
          <w:bCs/>
          <w:sz w:val="32"/>
          <w:szCs w:val="32"/>
          <w:lang w:eastAsia="zh-CN"/>
          <w:highlight w:val="none"/>
        </w:rPr>
        <w:t>：</w:t>
      </w:r>
    </w:p>
    <w:p>
      <w:pPr>
        <w:ind w:firstLineChars="200" w:firstLine="640"/>
        <w:rPr>
          <w:rFonts w:ascii="仿宋" w:eastAsia="仿宋" w:cs="仿宋" w:hAnsi="仿宋" w:hint="eastAsia"/>
          <w:sz w:val="32"/>
          <w:szCs w:val="32"/>
          <w:lang w:val="en-US" w:eastAsia="zh-CN"/>
          <w:highlight w:val="none"/>
        </w:rPr>
      </w:pPr>
      <w:r>
        <w:rPr>
          <w:rFonts w:ascii="仿宋" w:eastAsia="仿宋" w:cs="仿宋" w:hAnsi="仿宋" w:hint="eastAsia"/>
          <w:sz w:val="32"/>
          <w:szCs w:val="32"/>
          <w:lang w:eastAsia="zh-CN"/>
          <w:highlight w:val="none"/>
        </w:rPr>
        <w:t>冀财社【2023】241号关于提前下达2024年省级公共卫生服务补助资金</w:t>
      </w:r>
      <w:r>
        <w:rPr>
          <w:rFonts w:ascii="仿宋" w:eastAsia="仿宋" w:cs="仿宋" w:hAnsi="仿宋" w:hint="eastAsia"/>
          <w:sz w:val="32"/>
          <w:szCs w:val="32"/>
          <w:lang w:val="en-US" w:eastAsia="zh-CN"/>
          <w:highlight w:val="none"/>
        </w:rPr>
        <w:t>预算的通知</w:t>
      </w:r>
      <w:r>
        <w:rPr>
          <w:rFonts w:ascii="仿宋" w:eastAsia="仿宋" w:cs="仿宋" w:hAnsi="仿宋" w:hint="eastAsia"/>
          <w:sz w:val="32"/>
          <w:szCs w:val="32"/>
          <w:lang w:eastAsia="zh-CN"/>
          <w:highlight w:val="none"/>
        </w:rPr>
        <w:t>，</w:t>
      </w:r>
      <w:r>
        <w:rPr>
          <w:rFonts w:ascii="仿宋" w:eastAsia="仿宋" w:cs="仿宋" w:hAnsi="仿宋" w:hint="eastAsia"/>
          <w:sz w:val="32"/>
          <w:szCs w:val="32"/>
          <w:lang w:val="en-US" w:eastAsia="zh-CN"/>
          <w:highlight w:val="none"/>
        </w:rPr>
        <w:t>下达资金1100.16万元，实际支出1088.98万元。</w:t>
      </w:r>
    </w:p>
    <w:p>
      <w:pPr>
        <w:ind w:firstLineChars="200" w:firstLine="640"/>
        <w:rPr>
          <w:rFonts w:ascii="仿宋" w:eastAsia="仿宋" w:cs="仿宋" w:hAnsi="仿宋" w:hint="eastAsia"/>
          <w:sz w:val="32"/>
          <w:szCs w:val="32"/>
          <w:lang w:val="en-US" w:eastAsia="zh-CN"/>
          <w:highlight w:val="none"/>
        </w:rPr>
      </w:pPr>
      <w:r>
        <w:rPr>
          <w:rFonts w:ascii="仿宋" w:eastAsia="仿宋" w:cs="仿宋" w:hAnsi="仿宋" w:hint="eastAsia"/>
          <w:sz w:val="32"/>
          <w:szCs w:val="32"/>
          <w:lang w:val="en-US" w:eastAsia="zh-CN"/>
          <w:highlight w:val="none"/>
        </w:rPr>
        <w:t>冀财社【2023】243号关于提前下达2024年中央基本公共卫生服务补助资金预算的通知，下达资金2351.76万元，实际支出2351.76万元。</w:t>
      </w:r>
    </w:p>
    <w:p>
      <w:pPr>
        <w:ind w:firstLineChars="200" w:firstLine="640"/>
        <w:rPr>
          <w:rFonts w:ascii="仿宋" w:eastAsia="仿宋" w:cs="仿宋" w:hAnsi="仿宋" w:hint="eastAsia"/>
          <w:sz w:val="32"/>
          <w:szCs w:val="32"/>
          <w:lang w:val="en-US" w:eastAsia="zh-CN"/>
          <w:highlight w:val="none"/>
        </w:rPr>
      </w:pPr>
      <w:r>
        <w:rPr>
          <w:rFonts w:ascii="仿宋" w:eastAsia="仿宋" w:cs="仿宋" w:hAnsi="仿宋" w:hint="eastAsia"/>
          <w:sz w:val="32"/>
          <w:szCs w:val="32"/>
          <w:highlight w:val="none"/>
        </w:rPr>
        <w:t>冀财社【2024】57号关于下达2024年中央基本公共卫生服务补助资金预算指标的通知</w:t>
      </w:r>
      <w:r>
        <w:rPr>
          <w:rFonts w:ascii="仿宋" w:eastAsia="仿宋" w:cs="仿宋" w:hAnsi="仿宋" w:hint="eastAsia"/>
          <w:sz w:val="32"/>
          <w:szCs w:val="32"/>
          <w:lang w:eastAsia="zh-CN"/>
          <w:highlight w:val="none"/>
        </w:rPr>
        <w:t>，</w:t>
      </w:r>
      <w:r>
        <w:rPr>
          <w:rFonts w:ascii="仿宋" w:eastAsia="仿宋" w:cs="仿宋" w:hAnsi="仿宋" w:hint="eastAsia"/>
          <w:sz w:val="32"/>
          <w:szCs w:val="32"/>
          <w:lang w:val="en-US" w:eastAsia="zh-CN"/>
          <w:highlight w:val="none"/>
        </w:rPr>
        <w:t>下达资金343.53万元，实际支出343.53万元。</w:t>
      </w:r>
    </w:p>
    <w:p>
      <w:pPr>
        <w:ind w:firstLineChars="200" w:firstLine="640"/>
        <w:rPr>
          <w:rFonts w:ascii="仿宋" w:eastAsia="仿宋" w:cs="仿宋" w:hAnsi="仿宋" w:hint="eastAsia"/>
          <w:sz w:val="32"/>
          <w:szCs w:val="32"/>
          <w:lang w:val="en-US" w:eastAsia="zh-CN"/>
          <w:highlight w:val="none"/>
        </w:rPr>
      </w:pPr>
      <w:r>
        <w:rPr>
          <w:rFonts w:ascii="仿宋" w:eastAsia="仿宋" w:cs="仿宋" w:hAnsi="仿宋" w:hint="eastAsia"/>
          <w:sz w:val="32"/>
          <w:szCs w:val="32"/>
          <w:lang w:val="en-US" w:eastAsia="zh-CN"/>
          <w:highlight w:val="none"/>
        </w:rPr>
        <w:t>基本公共卫生服务县级配套资金下达935.112万元，实际支出935.112万元。</w:t>
      </w:r>
    </w:p>
    <w:p>
      <w:pPr>
        <w:tabs>
          <w:tab w:val="left" w:pos="7080"/>
        </w:tabs>
        <w:ind w:firstLineChars="200" w:firstLine="640"/>
        <w:outlineLvl w:val="0"/>
        <w:rPr>
          <w:rFonts w:ascii="仿宋" w:eastAsia="仿宋" w:cs="仿宋" w:hAnsi="仿宋" w:hint="eastAsia"/>
          <w:b/>
          <w:bCs/>
          <w:color w:val="auto"/>
          <w:sz w:val="32"/>
          <w:szCs w:val="32"/>
          <w:lang w:eastAsia="zh-CN"/>
        </w:rPr>
      </w:pPr>
      <w:r>
        <w:rPr>
          <w:rFonts w:ascii="仿宋" w:eastAsia="仿宋" w:cs="仿宋" w:hAnsi="仿宋" w:hint="eastAsia"/>
          <w:b/>
          <w:bCs/>
          <w:color w:val="auto"/>
          <w:sz w:val="32"/>
          <w:szCs w:val="32"/>
        </w:rPr>
        <w:t>绩效目标情况</w:t>
      </w:r>
      <w:r>
        <w:rPr>
          <w:rFonts w:ascii="仿宋" w:eastAsia="仿宋" w:cs="仿宋" w:hAnsi="仿宋" w:hint="eastAsia"/>
          <w:b/>
          <w:bCs/>
          <w:color w:val="auto"/>
          <w:sz w:val="32"/>
          <w:szCs w:val="32"/>
          <w:lang w:eastAsia="zh-CN"/>
        </w:rPr>
        <w:t>：</w:t>
      </w:r>
    </w:p>
    <w:p>
      <w:pPr>
        <w:tabs>
          <w:tab w:val="left" w:pos="7080"/>
        </w:tabs>
        <w:ind w:firstLineChars="200" w:firstLine="640"/>
        <w:outlineLvl w:val="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免费向居民提供基本公共卫生服务，促进居民健康水平提高。</w:t>
      </w:r>
    </w:p>
    <w:p>
      <w:pPr>
        <w:tabs>
          <w:tab w:val="left" w:pos="7080"/>
        </w:tabs>
        <w:ind w:firstLineChars="200" w:firstLine="640"/>
        <w:outlineLvl w:val="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对城乡居民健康实施干预，减少危害健康的因素。</w:t>
      </w:r>
    </w:p>
    <w:p>
      <w:pPr>
        <w:tabs>
          <w:tab w:val="left" w:pos="7080"/>
        </w:tabs>
        <w:ind w:firstLineChars="200" w:firstLine="640"/>
        <w:outlineLvl w:val="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预防控制传染病及慢性病的发生和流行。</w:t>
      </w:r>
    </w:p>
    <w:p>
      <w:pPr>
        <w:tabs>
          <w:tab w:val="left" w:pos="7080"/>
        </w:tabs>
        <w:ind w:firstLineChars="200" w:firstLine="640"/>
        <w:outlineLvl w:val="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支持医疗机构向老年人、</w:t>
      </w:r>
      <w:r>
        <w:rPr>
          <w:rFonts w:ascii="仿宋" w:eastAsia="仿宋" w:hAnsi="仿宋"/>
          <w:sz w:val="32"/>
          <w:szCs w:val="32"/>
        </w:rPr>
        <w:t>0-36</w:t>
      </w:r>
      <w:r>
        <w:rPr>
          <w:rFonts w:ascii="仿宋" w:eastAsia="仿宋" w:hAnsi="仿宋" w:hint="eastAsia"/>
          <w:sz w:val="32"/>
          <w:szCs w:val="32"/>
        </w:rPr>
        <w:t>个月的儿童提供中医健康指导。</w:t>
      </w:r>
    </w:p>
    <w:p>
      <w:pPr>
        <w:tabs>
          <w:tab w:val="left" w:pos="7080"/>
        </w:tabs>
        <w:ind w:firstLineChars="200" w:firstLine="640"/>
        <w:outlineLvl w:val="0"/>
        <w:rPr>
          <w:rFonts w:ascii="仿宋" w:eastAsia="仿宋" w:cs="仿宋" w:hAnsi="仿宋" w:hint="eastAsia"/>
          <w:sz w:val="32"/>
          <w:szCs w:val="32"/>
          <w:lang w:val="en-US" w:eastAsia="zh-CN"/>
        </w:rPr>
      </w:pPr>
      <w:r>
        <w:rPr>
          <w:rFonts w:ascii="仿宋" w:eastAsia="仿宋" w:hAnsi="仿宋"/>
          <w:sz w:val="32"/>
          <w:szCs w:val="32"/>
        </w:rPr>
        <w:t>5.</w:t>
      </w:r>
      <w:r>
        <w:rPr>
          <w:rFonts w:ascii="仿宋" w:eastAsia="仿宋" w:hAnsi="仿宋" w:hint="eastAsia"/>
          <w:sz w:val="32"/>
          <w:szCs w:val="32"/>
        </w:rPr>
        <w:t>开展对重点疾病及危害因素监测，有效控制疾病流行，为制定相关政策提供科学依据，助理国家脱贫攻坚，保持重点地方病防治措施全面落实。开展职业病监测，最大限度地保护放射工作人员、患者和公众的健康权益。同时推进妇幼卫生、健康素养促进、医养结合和老年健康服务、卫生应急、计划生育等方面工作。</w:t>
      </w:r>
    </w:p>
    <w:p>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二、绩效情况分析</w:t>
      </w:r>
    </w:p>
    <w:p>
      <w:pPr>
        <w:spacing w:line="560" w:lineRule="exact"/>
        <w:ind w:firstLineChars="200" w:firstLine="640"/>
        <w:outlineLvl w:val="0"/>
        <w:rPr>
          <w:rFonts w:ascii="楷体_GB2312" w:eastAsia="楷体_GB2312" w:cs="楷体_GB2312" w:hAnsi="楷体_GB2312" w:hint="eastAsia"/>
          <w:b/>
          <w:bCs/>
          <w:sz w:val="32"/>
          <w:szCs w:val="32"/>
        </w:rPr>
      </w:pPr>
      <w:r>
        <w:rPr>
          <w:rFonts w:ascii="楷体_GB2312" w:eastAsia="楷体_GB2312" w:cs="楷体_GB2312" w:hAnsi="楷体_GB2312" w:hint="eastAsia"/>
          <w:b/>
          <w:bCs/>
          <w:sz w:val="32"/>
          <w:szCs w:val="32"/>
        </w:rPr>
        <w:t>（一）资金投入情况分析。</w:t>
      </w:r>
    </w:p>
    <w:p>
      <w:pPr>
        <w:spacing w:line="560" w:lineRule="exact"/>
        <w:ind w:firstLineChars="200" w:firstLine="640"/>
        <w:outlineLvl w:val="0"/>
        <w:rPr>
          <w:rFonts w:ascii="仿宋_GB2312"/>
          <w:sz w:val="32"/>
          <w:szCs w:val="32"/>
        </w:rPr>
      </w:pPr>
      <w:r>
        <w:rPr>
          <w:rFonts w:ascii="仿宋_GB2312" w:hint="eastAsia"/>
          <w:sz w:val="32"/>
          <w:szCs w:val="32"/>
          <w:lang w:val="en-US" w:eastAsia="zh-CN"/>
        </w:rPr>
        <w:t>2024年度我县收到基本公共卫生服务补助资金4730.562万元，实际支出4719.382万元，因财政资金紧张，项目结转下年支付。</w:t>
      </w:r>
    </w:p>
    <w:p>
      <w:pPr>
        <w:numPr>
          <w:ilvl w:val="0"/>
          <w:numId w:val="1"/>
        </w:numPr>
        <w:spacing w:line="560" w:lineRule="exact"/>
        <w:ind w:left="0" w:firstLineChars="200" w:firstLine="640"/>
        <w:outlineLvl w:val="0"/>
        <w:rPr>
          <w:rFonts w:ascii="仿宋" w:eastAsia="仿宋" w:cs="楷体_GB2312" w:hAnsi="仿宋" w:hint="eastAsia"/>
          <w:color w:val="000000"/>
          <w:kern w:val="0"/>
          <w:sz w:val="32"/>
          <w:szCs w:val="32"/>
        </w:rPr>
      </w:pPr>
      <w:r>
        <w:rPr>
          <w:rFonts w:ascii="楷体_GB2312" w:eastAsia="楷体_GB2312" w:cs="楷体_GB2312" w:hAnsi="楷体_GB2312" w:hint="eastAsia"/>
          <w:b/>
          <w:bCs/>
          <w:sz w:val="32"/>
          <w:szCs w:val="32"/>
        </w:rPr>
        <w:t>资金管理情况分析。</w:t>
      </w:r>
    </w:p>
    <w:p>
      <w:pPr>
        <w:widowControl/>
        <w:adjustRightInd w:val="0"/>
        <w:snapToGrid w:val="0"/>
        <w:spacing w:line="326" w:lineRule="auto"/>
        <w:ind w:firstLineChars="200" w:firstLine="640"/>
        <w:rPr>
          <w:rFonts w:ascii="仿宋_GB2312" w:eastAsia="仿宋_GB2312" w:hint="eastAsia"/>
          <w:b/>
          <w:bCs/>
          <w:sz w:val="32"/>
          <w:szCs w:val="32"/>
          <w:lang w:eastAsia="zh-CN"/>
        </w:rPr>
      </w:pPr>
      <w:r>
        <w:rPr>
          <w:rFonts w:ascii="仿宋_GB2312" w:hint="eastAsia"/>
          <w:b/>
          <w:bCs/>
          <w:sz w:val="32"/>
          <w:szCs w:val="32"/>
        </w:rPr>
        <w:t>资金分配</w:t>
      </w:r>
      <w:r>
        <w:rPr>
          <w:rFonts w:ascii="仿宋_GB2312" w:hint="eastAsia"/>
          <w:b/>
          <w:bCs/>
          <w:sz w:val="32"/>
          <w:szCs w:val="32"/>
          <w:lang w:eastAsia="zh-CN"/>
        </w:rPr>
        <w:t>：</w:t>
      </w:r>
    </w:p>
    <w:p>
      <w:pPr>
        <w:widowControl/>
        <w:adjustRightInd w:val="0"/>
        <w:snapToGrid w:val="0"/>
        <w:spacing w:line="326" w:lineRule="auto"/>
        <w:ind w:firstLineChars="200" w:firstLine="640"/>
        <w:rPr>
          <w:rFonts w:ascii="仿宋" w:eastAsia="仿宋" w:cs="楷体_GB2312" w:hAnsi="仿宋"/>
          <w:color w:val="000000"/>
          <w:kern w:val="0"/>
          <w:sz w:val="32"/>
          <w:szCs w:val="32"/>
        </w:rPr>
      </w:pPr>
      <w:r>
        <w:rPr>
          <w:rFonts w:ascii="仿宋" w:eastAsia="仿宋" w:cs="楷体_GB2312" w:hAnsi="仿宋" w:hint="eastAsia"/>
          <w:color w:val="000000"/>
          <w:kern w:val="0"/>
          <w:sz w:val="32"/>
          <w:szCs w:val="32"/>
        </w:rPr>
        <w:t>根据202</w:t>
      </w:r>
      <w:r>
        <w:rPr>
          <w:rFonts w:ascii="仿宋" w:eastAsia="仿宋" w:cs="楷体_GB2312" w:hAnsi="仿宋" w:hint="eastAsia"/>
          <w:color w:val="000000"/>
          <w:kern w:val="0"/>
          <w:sz w:val="32"/>
          <w:szCs w:val="32"/>
          <w:lang w:val="en-US" w:eastAsia="zh-CN"/>
        </w:rPr>
        <w:t>4</w:t>
      </w:r>
      <w:r>
        <w:rPr>
          <w:rFonts w:ascii="仿宋" w:eastAsia="仿宋" w:cs="楷体_GB2312" w:hAnsi="仿宋" w:hint="eastAsia"/>
          <w:color w:val="000000"/>
          <w:kern w:val="0"/>
          <w:sz w:val="32"/>
          <w:szCs w:val="32"/>
        </w:rPr>
        <w:t>年国家卫生健康委员会、财政部和国家中医药管理局联合下发的《关于202</w:t>
      </w:r>
      <w:r>
        <w:rPr>
          <w:rFonts w:ascii="仿宋" w:eastAsia="仿宋" w:cs="楷体_GB2312" w:hAnsi="仿宋" w:hint="eastAsia"/>
          <w:color w:val="000000"/>
          <w:kern w:val="0"/>
          <w:sz w:val="32"/>
          <w:szCs w:val="32"/>
          <w:lang w:val="en-US" w:eastAsia="zh-CN"/>
        </w:rPr>
        <w:t>4</w:t>
      </w:r>
      <w:r>
        <w:rPr>
          <w:rFonts w:ascii="仿宋" w:eastAsia="仿宋" w:cs="楷体_GB2312" w:hAnsi="仿宋" w:hint="eastAsia"/>
          <w:color w:val="000000"/>
          <w:kern w:val="0"/>
          <w:sz w:val="32"/>
          <w:szCs w:val="32"/>
        </w:rPr>
        <w:t>年国家基本公共卫生服务项目工作的通知》</w:t>
      </w:r>
    </w:p>
    <w:p>
      <w:pPr>
        <w:widowControl/>
        <w:adjustRightInd w:val="0"/>
        <w:snapToGrid w:val="0"/>
        <w:spacing w:line="326" w:lineRule="auto"/>
        <w:ind w:firstLineChars="200" w:firstLine="640"/>
        <w:rPr>
          <w:rFonts w:ascii="仿宋" w:eastAsia="仿宋" w:cs="楷体_GB2312" w:hAnsi="仿宋"/>
          <w:color w:val="000000"/>
          <w:kern w:val="0"/>
          <w:sz w:val="32"/>
          <w:szCs w:val="32"/>
          <w:lang w:val="en-US" w:eastAsia="zh-CN"/>
        </w:rPr>
      </w:pPr>
      <w:r>
        <w:rPr>
          <w:rFonts w:ascii="仿宋" w:eastAsia="仿宋" w:cs="楷体_GB2312" w:hAnsi="仿宋" w:hint="eastAsia"/>
          <w:color w:val="000000"/>
          <w:kern w:val="0"/>
          <w:sz w:val="32"/>
          <w:szCs w:val="32"/>
        </w:rPr>
        <w:t>为推进基本公卫项目的顺利实施，中央和地方财政设立了基本公共卫生专项补助资金，按常住人口进行补助，补助资金由中央和地方分级负担。202</w:t>
      </w:r>
      <w:r>
        <w:rPr>
          <w:rFonts w:ascii="仿宋" w:eastAsia="仿宋" w:cs="楷体_GB2312" w:hAnsi="仿宋" w:hint="eastAsia"/>
          <w:color w:val="000000"/>
          <w:kern w:val="0"/>
          <w:sz w:val="32"/>
          <w:szCs w:val="32"/>
          <w:lang w:val="en-US" w:eastAsia="zh-CN"/>
        </w:rPr>
        <w:t>4</w:t>
      </w:r>
      <w:r>
        <w:rPr>
          <w:rFonts w:ascii="仿宋" w:eastAsia="仿宋" w:cs="楷体_GB2312" w:hAnsi="仿宋" w:hint="eastAsia"/>
          <w:color w:val="000000"/>
          <w:kern w:val="0"/>
          <w:sz w:val="32"/>
          <w:szCs w:val="32"/>
        </w:rPr>
        <w:t>年各级财政下达补助资金总额为</w:t>
      </w:r>
      <w:r>
        <w:rPr>
          <w:rFonts w:ascii="仿宋" w:eastAsia="仿宋" w:cs="仿宋" w:hAnsi="仿宋" w:hint="eastAsia"/>
          <w:kern w:val="0"/>
          <w:sz w:val="32"/>
          <w:szCs w:val="32"/>
          <w:lang w:val="en-US" w:eastAsia="zh-CN"/>
        </w:rPr>
        <w:t>4730.562</w:t>
      </w:r>
      <w:r>
        <w:rPr>
          <w:rFonts w:ascii="仿宋" w:eastAsia="仿宋" w:cs="楷体_GB2312" w:hAnsi="仿宋" w:hint="eastAsia"/>
          <w:color w:val="000000"/>
          <w:kern w:val="0"/>
          <w:sz w:val="32"/>
          <w:szCs w:val="32"/>
        </w:rPr>
        <w:t>万元，其中：中央财政</w:t>
      </w:r>
      <w:r>
        <w:rPr>
          <w:rFonts w:ascii="仿宋" w:eastAsia="仿宋" w:cs="楷体_GB2312" w:hAnsi="仿宋" w:hint="eastAsia"/>
          <w:color w:val="000000"/>
          <w:kern w:val="0"/>
          <w:sz w:val="32"/>
          <w:szCs w:val="32"/>
          <w:lang w:val="en-US" w:eastAsia="zh-CN"/>
        </w:rPr>
        <w:t>2695.29</w:t>
      </w:r>
      <w:r>
        <w:rPr>
          <w:rFonts w:ascii="仿宋" w:eastAsia="仿宋" w:cs="楷体_GB2312" w:hAnsi="仿宋" w:hint="eastAsia"/>
          <w:color w:val="000000"/>
          <w:kern w:val="0"/>
          <w:sz w:val="32"/>
          <w:szCs w:val="32"/>
        </w:rPr>
        <w:t>万元，</w:t>
      </w:r>
      <w:r>
        <w:rPr>
          <w:rFonts w:ascii="仿宋" w:eastAsia="仿宋" w:cs="楷体_GB2312" w:hAnsi="仿宋" w:hint="eastAsia"/>
          <w:color w:val="000000"/>
          <w:kern w:val="0"/>
          <w:sz w:val="32"/>
          <w:szCs w:val="32"/>
          <w:lang w:val="en-US" w:eastAsia="zh-CN"/>
        </w:rPr>
        <w:t>地方</w:t>
      </w:r>
      <w:r>
        <w:rPr>
          <w:rFonts w:ascii="仿宋" w:eastAsia="仿宋" w:cs="楷体_GB2312" w:hAnsi="仿宋" w:hint="eastAsia"/>
          <w:color w:val="000000"/>
          <w:kern w:val="0"/>
          <w:sz w:val="32"/>
          <w:szCs w:val="32"/>
        </w:rPr>
        <w:t>财政</w:t>
      </w:r>
      <w:r>
        <w:rPr>
          <w:rFonts w:ascii="仿宋" w:eastAsia="仿宋" w:cs="楷体_GB2312" w:hAnsi="仿宋" w:hint="eastAsia"/>
          <w:color w:val="000000"/>
          <w:kern w:val="0"/>
          <w:sz w:val="32"/>
          <w:szCs w:val="32"/>
          <w:lang w:val="en-US" w:eastAsia="zh-CN"/>
        </w:rPr>
        <w:t>2035.272</w:t>
      </w:r>
      <w:r>
        <w:rPr>
          <w:rFonts w:ascii="仿宋" w:eastAsia="仿宋" w:cs="楷体_GB2312" w:hAnsi="仿宋" w:hint="eastAsia"/>
          <w:color w:val="000000"/>
          <w:kern w:val="0"/>
          <w:sz w:val="32"/>
          <w:szCs w:val="32"/>
        </w:rPr>
        <w:t>万元。</w:t>
      </w:r>
      <w:r>
        <w:rPr>
          <w:rFonts w:ascii="仿宋" w:eastAsia="仿宋" w:cs="楷体_GB2312" w:hAnsi="仿宋" w:hint="eastAsia"/>
          <w:color w:val="000000"/>
          <w:kern w:val="0"/>
          <w:sz w:val="32"/>
          <w:szCs w:val="32"/>
          <w:lang w:val="en-US" w:eastAsia="zh-CN"/>
        </w:rPr>
        <w:t>资金预算执行率达到99.76%。</w:t>
      </w:r>
    </w:p>
    <w:p>
      <w:pPr>
        <w:numPr>
          <w:ilvl w:val="0"/>
          <w:numId w:val="1"/>
        </w:numPr>
        <w:spacing w:line="560" w:lineRule="exact"/>
        <w:ind w:left="0" w:firstLineChars="200" w:firstLine="640"/>
        <w:outlineLvl w:val="0"/>
        <w:rPr>
          <w:rFonts w:ascii="楷体_GB2312" w:eastAsia="楷体_GB2312" w:cs="楷体_GB2312" w:hAnsi="楷体_GB2312" w:hint="eastAsia"/>
          <w:b/>
          <w:bCs/>
          <w:sz w:val="32"/>
          <w:szCs w:val="32"/>
        </w:rPr>
      </w:pPr>
      <w:r>
        <w:rPr>
          <w:rFonts w:ascii="楷体_GB2312" w:eastAsia="楷体_GB2312" w:cs="楷体_GB2312" w:hAnsi="楷体_GB2312" w:hint="eastAsia"/>
          <w:b/>
          <w:bCs/>
          <w:sz w:val="32"/>
          <w:szCs w:val="32"/>
        </w:rPr>
        <w:t>总体绩效目标完成情况分析。</w:t>
      </w:r>
    </w:p>
    <w:p>
      <w:pPr>
        <w:widowControl/>
        <w:adjustRightInd w:val="0"/>
        <w:snapToGrid w:val="0"/>
        <w:spacing w:line="326" w:lineRule="auto"/>
        <w:ind w:firstLineChars="200" w:firstLine="640"/>
        <w:rPr>
          <w:rFonts w:ascii="楷体_GB2312" w:eastAsia="楷体_GB2312" w:cs="楷体_GB2312" w:hAnsi="楷体_GB2312" w:hint="eastAsia"/>
          <w:b/>
          <w:bCs/>
          <w:sz w:val="32"/>
          <w:szCs w:val="32"/>
        </w:rPr>
      </w:pPr>
      <w:r>
        <w:rPr>
          <w:rFonts w:ascii="仿宋" w:eastAsia="仿宋" w:cs="楷体_GB2312" w:hAnsi="仿宋" w:hint="eastAsia"/>
          <w:sz w:val="32"/>
          <w:szCs w:val="32"/>
        </w:rPr>
        <w:t>年初对项目单位把202</w:t>
      </w:r>
      <w:r>
        <w:rPr>
          <w:rFonts w:ascii="仿宋" w:eastAsia="仿宋" w:cs="楷体_GB2312" w:hAnsi="仿宋" w:hint="eastAsia"/>
          <w:sz w:val="32"/>
          <w:szCs w:val="32"/>
          <w:lang w:val="en-US" w:eastAsia="zh-CN"/>
        </w:rPr>
        <w:t>4</w:t>
      </w:r>
      <w:r>
        <w:rPr>
          <w:rFonts w:ascii="仿宋" w:eastAsia="仿宋" w:cs="楷体_GB2312" w:hAnsi="仿宋" w:hint="eastAsia"/>
          <w:sz w:val="32"/>
          <w:szCs w:val="32"/>
        </w:rPr>
        <w:t>年基本公卫工作做了安排部署。其次根据项目要求各单位及时调整和完善各项规章制定，做到了目标明确、责任落实、合理安排、分工细化、奖罚分明。二是狠抓队伍建设，从培训及教育入手，使每个工作人员、乡医明白公卫工作的重要性及所担负的责任，提高他们的责任意识、协作意识、大局意识、担当意识。全年培训卫生院公卫人员四次，按乡镇培训乡医一次。三是加强监督，注重整改。202</w:t>
      </w:r>
      <w:r>
        <w:rPr>
          <w:rFonts w:ascii="仿宋" w:eastAsia="仿宋" w:cs="楷体_GB2312" w:hAnsi="仿宋" w:hint="eastAsia"/>
          <w:sz w:val="32"/>
          <w:szCs w:val="32"/>
          <w:lang w:val="en-US" w:eastAsia="zh-CN"/>
        </w:rPr>
        <w:t>4</w:t>
      </w:r>
      <w:r>
        <w:rPr>
          <w:rFonts w:ascii="仿宋" w:eastAsia="仿宋" w:cs="楷体_GB2312" w:hAnsi="仿宋" w:hint="eastAsia"/>
          <w:sz w:val="32"/>
          <w:szCs w:val="32"/>
        </w:rPr>
        <w:t>年卫健局组织业务单位对项目单位进行了</w:t>
      </w:r>
      <w:r>
        <w:rPr>
          <w:rFonts w:ascii="仿宋" w:eastAsia="仿宋" w:cs="楷体_GB2312" w:hAnsi="仿宋" w:hint="eastAsia"/>
          <w:sz w:val="32"/>
          <w:szCs w:val="32"/>
          <w:lang w:val="en-US" w:eastAsia="zh-CN"/>
        </w:rPr>
        <w:t>四</w:t>
      </w:r>
      <w:r>
        <w:rPr>
          <w:rFonts w:ascii="仿宋" w:eastAsia="仿宋" w:cs="楷体_GB2312" w:hAnsi="仿宋" w:hint="eastAsia"/>
          <w:sz w:val="32"/>
          <w:szCs w:val="32"/>
        </w:rPr>
        <w:t>次督导及不定期的暗访工作，在监督及暗访过程中发现的问题及时反馈到项目单位，并监督整改全过程。四是优化环境，提升服务能力。各项目单位从环境设备抓起，不规范的进行了</w:t>
      </w:r>
      <w:r>
        <w:rPr>
          <w:rFonts w:ascii="仿宋_GB2312" w:eastAsia="仿宋_GB2312" w:cs="仿宋_GB2312" w:hAnsi="仿宋_GB2312" w:hint="eastAsia"/>
          <w:sz w:val="32"/>
          <w:szCs w:val="32"/>
        </w:rPr>
        <w:t>规范，该添置的基础设备全部配置到位，做到有地方干事、有设施干事、有人干事，五是规范考核评价，</w:t>
      </w:r>
      <w:r>
        <w:rPr>
          <w:rFonts w:ascii="仿宋_GB2312" w:eastAsia="仿宋_GB2312" w:cs="仿宋_GB2312" w:hAnsi="仿宋_GB2312" w:hint="eastAsia"/>
          <w:color w:val="000000"/>
          <w:kern w:val="0"/>
          <w:sz w:val="32"/>
          <w:szCs w:val="32"/>
        </w:rPr>
        <w:t>年初制定了项目工作实施方案和考核评价方案，</w:t>
      </w:r>
      <w:r>
        <w:rPr>
          <w:rFonts w:ascii="仿宋_GB2312" w:eastAsia="仿宋_GB2312" w:cs="仿宋_GB2312" w:hAnsi="仿宋_GB2312" w:hint="eastAsia"/>
          <w:sz w:val="32"/>
          <w:szCs w:val="32"/>
        </w:rPr>
        <w:t>全年考核两次（分上、下半年），考核资料完整规范</w:t>
      </w:r>
      <w:r>
        <w:rPr>
          <w:rFonts w:ascii="仿宋_GB2312" w:eastAsia="仿宋_GB2312" w:cs="仿宋_GB2312" w:hAnsi="仿宋_GB2312" w:hint="eastAsia"/>
          <w:color w:val="000000"/>
          <w:kern w:val="0"/>
          <w:sz w:val="32"/>
          <w:szCs w:val="32"/>
        </w:rPr>
        <w:t>。</w:t>
      </w:r>
    </w:p>
    <w:p>
      <w:pPr>
        <w:spacing w:line="560" w:lineRule="exact"/>
        <w:ind w:left="0" w:firstLineChars="200" w:firstLine="640"/>
        <w:outlineLvl w:val="0"/>
        <w:rPr>
          <w:rFonts w:ascii="楷体_GB2312" w:eastAsia="楷体_GB2312" w:cs="楷体_GB2312" w:hAnsi="楷体_GB2312" w:hint="eastAsia"/>
          <w:b/>
          <w:bCs/>
          <w:sz w:val="32"/>
          <w:szCs w:val="32"/>
        </w:rPr>
      </w:pPr>
      <w:r>
        <w:rPr>
          <w:rFonts w:ascii="楷体_GB2312" w:eastAsia="楷体_GB2312" w:cs="楷体_GB2312" w:hAnsi="楷体_GB2312" w:hint="eastAsia"/>
          <w:b/>
          <w:bCs/>
          <w:sz w:val="32"/>
          <w:szCs w:val="32"/>
        </w:rPr>
        <w:t>（四）绩效指标完成情况分析。</w:t>
      </w:r>
    </w:p>
    <w:p>
      <w:pPr>
        <w:widowControl/>
        <w:adjustRightInd w:val="0"/>
        <w:snapToGrid w:val="0"/>
        <w:spacing w:line="326" w:lineRule="auto"/>
        <w:ind w:firstLineChars="200" w:firstLine="640"/>
        <w:rPr>
          <w:rFonts w:ascii="仿宋_GB2312" w:eastAsia="仿宋_GB2312" w:cs="仿宋_GB2312" w:hAnsi="仿宋_GB2312" w:hint="eastAsia"/>
          <w:color w:val="000000"/>
          <w:kern w:val="0"/>
          <w:sz w:val="32"/>
          <w:szCs w:val="32"/>
        </w:rPr>
      </w:pPr>
      <w:r>
        <w:rPr>
          <w:rFonts w:ascii="仿宋_GB2312" w:eastAsia="仿宋_GB2312" w:cs="仿宋_GB2312" w:hAnsi="仿宋_GB2312" w:hint="eastAsia"/>
          <w:color w:val="000000"/>
          <w:kern w:val="0"/>
          <w:sz w:val="32"/>
          <w:szCs w:val="32"/>
        </w:rPr>
        <w:t>①居民健康档案建立情况。以乡镇卫生院、村卫生室为依托，通过门诊服务、入户调查、疾病筛查、健康体检等多种形式开展城乡居民电子健康档案建立工作,到202</w:t>
      </w:r>
      <w:r>
        <w:rPr>
          <w:rFonts w:ascii="仿宋_GB2312" w:eastAsia="仿宋_GB2312" w:cs="仿宋_GB2312" w:hAnsi="仿宋_GB2312" w:hint="eastAsia"/>
          <w:color w:val="000000"/>
          <w:kern w:val="0"/>
          <w:sz w:val="32"/>
          <w:szCs w:val="32"/>
          <w:lang w:val="en-US" w:eastAsia="zh-CN"/>
        </w:rPr>
        <w:t>4</w:t>
      </w:r>
      <w:r>
        <w:rPr>
          <w:rFonts w:ascii="仿宋_GB2312" w:eastAsia="仿宋_GB2312" w:cs="仿宋_GB2312" w:hAnsi="仿宋_GB2312" w:hint="eastAsia"/>
          <w:color w:val="000000"/>
          <w:kern w:val="0"/>
          <w:sz w:val="32"/>
          <w:szCs w:val="32"/>
        </w:rPr>
        <w:t>年底共建电子健康档案</w:t>
      </w:r>
      <w:r>
        <w:rPr>
          <w:rFonts w:ascii="仿宋_GB2312" w:eastAsia="仿宋_GB2312" w:cs="仿宋_GB2312" w:hAnsi="仿宋_GB2312" w:hint="eastAsia"/>
          <w:sz w:val="32"/>
          <w:szCs w:val="32"/>
          <w:lang w:val="en-US" w:eastAsia="zh-CN"/>
        </w:rPr>
        <w:t>466821</w:t>
      </w:r>
      <w:r>
        <w:rPr>
          <w:rFonts w:ascii="仿宋_GB2312" w:eastAsia="仿宋_GB2312" w:cs="仿宋_GB2312" w:hAnsi="仿宋_GB2312" w:hint="eastAsia"/>
          <w:color w:val="000000"/>
          <w:kern w:val="0"/>
          <w:sz w:val="32"/>
          <w:szCs w:val="32"/>
        </w:rPr>
        <w:t>份，建档率为9</w:t>
      </w:r>
      <w:r>
        <w:rPr>
          <w:rFonts w:ascii="仿宋_GB2312" w:eastAsia="仿宋_GB2312" w:cs="仿宋_GB2312" w:hAnsi="仿宋_GB2312" w:hint="eastAsia"/>
          <w:color w:val="000000"/>
          <w:kern w:val="0"/>
          <w:sz w:val="32"/>
          <w:szCs w:val="32"/>
          <w:lang w:val="en-US" w:eastAsia="zh-CN"/>
        </w:rPr>
        <w:t>4.31</w:t>
      </w:r>
      <w:r>
        <w:rPr>
          <w:rFonts w:ascii="仿宋_GB2312" w:eastAsia="仿宋_GB2312" w:cs="仿宋_GB2312" w:hAnsi="仿宋_GB2312" w:hint="eastAsia"/>
          <w:color w:val="000000"/>
          <w:kern w:val="0"/>
          <w:sz w:val="32"/>
          <w:szCs w:val="32"/>
        </w:rPr>
        <w:t>%，但有些信息需要进一步完善。</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仿宋_GB2312" w:hAnsi="仿宋_GB2312" w:hint="eastAsia"/>
          <w:color w:val="000000"/>
          <w:kern w:val="0"/>
          <w:sz w:val="32"/>
          <w:szCs w:val="32"/>
        </w:rPr>
        <w:t>②健康教育。项目单位均制定了健康教育计划，积极推进健康教育工作开展。设置宣传栏4</w:t>
      </w:r>
      <w:r>
        <w:rPr>
          <w:rFonts w:ascii="仿宋_GB2312" w:eastAsia="仿宋_GB2312" w:cs="仿宋_GB2312" w:hAnsi="仿宋_GB2312" w:hint="eastAsia"/>
          <w:color w:val="000000"/>
          <w:kern w:val="0"/>
          <w:sz w:val="32"/>
          <w:szCs w:val="32"/>
          <w:lang w:val="en-US" w:eastAsia="zh-CN"/>
        </w:rPr>
        <w:t>73</w:t>
      </w:r>
      <w:r>
        <w:rPr>
          <w:rFonts w:ascii="仿宋_GB2312" w:eastAsia="仿宋_GB2312" w:cs="仿宋_GB2312" w:hAnsi="仿宋_GB2312" w:hint="eastAsia"/>
          <w:color w:val="000000"/>
          <w:kern w:val="0"/>
          <w:sz w:val="32"/>
          <w:szCs w:val="32"/>
        </w:rPr>
        <w:t>个、印制发放健康知识手册</w:t>
      </w:r>
      <w:r>
        <w:rPr>
          <w:rFonts w:ascii="仿宋_GB2312" w:eastAsia="仿宋_GB2312" w:cs="仿宋_GB2312" w:hAnsi="仿宋_GB2312" w:hint="eastAsia"/>
          <w:color w:val="000000"/>
          <w:kern w:val="0"/>
          <w:sz w:val="32"/>
          <w:szCs w:val="32"/>
          <w:lang w:val="en-US" w:eastAsia="zh-CN"/>
        </w:rPr>
        <w:t>387453份</w:t>
      </w:r>
      <w:r>
        <w:rPr>
          <w:rFonts w:ascii="仿宋_GB2312" w:eastAsia="仿宋_GB2312" w:cs="宋体" w:hAnsi="宋体" w:hint="eastAsia"/>
          <w:color w:val="000000"/>
          <w:kern w:val="0"/>
          <w:sz w:val="32"/>
          <w:szCs w:val="32"/>
        </w:rPr>
        <w:t>、播放健康知识宣传片</w:t>
      </w:r>
      <w:r>
        <w:rPr>
          <w:rFonts w:ascii="仿宋_GB2312" w:eastAsia="仿宋_GB2312" w:cs="宋体" w:hAnsi="宋体" w:hint="eastAsia"/>
          <w:color w:val="000000"/>
          <w:kern w:val="0"/>
          <w:sz w:val="32"/>
          <w:szCs w:val="32"/>
          <w:lang w:val="en-US" w:eastAsia="zh-CN"/>
        </w:rPr>
        <w:t>5080</w:t>
      </w:r>
      <w:r>
        <w:rPr>
          <w:rFonts w:ascii="仿宋_GB2312" w:eastAsia="仿宋_GB2312" w:cs="宋体" w:hAnsi="宋体" w:hint="eastAsia"/>
          <w:color w:val="000000"/>
          <w:kern w:val="0"/>
          <w:sz w:val="32"/>
          <w:szCs w:val="32"/>
        </w:rPr>
        <w:t>次，并且利用个性化教育、村广播室广播、微信发送健康知识等多种方式进行健康知识宣传教育活动，大大提高了居民自我防治意识。</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③预防接种工作。能够按规定及时对适龄儿童进行疫苗接种，适时建立0-6岁儿童预防接种证和接种卡，建证率100%，接种率9</w:t>
      </w:r>
      <w:r>
        <w:rPr>
          <w:rFonts w:ascii="仿宋_GB2312" w:eastAsia="仿宋_GB2312" w:cs="宋体" w:hAnsi="宋体" w:hint="eastAsia"/>
          <w:color w:val="000000"/>
          <w:kern w:val="0"/>
          <w:sz w:val="32"/>
          <w:szCs w:val="32"/>
          <w:lang w:val="en-US" w:eastAsia="zh-CN"/>
        </w:rPr>
        <w:t>3</w:t>
      </w:r>
      <w:r>
        <w:rPr>
          <w:rFonts w:ascii="仿宋_GB2312" w:eastAsia="仿宋_GB2312" w:cs="宋体" w:hAnsi="宋体" w:hint="eastAsia"/>
          <w:color w:val="000000"/>
          <w:kern w:val="0"/>
          <w:sz w:val="32"/>
          <w:szCs w:val="32"/>
        </w:rPr>
        <w:t>%以上，完全符合国家要求。</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④儿童健康管理工作。妇幼保健部门及乡镇卫生院对辖区儿童数量与分布情况基本能够掌握，全年共管理</w:t>
      </w:r>
      <w:r>
        <w:rPr>
          <w:rFonts w:ascii="仿宋_GB2312" w:eastAsia="仿宋_GB2312" w:cs="宋体" w:hAnsi="宋体" w:hint="eastAsia"/>
          <w:color w:val="000000"/>
          <w:kern w:val="0"/>
          <w:sz w:val="32"/>
          <w:szCs w:val="32"/>
          <w:lang w:val="en-US" w:eastAsia="zh-CN"/>
        </w:rPr>
        <w:t>14296</w:t>
      </w:r>
      <w:r>
        <w:rPr>
          <w:rFonts w:ascii="仿宋_GB2312" w:eastAsia="仿宋_GB2312" w:cs="宋体" w:hAnsi="宋体" w:hint="eastAsia"/>
          <w:color w:val="000000"/>
          <w:kern w:val="0"/>
          <w:sz w:val="32"/>
          <w:szCs w:val="32"/>
        </w:rPr>
        <w:t>人，对保健对象建立保健手册，定期开展访视和生长发育监测，开展儿童健康指导及系统管理。</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⑤孕产妇健康管理工作。2019年全省孕产妇进行了支付方式改革，保健手册及五次产前检查在县助产机构完成，孕产妇凭五次产前检查免费券到县助产机构检查全部享受了免费服务。</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⑥老年人健康管理。对照规范要求对老年人进行健康体检及指导，全年共管理老年人</w:t>
      </w:r>
      <w:r>
        <w:rPr>
          <w:rFonts w:ascii="仿宋_GB2312" w:eastAsia="仿宋_GB2312" w:hint="eastAsia"/>
          <w:sz w:val="32"/>
          <w:szCs w:val="32"/>
          <w:lang w:val="en-US" w:eastAsia="zh-CN"/>
        </w:rPr>
        <w:t>75400</w:t>
      </w:r>
      <w:r>
        <w:rPr>
          <w:rFonts w:ascii="仿宋_GB2312" w:eastAsia="仿宋_GB2312" w:cs="宋体" w:hAnsi="宋体" w:hint="eastAsia"/>
          <w:color w:val="000000"/>
          <w:kern w:val="0"/>
          <w:sz w:val="32"/>
          <w:szCs w:val="32"/>
        </w:rPr>
        <w:t>人。</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⑦慢性病患者健康管理。</w:t>
      </w:r>
    </w:p>
    <w:p>
      <w:pPr>
        <w:widowControl/>
        <w:adjustRightInd w:val="0"/>
        <w:snapToGrid w:val="0"/>
        <w:spacing w:line="326"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高血压患者健康管理。实行首诊测血压制度，对辖区35岁以上人员首诊测量血压。对筛查出的高血压患者建立重点人群健康档案进行管理，每年四次随访指导。共管理高血压患者</w:t>
      </w:r>
      <w:r>
        <w:rPr>
          <w:rFonts w:ascii="仿宋_GB2312" w:eastAsia="仿宋_GB2312" w:cs="宋体" w:hAnsi="宋体" w:hint="eastAsia"/>
          <w:color w:val="000000"/>
          <w:kern w:val="0"/>
          <w:sz w:val="32"/>
          <w:szCs w:val="32"/>
          <w:lang w:val="en-US" w:eastAsia="zh-CN"/>
        </w:rPr>
        <w:t>59520</w:t>
      </w:r>
      <w:r>
        <w:rPr>
          <w:rFonts w:ascii="仿宋_GB2312" w:eastAsia="仿宋_GB2312" w:cs="宋体" w:hAnsi="宋体" w:hint="eastAsia"/>
          <w:color w:val="000000"/>
          <w:kern w:val="0"/>
          <w:sz w:val="32"/>
          <w:szCs w:val="32"/>
        </w:rPr>
        <w:t>人。</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仿宋_GB2312" w:cs="宋体" w:hAnsi="宋体"/>
          <w:color w:val="000000"/>
          <w:kern w:val="0"/>
          <w:sz w:val="32"/>
          <w:szCs w:val="32"/>
        </w:rPr>
        <w:t>2</w:t>
      </w:r>
      <w:bookmarkStart w:id="0" w:name="_GoBack"/>
      <w:bookmarkEnd w:id="0"/>
      <w:r>
        <w:rPr>
          <w:rFonts w:ascii="仿宋_GB2312" w:eastAsia="仿宋_GB2312" w:cs="宋体" w:hAnsi="宋体" w:hint="eastAsia"/>
          <w:color w:val="000000"/>
          <w:kern w:val="0"/>
          <w:sz w:val="32"/>
          <w:szCs w:val="32"/>
        </w:rPr>
        <w:t>型糖尿病患者健康管理。各基层医疗卫生机构通过组织开展健康体检，筛查糖尿病病人2</w:t>
      </w:r>
      <w:r>
        <w:rPr>
          <w:rFonts w:ascii="仿宋_GB2312" w:eastAsia="仿宋_GB2312" w:cs="宋体" w:hAnsi="宋体" w:hint="eastAsia"/>
          <w:color w:val="000000"/>
          <w:kern w:val="0"/>
          <w:sz w:val="32"/>
          <w:szCs w:val="32"/>
          <w:lang w:val="en-US" w:eastAsia="zh-CN"/>
        </w:rPr>
        <w:t>2490</w:t>
      </w:r>
      <w:r>
        <w:rPr>
          <w:rFonts w:ascii="仿宋_GB2312" w:eastAsia="仿宋_GB2312" w:cs="宋体" w:hAnsi="宋体" w:hint="eastAsia"/>
          <w:color w:val="000000"/>
          <w:kern w:val="0"/>
          <w:sz w:val="32"/>
          <w:szCs w:val="32"/>
        </w:rPr>
        <w:t>人，对筛查出的病人建立重点人群健康档案进行管理。每年免费进行四次随访，四次查验血糖，一次普通体检。</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⑧严重精神障碍患者管理。所查基层医疗机构能够对辖区精神病病人进行登记管理，建立档案，精神病患者进行体检和全面评估及随访和康复指导。全年共管理患者23</w:t>
      </w:r>
      <w:r>
        <w:rPr>
          <w:rFonts w:ascii="仿宋_GB2312" w:eastAsia="仿宋_GB2312" w:cs="宋体" w:hAnsi="宋体" w:hint="eastAsia"/>
          <w:color w:val="000000"/>
          <w:kern w:val="0"/>
          <w:sz w:val="32"/>
          <w:szCs w:val="32"/>
          <w:lang w:val="en-US" w:eastAsia="zh-CN"/>
        </w:rPr>
        <w:t>50</w:t>
      </w:r>
      <w:r>
        <w:rPr>
          <w:rFonts w:ascii="仿宋_GB2312" w:eastAsia="仿宋_GB2312" w:cs="宋体" w:hAnsi="宋体" w:hint="eastAsia"/>
          <w:color w:val="000000"/>
          <w:kern w:val="0"/>
          <w:sz w:val="32"/>
          <w:szCs w:val="32"/>
        </w:rPr>
        <w:t>人。</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⑨结核病患者健康管理。为辖区内发现的结核病患者开展信息管理，随访评估及督导服药等服务项目。管理</w:t>
      </w:r>
      <w:r>
        <w:rPr>
          <w:rFonts w:ascii="仿宋_GB2312" w:eastAsia="仿宋_GB2312" w:cs="宋体" w:hAnsi="宋体" w:hint="eastAsia"/>
          <w:color w:val="000000"/>
          <w:kern w:val="0"/>
          <w:sz w:val="32"/>
          <w:szCs w:val="32"/>
          <w:lang w:val="en-US" w:eastAsia="zh-CN"/>
        </w:rPr>
        <w:t>164</w:t>
      </w:r>
      <w:r>
        <w:rPr>
          <w:rFonts w:ascii="仿宋_GB2312" w:eastAsia="仿宋_GB2312" w:cs="宋体" w:hAnsi="宋体" w:hint="eastAsia"/>
          <w:color w:val="000000"/>
          <w:kern w:val="0"/>
          <w:sz w:val="32"/>
          <w:szCs w:val="32"/>
        </w:rPr>
        <w:t>人。</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仿宋_GB2312" w:cs="宋体" w:hAnsi="宋体" w:hint="eastAsia"/>
          <w:color w:val="000000"/>
          <w:kern w:val="0"/>
          <w:sz w:val="32"/>
          <w:szCs w:val="32"/>
        </w:rPr>
        <w:t>⑩中医药健康管理。为辖区内0～36个月儿童家长进行儿童中医药健康指导；为辖区内65岁及以上常住居民每年提供1次中医药健康管理服务，但有些基层卫生机构开展不规范。</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MS Mincho" w:cs="MS Mincho" w:hAnsi="MS Mincho" w:hint="eastAsia"/>
          <w:color w:val="000000"/>
          <w:kern w:val="0"/>
          <w:sz w:val="32"/>
          <w:szCs w:val="32"/>
        </w:rPr>
        <w:t>⑪</w:t>
      </w:r>
      <w:r>
        <w:rPr>
          <w:rFonts w:ascii="仿宋_GB2312" w:eastAsia="仿宋_GB2312" w:cs="宋体" w:hAnsi="宋体" w:hint="eastAsia"/>
          <w:color w:val="000000"/>
          <w:kern w:val="0"/>
          <w:sz w:val="32"/>
          <w:szCs w:val="32"/>
        </w:rPr>
        <w:t>传染病及突发公共卫生事件报告和处理。基层医疗卫生机构普遍建立传染病报告和突发公共卫生事件报告制度，乡镇卫生院实现了网络直报，能够对传染病疫情及突发公共卫生事件及时报告。报告率100%。</w:t>
      </w:r>
    </w:p>
    <w:p>
      <w:pPr>
        <w:widowControl/>
        <w:adjustRightInd w:val="0"/>
        <w:snapToGrid w:val="0"/>
        <w:spacing w:line="348" w:lineRule="auto"/>
        <w:ind w:firstLineChars="200" w:firstLine="640"/>
        <w:rPr>
          <w:rFonts w:ascii="仿宋_GB2312" w:eastAsia="仿宋_GB2312" w:cs="宋体" w:hAnsi="宋体"/>
          <w:color w:val="000000"/>
          <w:kern w:val="0"/>
          <w:sz w:val="32"/>
          <w:szCs w:val="32"/>
        </w:rPr>
      </w:pPr>
      <w:r>
        <w:rPr>
          <w:rFonts w:ascii="仿宋_GB2312" w:eastAsia="MS Mincho" w:cs="MS Mincho" w:hAnsi="MS Mincho" w:hint="eastAsia"/>
          <w:kern w:val="0"/>
          <w:sz w:val="32"/>
          <w:szCs w:val="32"/>
        </w:rPr>
        <w:t>⑫</w:t>
      </w:r>
      <w:r>
        <w:rPr>
          <w:rFonts w:ascii="仿宋_GB2312" w:eastAsia="仿宋_GB2312" w:hint="eastAsia"/>
          <w:kern w:val="0"/>
          <w:sz w:val="32"/>
          <w:szCs w:val="32"/>
        </w:rPr>
        <w:t>卫生计生监督协管管理。在建立卫生监督协管制度的基础上，基层医疗卫生机构能够对辖区食品安全信息、职业卫生、饮水卫生、学校卫生、非法行医和采供血等行为进行巡查并及时报送，协助卫生监督及行政部门开展工作。</w:t>
      </w:r>
    </w:p>
    <w:p>
      <w:pPr>
        <w:spacing w:line="560" w:lineRule="exact"/>
        <w:ind w:firstLineChars="200" w:firstLine="640"/>
        <w:rPr>
          <w:rFonts w:ascii="黑体" w:eastAsia="黑体" w:hAnsi="黑体" w:hint="eastAsia"/>
          <w:bCs/>
          <w:sz w:val="32"/>
          <w:szCs w:val="32"/>
        </w:rPr>
      </w:pPr>
    </w:p>
    <w:p>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三、偏离绩效目标的原因和下一步改进措施</w:t>
      </w:r>
    </w:p>
    <w:p>
      <w:pPr>
        <w:widowControl/>
        <w:adjustRightInd w:val="0"/>
        <w:snapToGrid w:val="0"/>
        <w:spacing w:line="336" w:lineRule="auto"/>
        <w:ind w:leftChars="67" w:left="201" w:firstLineChars="150" w:firstLine="480"/>
        <w:rPr>
          <w:rFonts w:ascii="仿宋" w:eastAsia="仿宋" w:cs="宋体" w:hAnsi="仿宋"/>
          <w:b/>
          <w:bCs/>
          <w:color w:val="000000"/>
          <w:kern w:val="0"/>
          <w:sz w:val="32"/>
          <w:szCs w:val="32"/>
          <w:lang w:val="en-US" w:eastAsia="zh-CN"/>
        </w:rPr>
      </w:pPr>
      <w:r>
        <w:rPr>
          <w:rFonts w:ascii="仿宋" w:eastAsia="仿宋" w:cs="宋体" w:hAnsi="仿宋" w:hint="eastAsia"/>
          <w:b/>
          <w:bCs/>
          <w:color w:val="000000"/>
          <w:kern w:val="0"/>
          <w:sz w:val="32"/>
          <w:szCs w:val="32"/>
          <w:lang w:val="en-US" w:eastAsia="zh-CN"/>
        </w:rPr>
        <w:t>偏离原因：</w:t>
      </w:r>
    </w:p>
    <w:p>
      <w:pPr>
        <w:widowControl/>
        <w:adjustRightInd w:val="0"/>
        <w:snapToGrid w:val="0"/>
        <w:spacing w:line="336" w:lineRule="auto"/>
        <w:ind w:leftChars="67" w:left="201" w:firstLineChars="150" w:firstLine="480"/>
        <w:rPr>
          <w:rFonts w:ascii="仿宋" w:eastAsia="仿宋" w:cs="宋体" w:hAnsi="仿宋"/>
          <w:color w:val="000000"/>
          <w:kern w:val="0"/>
          <w:sz w:val="32"/>
          <w:szCs w:val="32"/>
        </w:rPr>
      </w:pPr>
      <w:r>
        <w:rPr>
          <w:rFonts w:ascii="仿宋" w:eastAsia="仿宋" w:cs="宋体" w:hAnsi="仿宋" w:hint="eastAsia"/>
          <w:color w:val="000000"/>
          <w:kern w:val="0"/>
          <w:sz w:val="32"/>
          <w:szCs w:val="32"/>
        </w:rPr>
        <w:t>1、基本公共卫生服务政策宣传不够广泛，群众对其认识不足。有些项目效果不理想。</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 xml:space="preserve">从本次考核的情况看，群众的健康意识不强，即使享受了其中的某项免费服务项目，也未能与实施国家基本公共卫生服务项目的长期国策联系起来。一是有些档案尤其是非重点人群，死档较多，内容不完整；二是基层医疗服务机构人员匮乏，服务队伍力量薄弱,业务人员素质普遍偏低，业务技术人员缺乏 ，影响了项目工作的深入开展 。 </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①公共卫生人员编制严重不足。按照省核定的人员编制，我县乡镇卫生院普遍空编，人员缺口较大。妇幼保健、儿童保健等公共卫生服务人员短缺，难以满足工作需要。</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 xml:space="preserve">②基层卫生人员相关专业培训不足，继续教育滞后，部分从业人员综合素质偏低，责任心不强，履职不到位，难以高质量做好基本公共卫生服务工作。 </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 xml:space="preserve">③相当一部分乡村医生年龄结构老化，学历偏低，医学知识结构不合理，加之待遇偏低、工作强度较大，致使人员流失严重、服务队伍不稳，严重影响基本公共卫生服务项目的质量和水平。 </w:t>
      </w:r>
    </w:p>
    <w:p>
      <w:pPr>
        <w:autoSpaceDE w:val="0"/>
        <w:autoSpaceDN w:val="0"/>
        <w:adjustRightInd w:val="0"/>
        <w:snapToGrid w:val="0"/>
        <w:spacing w:line="360"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④乡镇卫生院对村医的考核不规范。有的卫生院202</w:t>
      </w:r>
      <w:r>
        <w:rPr>
          <w:rFonts w:ascii="仿宋" w:eastAsia="仿宋" w:cs="宋体" w:hAnsi="仿宋" w:hint="eastAsia"/>
          <w:color w:val="000000"/>
          <w:kern w:val="0"/>
          <w:sz w:val="32"/>
          <w:szCs w:val="32"/>
          <w:lang w:val="en-US" w:eastAsia="zh-CN"/>
        </w:rPr>
        <w:t>4</w:t>
      </w:r>
      <w:r>
        <w:rPr>
          <w:rFonts w:ascii="仿宋" w:eastAsia="仿宋" w:cs="宋体" w:hAnsi="仿宋" w:hint="eastAsia"/>
          <w:color w:val="000000"/>
          <w:kern w:val="0"/>
          <w:sz w:val="32"/>
          <w:szCs w:val="32"/>
        </w:rPr>
        <w:t>年对村医考核虽有考核评分依据，但在实际考核中，减分不细不严格，有的分数不明确，考核资料简单，没有体现考核的严肃性。</w:t>
      </w:r>
    </w:p>
    <w:p>
      <w:pPr>
        <w:widowControl/>
        <w:adjustRightInd w:val="0"/>
        <w:snapToGrid w:val="0"/>
        <w:spacing w:line="336" w:lineRule="auto"/>
        <w:ind w:leftChars="67" w:left="201" w:firstLineChars="150" w:firstLine="480"/>
        <w:rPr>
          <w:rFonts w:ascii="仿宋" w:eastAsia="仿宋" w:cs="宋体" w:hAnsi="仿宋"/>
          <w:color w:val="000000"/>
          <w:kern w:val="0"/>
          <w:sz w:val="32"/>
          <w:szCs w:val="32"/>
        </w:rPr>
      </w:pPr>
      <w:r>
        <w:rPr>
          <w:rFonts w:ascii="仿宋" w:eastAsia="仿宋" w:cs="宋体" w:hAnsi="仿宋" w:hint="eastAsia"/>
          <w:color w:val="000000"/>
          <w:kern w:val="0"/>
          <w:sz w:val="32"/>
          <w:szCs w:val="32"/>
        </w:rPr>
        <w:t>2、基本公共卫生工作开展不够平衡，部分单位在基本公共卫生服务项目实施中工作质量和管理有待进一步提高。</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（1）居民健康档案管理质量不高，存在格式化、表面化现象。</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在对健康档案抽查中发现，有的单位健康档案管理不到位，存在个别内容不全、信息不实、档案无编号、档案内容登记错误等问题。</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（2）健康教育开展不到位。</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个别基层医疗卫生单位影音播放器不能定期播放；宣传栏更换内容简单，记录表不完整。实际开展健康知识讲座和健康咨询服务做的不到位。由于健康教育开展的不扎实，针对性不强，健康指导不到位，致使城乡居民对基本公共卫生服务项目和服务流程等不甚了解，主动接受服务的参与意识不高。</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（3）儿童健康管理不规范。</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有些儿童健康档案不完整，抽查的档案中存在如下现象: 档案封面填写不全；个人信息表填写不全；随访检查记录不全；个别出生三个月前囟闭合;身份证号填写不全、新生儿访视中父母信息、出生孕周、助产机构、喂养方式等均填写不完整；纸质档案和电子档案建档日期不一致；新生儿访视中的眼、耳、鼻和口腔等信息填写不全；父母信息录入不全；新出生儿童视力4.8或5.2。</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（4）孕产妇健康管理工作有欠缺。</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个别卫生院虽建立孕产妇健康档案，但档案无编号，产后访视指导不到位，孕产妇产前检查、服务机构和服务医生均未录入电子系统中，或孕产妇随访记录表单独存放，未归档于本人的基本档案中。</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部分卫生院孕产妇个人基本信息和健康体检表填写不全；孕产妇产前检查数量不足或无产前检查；部分产妇血压等记录未录入；纸质档案和电子档案建档日期不一致；无联系方式；孕产妇检查项目指标纸质和电子档案不一致；孕产妇产前产后体重、腰围等指标无变化。</w:t>
      </w:r>
    </w:p>
    <w:p>
      <w:pPr>
        <w:widowControl/>
        <w:adjustRightInd w:val="0"/>
        <w:snapToGrid w:val="0"/>
        <w:spacing w:line="336" w:lineRule="auto"/>
        <w:ind w:firstLineChars="200" w:firstLine="640"/>
        <w:rPr>
          <w:rFonts w:ascii="仿宋" w:eastAsia="仿宋" w:cs="宋体" w:hAnsi="仿宋"/>
          <w:color w:val="000000"/>
          <w:kern w:val="0"/>
          <w:sz w:val="32"/>
          <w:szCs w:val="32"/>
        </w:rPr>
      </w:pPr>
      <w:r>
        <w:rPr>
          <w:rFonts w:ascii="仿宋" w:eastAsia="仿宋" w:cs="宋体" w:hAnsi="仿宋" w:hint="eastAsia"/>
          <w:color w:val="000000"/>
          <w:kern w:val="0"/>
          <w:sz w:val="32"/>
          <w:szCs w:val="32"/>
        </w:rPr>
        <w:t>（5）老年人和慢性病患者健康管理覆盖率不高，指导规范。</w:t>
      </w:r>
    </w:p>
    <w:p>
      <w:pPr>
        <w:widowControl/>
        <w:adjustRightInd w:val="0"/>
        <w:snapToGrid w:val="0"/>
        <w:spacing w:line="336" w:lineRule="auto"/>
        <w:ind w:firstLineChars="200" w:firstLine="640"/>
        <w:rPr>
          <w:rFonts w:ascii="仿宋" w:eastAsia="仿宋" w:cs="宋体" w:hAnsi="仿宋" w:hint="eastAsia"/>
          <w:color w:val="000000"/>
          <w:kern w:val="0"/>
          <w:sz w:val="32"/>
          <w:szCs w:val="32"/>
          <w:lang w:eastAsia="zh-CN"/>
        </w:rPr>
      </w:pPr>
      <w:r>
        <w:rPr>
          <w:rFonts w:ascii="仿宋" w:eastAsia="仿宋" w:cs="宋体" w:hAnsi="仿宋" w:hint="eastAsia"/>
          <w:color w:val="000000"/>
          <w:kern w:val="0"/>
          <w:sz w:val="32"/>
          <w:szCs w:val="32"/>
        </w:rPr>
        <w:t>健康档案存在问题较多，如部分档案有联系电话但打不通、身份证号错误；电子系统信息录入不全；健康体检表无健康评价和指导；随访表无下次随访时间和随访医生签字；高血压患者健康体检表健康评价不科学；慢性病患者无疾病记录和确诊时间记录；指导用药与实际用药不符，血压控制率和血糖控制率不高；个别随访表无用药名称只有用法用量</w:t>
      </w:r>
      <w:r>
        <w:rPr>
          <w:rFonts w:ascii="仿宋" w:eastAsia="仿宋" w:cs="宋体" w:hAnsi="仿宋" w:hint="eastAsia"/>
          <w:color w:val="000000"/>
          <w:kern w:val="0"/>
          <w:sz w:val="32"/>
          <w:szCs w:val="32"/>
          <w:lang w:eastAsia="zh-CN"/>
        </w:rPr>
        <w:t>，</w:t>
      </w:r>
      <w:r>
        <w:rPr>
          <w:rFonts w:ascii="仿宋" w:eastAsia="仿宋" w:cs="宋体" w:hAnsi="仿宋" w:hint="eastAsia"/>
          <w:color w:val="000000"/>
          <w:kern w:val="0"/>
          <w:sz w:val="32"/>
          <w:szCs w:val="32"/>
        </w:rPr>
        <w:t>同时，基层医疗服务单位能够开展老年人健康体检，但个别单位服务不尽规范，服务内容不全，缺项、漏项较多。</w:t>
      </w:r>
    </w:p>
    <w:p>
      <w:pPr>
        <w:widowControl/>
        <w:adjustRightInd w:val="0"/>
        <w:snapToGrid w:val="0"/>
        <w:spacing w:line="336" w:lineRule="auto"/>
        <w:ind w:firstLineChars="150" w:firstLine="480"/>
        <w:rPr>
          <w:rFonts w:ascii="仿宋" w:eastAsia="仿宋" w:cs="宋体" w:hAnsi="仿宋" w:hint="eastAsia"/>
          <w:color w:val="000000"/>
          <w:kern w:val="0"/>
          <w:sz w:val="32"/>
          <w:szCs w:val="32"/>
          <w:lang w:eastAsia="zh-CN"/>
        </w:rPr>
      </w:pPr>
      <w:r>
        <w:rPr>
          <w:rFonts w:ascii="仿宋" w:eastAsia="仿宋" w:cs="宋体" w:hAnsi="仿宋" w:hint="eastAsia"/>
          <w:color w:val="000000"/>
          <w:kern w:val="0"/>
          <w:sz w:val="32"/>
          <w:szCs w:val="32"/>
          <w:lang w:eastAsia="zh-CN"/>
        </w:rPr>
        <w:t>（</w:t>
      </w:r>
      <w:r>
        <w:rPr>
          <w:rFonts w:ascii="仿宋" w:eastAsia="仿宋" w:cs="宋体" w:hAnsi="仿宋" w:hint="eastAsia"/>
          <w:color w:val="000000"/>
          <w:kern w:val="0"/>
          <w:sz w:val="32"/>
          <w:szCs w:val="32"/>
          <w:lang w:val="en-US" w:eastAsia="zh-CN"/>
        </w:rPr>
        <w:t>6</w:t>
      </w:r>
      <w:r>
        <w:rPr>
          <w:rFonts w:ascii="仿宋" w:eastAsia="仿宋" w:cs="宋体" w:hAnsi="仿宋" w:hint="eastAsia"/>
          <w:color w:val="000000"/>
          <w:kern w:val="0"/>
          <w:sz w:val="32"/>
          <w:szCs w:val="32"/>
          <w:lang w:eastAsia="zh-CN"/>
        </w:rPr>
        <w:t>）</w:t>
      </w:r>
      <w:r>
        <w:rPr>
          <w:rFonts w:ascii="仿宋" w:eastAsia="仿宋" w:cs="宋体" w:hAnsi="仿宋" w:hint="eastAsia"/>
          <w:color w:val="000000"/>
          <w:kern w:val="0"/>
          <w:sz w:val="32"/>
          <w:szCs w:val="32"/>
        </w:rPr>
        <w:t>财务管理情况</w:t>
      </w:r>
      <w:r>
        <w:rPr>
          <w:rFonts w:ascii="仿宋" w:eastAsia="仿宋" w:cs="宋体" w:hAnsi="仿宋" w:hint="eastAsia"/>
          <w:color w:val="000000"/>
          <w:kern w:val="0"/>
          <w:sz w:val="32"/>
          <w:szCs w:val="32"/>
          <w:lang w:eastAsia="zh-CN"/>
        </w:rPr>
        <w:t>。</w:t>
      </w:r>
    </w:p>
    <w:p>
      <w:pPr>
        <w:widowControl/>
        <w:adjustRightInd w:val="0"/>
        <w:snapToGrid w:val="0"/>
        <w:spacing w:line="336" w:lineRule="auto"/>
        <w:ind w:firstLineChars="200" w:firstLine="640"/>
      </w:pPr>
      <w:r>
        <w:rPr>
          <w:rFonts w:ascii="仿宋" w:eastAsia="仿宋" w:cs="宋体" w:hAnsi="仿宋" w:hint="eastAsia"/>
          <w:color w:val="000000"/>
          <w:kern w:val="0"/>
          <w:sz w:val="32"/>
          <w:szCs w:val="32"/>
        </w:rPr>
        <w:t>项目资金拨付程序基本规范，各基层卫生医疗机构基本能够按照《河北省基本公共卫生服务项目补助资金管理办法》的要求登记账簿，但有些卫生院财务管理薄弱，财务核算不尽规范。</w:t>
      </w:r>
    </w:p>
    <w:p>
      <w:pPr>
        <w:ind w:firstLineChars="200" w:firstLine="640"/>
        <w:rPr>
          <w:rFonts w:ascii="仿宋" w:eastAsia="仿宋" w:cs="黑体" w:hAnsi="仿宋" w:hint="eastAsia"/>
          <w:b/>
          <w:bCs w:val="0"/>
          <w:sz w:val="32"/>
          <w:szCs w:val="32"/>
          <w:lang w:val="en-US" w:eastAsia="zh-CN"/>
        </w:rPr>
      </w:pPr>
      <w:r>
        <w:rPr>
          <w:rFonts w:ascii="仿宋" w:eastAsia="仿宋" w:cs="黑体" w:hAnsi="仿宋" w:hint="eastAsia"/>
          <w:b/>
          <w:bCs w:val="0"/>
          <w:sz w:val="32"/>
          <w:szCs w:val="32"/>
        </w:rPr>
        <w:t>改进措施</w:t>
      </w:r>
      <w:r>
        <w:rPr>
          <w:rFonts w:ascii="仿宋" w:eastAsia="仿宋" w:cs="黑体" w:hAnsi="仿宋" w:hint="eastAsia"/>
          <w:b/>
          <w:bCs w:val="0"/>
          <w:sz w:val="32"/>
          <w:szCs w:val="32"/>
          <w:lang w:val="en-US" w:eastAsia="zh-CN"/>
        </w:rPr>
        <w:t>:</w:t>
      </w:r>
    </w:p>
    <w:p>
      <w:pPr>
        <w:ind w:firstLineChars="200" w:firstLine="640"/>
        <w:rPr>
          <w:rFonts w:ascii="仿宋" w:eastAsia="仿宋" w:cs="黑体" w:hAnsi="仿宋"/>
          <w:bCs/>
          <w:sz w:val="32"/>
          <w:szCs w:val="32"/>
        </w:rPr>
      </w:pPr>
      <w:r>
        <w:rPr>
          <w:rFonts w:ascii="仿宋" w:eastAsia="仿宋" w:cs="黑体" w:hAnsi="仿宋"/>
          <w:bCs/>
          <w:sz w:val="32"/>
          <w:szCs w:val="32"/>
        </w:rPr>
        <w:t>1.</w:t>
      </w:r>
      <w:r>
        <w:rPr>
          <w:rFonts w:ascii="仿宋" w:eastAsia="仿宋" w:cs="黑体" w:hAnsi="仿宋" w:hint="eastAsia"/>
          <w:bCs/>
          <w:sz w:val="32"/>
          <w:szCs w:val="32"/>
        </w:rPr>
        <w:t>不断完善公卫人力资源的建设</w:t>
      </w:r>
      <w:r>
        <w:rPr>
          <w:rFonts w:ascii="仿宋" w:eastAsia="仿宋" w:cs="黑体" w:hAnsi="仿宋"/>
          <w:bCs/>
          <w:sz w:val="32"/>
          <w:szCs w:val="32"/>
        </w:rPr>
        <w:t>.</w:t>
      </w:r>
    </w:p>
    <w:p>
      <w:pPr>
        <w:ind w:firstLineChars="200" w:firstLine="640"/>
        <w:rPr>
          <w:rFonts w:ascii="仿宋" w:eastAsia="仿宋" w:cs="黑体" w:hAnsi="仿宋"/>
          <w:bCs/>
          <w:sz w:val="32"/>
          <w:szCs w:val="32"/>
        </w:rPr>
      </w:pPr>
      <w:r>
        <w:rPr>
          <w:rFonts w:ascii="仿宋" w:eastAsia="仿宋" w:cs="黑体" w:hAnsi="仿宋"/>
          <w:bCs/>
          <w:sz w:val="32"/>
          <w:szCs w:val="32"/>
        </w:rPr>
        <w:t>2.</w:t>
      </w:r>
      <w:r>
        <w:rPr>
          <w:rFonts w:ascii="仿宋" w:eastAsia="仿宋" w:cs="黑体" w:hAnsi="仿宋" w:hint="eastAsia"/>
          <w:bCs/>
          <w:sz w:val="32"/>
          <w:szCs w:val="32"/>
        </w:rPr>
        <w:t>投入资金</w:t>
      </w:r>
      <w:r>
        <w:rPr>
          <w:rFonts w:ascii="仿宋" w:eastAsia="仿宋" w:cs="黑体" w:hAnsi="仿宋"/>
          <w:bCs/>
          <w:sz w:val="32"/>
          <w:szCs w:val="32"/>
        </w:rPr>
        <w:t>,</w:t>
      </w:r>
      <w:r>
        <w:rPr>
          <w:rFonts w:ascii="仿宋" w:eastAsia="仿宋" w:cs="黑体" w:hAnsi="仿宋" w:hint="eastAsia"/>
          <w:bCs/>
          <w:sz w:val="32"/>
          <w:szCs w:val="32"/>
        </w:rPr>
        <w:t>完善公共卫生各专线所缺设备</w:t>
      </w:r>
      <w:r>
        <w:rPr>
          <w:rFonts w:ascii="仿宋" w:eastAsia="仿宋" w:cs="黑体" w:hAnsi="仿宋"/>
          <w:bCs/>
          <w:sz w:val="32"/>
          <w:szCs w:val="32"/>
        </w:rPr>
        <w:t>.</w:t>
      </w:r>
    </w:p>
    <w:p>
      <w:pPr>
        <w:ind w:firstLineChars="200" w:firstLine="640"/>
        <w:rPr>
          <w:rFonts w:ascii="仿宋" w:eastAsia="仿宋" w:cs="黑体" w:hAnsi="仿宋"/>
          <w:bCs/>
          <w:sz w:val="32"/>
          <w:szCs w:val="32"/>
        </w:rPr>
      </w:pPr>
      <w:r>
        <w:rPr>
          <w:rFonts w:ascii="仿宋" w:eastAsia="仿宋" w:cs="黑体" w:hAnsi="仿宋"/>
          <w:bCs/>
          <w:sz w:val="32"/>
          <w:szCs w:val="32"/>
        </w:rPr>
        <w:t>3.</w:t>
      </w:r>
      <w:r>
        <w:rPr>
          <w:rFonts w:ascii="仿宋" w:eastAsia="仿宋" w:cs="黑体" w:hAnsi="仿宋" w:hint="eastAsia"/>
          <w:bCs/>
          <w:sz w:val="32"/>
          <w:szCs w:val="32"/>
        </w:rPr>
        <w:t>与门诊、网络化工作联动，把建立辖区居民健康档案工作、更新居民资料作为中心工作的重点，明确责任分工，细化工作措施，确保居民健康档案信息及时更新。</w:t>
      </w:r>
    </w:p>
    <w:p>
      <w:pPr>
        <w:ind w:firstLineChars="200" w:firstLine="640"/>
        <w:rPr>
          <w:rFonts w:ascii="仿宋" w:eastAsia="仿宋" w:cs="黑体" w:hAnsi="仿宋" w:hint="eastAsia"/>
          <w:bCs/>
          <w:sz w:val="32"/>
          <w:szCs w:val="32"/>
        </w:rPr>
      </w:pPr>
      <w:r>
        <w:rPr>
          <w:rFonts w:ascii="仿宋" w:eastAsia="仿宋" w:cs="黑体" w:hAnsi="仿宋"/>
          <w:bCs/>
          <w:sz w:val="32"/>
          <w:szCs w:val="32"/>
        </w:rPr>
        <w:t>4.</w:t>
      </w:r>
      <w:r>
        <w:rPr>
          <w:rFonts w:ascii="仿宋" w:eastAsia="仿宋" w:cs="黑体" w:hAnsi="仿宋" w:hint="eastAsia"/>
          <w:bCs/>
          <w:sz w:val="32"/>
          <w:szCs w:val="32"/>
        </w:rPr>
        <w:t>密切联系居委会人员和街道民警，及时发现精神病患者；加大慢病随访力度。合理安排网络服务时间，定期总结经验，主动上门服务，全面推进网络化服务。</w:t>
      </w:r>
    </w:p>
    <w:p>
      <w:pPr>
        <w:pStyle w:val="16"/>
        <w:ind w:leftChars="0" w:left="0" w:firstLineChars="0" w:firstLine="0"/>
        <w:rPr>
          <w:rFonts w:eastAsia="仿宋"/>
          <w:lang w:val="en-US" w:eastAsia="zh-CN"/>
        </w:rPr>
      </w:pPr>
      <w:r>
        <w:rPr>
          <w:rFonts w:ascii="仿宋" w:eastAsia="仿宋" w:cs="黑体" w:hAnsi="仿宋" w:hint="eastAsia"/>
          <w:bCs/>
          <w:sz w:val="32"/>
          <w:szCs w:val="32"/>
          <w:lang w:val="en-US" w:eastAsia="zh-CN"/>
        </w:rPr>
        <w:t xml:space="preserve">    5.对下属单位财务人员进行培训，提高专业技能，使其了解基本公卫执行资金管理、使用流程。</w:t>
      </w:r>
    </w:p>
    <w:p>
      <w:pPr>
        <w:spacing w:line="560" w:lineRule="exact"/>
        <w:ind w:left="0" w:firstLineChars="200" w:firstLine="640"/>
        <w:rPr>
          <w:rFonts w:eastAsia="仿宋_GB2312"/>
          <w:lang w:val="en-US" w:eastAsia="zh-CN"/>
        </w:rPr>
      </w:pPr>
      <w:r>
        <w:rPr>
          <w:rFonts w:ascii="黑体" w:eastAsia="黑体" w:hAnsi="黑体" w:hint="eastAsia"/>
          <w:bCs/>
          <w:sz w:val="32"/>
          <w:szCs w:val="32"/>
          <w:lang w:val="en-US" w:eastAsia="zh-CN"/>
        </w:rPr>
        <w:t>四、</w:t>
      </w:r>
      <w:r>
        <w:rPr>
          <w:rFonts w:ascii="黑体" w:eastAsia="黑体" w:hAnsi="黑体" w:hint="eastAsia"/>
          <w:bCs/>
          <w:sz w:val="32"/>
          <w:szCs w:val="32"/>
        </w:rPr>
        <w:t>绩效自评结果拟应用和公开情况</w:t>
      </w:r>
    </w:p>
    <w:tbl>
      <w:tblPr>
        <w:jc w:val="left"/>
        <w:tblInd w:w="91" w:type="dxa"/>
        <w:tblW w:w="921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735"/>
        <w:gridCol w:w="125"/>
        <w:gridCol w:w="775"/>
        <w:gridCol w:w="245"/>
        <w:gridCol w:w="1195"/>
        <w:gridCol w:w="204"/>
        <w:gridCol w:w="4624"/>
        <w:gridCol w:w="719"/>
        <w:gridCol w:w="589"/>
      </w:tblGrid>
      <w:tr>
        <w:trPr>
          <w:trHeight w:val="345"/>
        </w:trPr>
        <w:tc>
          <w:tcPr>
            <w:tcW w:w="3075" w:type="dxa"/>
            <w:gridSpan w:val="5"/>
            <w:tcBorders>
              <w:top w:val="single" w:sz="4" w:space="0" w:color="auto"/>
              <w:left w:val="single" w:sz="4" w:space="0" w:color="auto"/>
              <w:bottom w:val="single" w:sz="4" w:space="0" w:color="auto"/>
              <w:right w:val="single" w:sz="4" w:space="0" w:color="000000"/>
            </w:tcBorders>
            <w:noWrap/>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基本指标</w:t>
            </w:r>
          </w:p>
        </w:tc>
        <w:tc>
          <w:tcPr>
            <w:tcW w:w="4828" w:type="dxa"/>
            <w:gridSpan w:val="2"/>
            <w:vMerge w:val="restart"/>
            <w:tcBorders>
              <w:top w:val="single" w:sz="4" w:space="0" w:color="auto"/>
              <w:left w:val="single" w:sz="4" w:space="0" w:color="auto"/>
              <w:bottom w:val="single" w:sz="4" w:space="0" w:color="000000"/>
              <w:right w:val="single" w:sz="4" w:space="0" w:color="000000"/>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评价内容(标准)</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该项</w:t>
            </w:r>
          </w:p>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分值</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评价</w:t>
            </w:r>
          </w:p>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得分</w:t>
            </w:r>
          </w:p>
        </w:tc>
      </w:tr>
      <w:tr>
        <w:trPr>
          <w:trHeight w:val="390"/>
        </w:trPr>
        <w:tc>
          <w:tcPr>
            <w:tcW w:w="735" w:type="dxa"/>
            <w:tcBorders>
              <w:top w:val="nil"/>
              <w:left w:val="single" w:sz="4" w:space="0" w:color="auto"/>
              <w:bottom w:val="single" w:sz="4" w:space="0" w:color="auto"/>
              <w:right w:val="single" w:sz="4" w:space="0" w:color="auto"/>
            </w:tcBorders>
            <w:noWrap/>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一级</w:t>
            </w:r>
          </w:p>
        </w:tc>
        <w:tc>
          <w:tcPr>
            <w:tcW w:w="900" w:type="dxa"/>
            <w:gridSpan w:val="2"/>
            <w:tcBorders>
              <w:top w:val="nil"/>
              <w:left w:val="nil"/>
              <w:bottom w:val="single" w:sz="4" w:space="0" w:color="auto"/>
              <w:right w:val="single" w:sz="4" w:space="0" w:color="auto"/>
            </w:tcBorders>
            <w:noWrap/>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二级</w:t>
            </w:r>
          </w:p>
        </w:tc>
        <w:tc>
          <w:tcPr>
            <w:tcW w:w="1440" w:type="dxa"/>
            <w:gridSpan w:val="2"/>
            <w:tcBorders>
              <w:top w:val="nil"/>
              <w:left w:val="nil"/>
              <w:bottom w:val="single" w:sz="4" w:space="0" w:color="auto"/>
              <w:right w:val="single" w:sz="4" w:space="0" w:color="auto"/>
            </w:tcBorders>
            <w:noWrap/>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三级</w:t>
            </w:r>
          </w:p>
        </w:tc>
        <w:tc>
          <w:tcPr>
            <w:tcW w:w="4828" w:type="dxa"/>
            <w:gridSpan w:val="2"/>
            <w:vMerge/>
            <w:tcBorders>
              <w:top w:val="nil"/>
              <w:left w:val="nil"/>
              <w:bottom w:val="single" w:sz="4" w:space="0" w:color="auto"/>
              <w:right w:val="single" w:sz="4" w:space="0" w:color="auto"/>
            </w:tcBorders>
            <w:vAlign w:val="center"/>
          </w:tcPr>
          <w:p/>
        </w:tc>
        <w:tc>
          <w:tcPr>
            <w:tcW w:w="719" w:type="dxa"/>
            <w:vMerge/>
            <w:tcBorders>
              <w:top w:val="single" w:sz="4" w:space="0" w:color="auto"/>
              <w:left w:val="single" w:sz="4" w:space="0" w:color="auto"/>
              <w:bottom w:val="single" w:sz="4" w:space="0" w:color="auto"/>
              <w:right w:val="single" w:sz="4" w:space="0" w:color="auto"/>
            </w:tcBorders>
            <w:vAlign w:val="center"/>
          </w:tcPr>
          <w:p/>
        </w:tc>
        <w:tc>
          <w:tcPr>
            <w:tcW w:w="589" w:type="dxa"/>
            <w:vMerge/>
            <w:tcBorders>
              <w:top w:val="single" w:sz="4" w:space="0" w:color="auto"/>
              <w:left w:val="single" w:sz="4" w:space="0" w:color="auto"/>
              <w:bottom w:val="single" w:sz="4" w:space="0" w:color="auto"/>
              <w:right w:val="single" w:sz="4" w:space="0" w:color="auto"/>
            </w:tcBorders>
            <w:vAlign w:val="center"/>
          </w:tcPr>
          <w:p/>
        </w:tc>
      </w:tr>
      <w:tr>
        <w:trPr>
          <w:trHeight w:val="90"/>
        </w:trPr>
        <w:tc>
          <w:tcPr>
            <w:tcW w:w="735" w:type="dxa"/>
            <w:vMerge w:val="restart"/>
            <w:tcBorders>
              <w:top w:val="nil"/>
              <w:left w:val="single" w:sz="4" w:space="0" w:color="auto"/>
              <w:bottom w:val="single" w:sz="4" w:space="0" w:color="000000"/>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w:t>
            </w:r>
          </w:p>
          <w:p>
            <w:pPr>
              <w:widowControl/>
              <w:jc w:val="center"/>
              <w:rPr>
                <w:rFonts w:ascii="楷体_GB2312" w:eastAsia="楷体_GB2312" w:cs="宋体" w:hAnsi="宋体"/>
                <w:kern w:val="0"/>
                <w:sz w:val="18"/>
                <w:szCs w:val="18"/>
              </w:rPr>
            </w:pP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绩效</w:t>
            </w:r>
          </w:p>
          <w:p>
            <w:pPr>
              <w:widowControl/>
              <w:jc w:val="center"/>
              <w:rPr>
                <w:rFonts w:ascii="楷体_GB2312" w:eastAsia="楷体_GB2312" w:cs="宋体" w:hAnsi="宋体"/>
                <w:kern w:val="0"/>
                <w:sz w:val="18"/>
                <w:szCs w:val="18"/>
              </w:rPr>
            </w:pP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指标</w:t>
            </w:r>
          </w:p>
        </w:tc>
        <w:tc>
          <w:tcPr>
            <w:tcW w:w="90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目标</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设定</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情况（10）</w:t>
            </w: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依据的充分性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项目和项目资金设立是否符合国家、省、市出台的相关政策文件要求：符合3分；基本符合2～1分；不符合0分。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3</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3 </w:t>
            </w:r>
          </w:p>
        </w:tc>
      </w:tr>
      <w:tr>
        <w:trPr>
          <w:trHeight w:val="79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目标的合理性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项目绩效目标是否明确、客观、科学，并做到细化、量化，能否体现财政支出的经济性、效率性和有效性：合理3分；较合理2～1分；不合理0分。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3</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3 </w:t>
            </w:r>
          </w:p>
        </w:tc>
      </w:tr>
      <w:tr>
        <w:trPr>
          <w:trHeight w:val="630"/>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决策程序合规性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项目申报程序合规，项目调整履行相应手续：合规4分；基本合规3～1分；不合规0分。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4 </w:t>
            </w:r>
          </w:p>
        </w:tc>
      </w:tr>
      <w:tr>
        <w:trPr>
          <w:trHeight w:val="82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val="restart"/>
            <w:tcBorders>
              <w:top w:val="nil"/>
              <w:left w:val="single" w:sz="4" w:space="0" w:color="auto"/>
              <w:bottom w:val="nil"/>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组织</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管理（22）</w:t>
            </w: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管理制度保障</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项目相关管理制度是否健全以及落实到位（如项目的实施方案、档案管理等）：健全并落实到位7分；不健全或未完全落实到位的视情况酌情打分。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7</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kern w:val="0"/>
                <w:sz w:val="18"/>
                <w:szCs w:val="18"/>
              </w:rPr>
              <w:t>7</w:t>
            </w:r>
            <w:r>
              <w:rPr>
                <w:rFonts w:ascii="楷体_GB2312" w:eastAsia="楷体_GB2312" w:cs="宋体" w:hAnsi="宋体" w:hint="eastAsia"/>
                <w:kern w:val="0"/>
                <w:sz w:val="18"/>
                <w:szCs w:val="18"/>
              </w:rPr>
              <w:t xml:space="preserve"> </w:t>
            </w:r>
          </w:p>
        </w:tc>
      </w:tr>
      <w:tr>
        <w:trPr>
          <w:trHeight w:val="996"/>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nil"/>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支撑条件保障</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项目实施组织机构健全、职责明确；卫生信息体系建设完善；创新和改进服务方式；强化公共卫生服务职能得8分；不完善或不健全的酌情扣分。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8</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kern w:val="0"/>
                <w:sz w:val="18"/>
                <w:szCs w:val="18"/>
              </w:rPr>
              <w:t>7</w:t>
            </w:r>
            <w:r>
              <w:rPr>
                <w:rFonts w:ascii="楷体_GB2312" w:eastAsia="楷体_GB2312" w:cs="宋体" w:hAnsi="宋体" w:hint="eastAsia"/>
                <w:kern w:val="0"/>
                <w:sz w:val="18"/>
                <w:szCs w:val="18"/>
              </w:rPr>
              <w:t xml:space="preserve"> </w:t>
            </w:r>
          </w:p>
        </w:tc>
      </w:tr>
      <w:tr>
        <w:trPr>
          <w:trHeight w:val="82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nil"/>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质量管理  </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项目实施过程中对项目实施质量进行监管和抽查，并按国家行业相关规定</w:t>
            </w:r>
            <w:r>
              <w:rPr>
                <w:rFonts w:ascii="楷体_GB2312" w:eastAsia="楷体_GB2312" w:cs="宋体" w:hAnsi="宋体" w:hint="eastAsia"/>
                <w:kern w:val="0"/>
                <w:sz w:val="18"/>
                <w:szCs w:val="18"/>
                <w:lang w:eastAsia="zh-CN"/>
              </w:rPr>
              <w:t>出具</w:t>
            </w:r>
            <w:r>
              <w:rPr>
                <w:rFonts w:ascii="楷体_GB2312" w:eastAsia="楷体_GB2312" w:cs="宋体" w:hAnsi="宋体" w:hint="eastAsia"/>
                <w:kern w:val="0"/>
                <w:sz w:val="18"/>
                <w:szCs w:val="18"/>
              </w:rPr>
              <w:t>相关报告并整理上报、建档7分，存在不规范现象的视情况酌情打分。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7</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kern w:val="0"/>
                <w:sz w:val="18"/>
                <w:szCs w:val="18"/>
              </w:rPr>
              <w:t>6</w:t>
            </w:r>
            <w:r>
              <w:rPr>
                <w:rFonts w:ascii="楷体_GB2312" w:eastAsia="楷体_GB2312" w:cs="宋体" w:hAnsi="宋体" w:hint="eastAsia"/>
                <w:kern w:val="0"/>
                <w:sz w:val="18"/>
                <w:szCs w:val="18"/>
              </w:rPr>
              <w:t xml:space="preserve"> </w:t>
            </w:r>
          </w:p>
        </w:tc>
      </w:tr>
      <w:tr>
        <w:trPr>
          <w:trHeight w:val="82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资金</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落实（4）</w:t>
            </w: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财政资金到位率</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财政资金均按规定完全到位为2分；存在个别按规定应到位而未到位现象的为1分；存在较多按规定应到位而未到位现象的为0分。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2</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hint="eastAsia"/>
                <w:kern w:val="0"/>
                <w:sz w:val="18"/>
                <w:szCs w:val="18"/>
                <w:lang w:eastAsia="zh-CN"/>
              </w:rPr>
            </w:pPr>
            <w:r>
              <w:rPr>
                <w:rFonts w:ascii="楷体_GB2312" w:eastAsia="楷体_GB2312" w:cs="宋体" w:hAnsi="宋体" w:hint="eastAsia"/>
                <w:kern w:val="0"/>
                <w:sz w:val="18"/>
                <w:szCs w:val="18"/>
                <w:lang w:val="en-US" w:eastAsia="zh-CN"/>
              </w:rPr>
              <w:t>1</w:t>
            </w:r>
          </w:p>
        </w:tc>
      </w:tr>
      <w:tr>
        <w:trPr>
          <w:trHeight w:val="58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single" w:sz="4" w:space="0" w:color="auto"/>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资金到位及时性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资金按照项目要求及时到位的：2分；未能全部及时到位的：1分；未到位：0分。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2</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lang w:val="en-US" w:eastAsia="zh-CN"/>
              </w:rPr>
              <w:t>1</w:t>
            </w:r>
            <w:r>
              <w:rPr>
                <w:rFonts w:ascii="楷体_GB2312" w:eastAsia="楷体_GB2312" w:cs="宋体" w:hAnsi="宋体" w:hint="eastAsia"/>
                <w:kern w:val="0"/>
                <w:sz w:val="18"/>
                <w:szCs w:val="18"/>
              </w:rPr>
              <w:t xml:space="preserve"> </w:t>
            </w:r>
          </w:p>
        </w:tc>
      </w:tr>
      <w:tr>
        <w:trPr>
          <w:trHeight w:val="61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实际</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支出（12）</w:t>
            </w: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资金使用率</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财政资金使用率评分=财政资金实际使用金额/财政资金实际拨付金额×4</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4 </w:t>
            </w:r>
          </w:p>
        </w:tc>
      </w:tr>
      <w:tr>
        <w:trPr>
          <w:trHeight w:val="810"/>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支出的相符性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资金实际支出与预算批复的用途以及专项资金管理办法是否相符：完全相符为4分；存在不相符现象为3～1分；相符性极差或支出调整不合理无依据的为0分。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4 </w:t>
            </w:r>
          </w:p>
        </w:tc>
      </w:tr>
      <w:tr>
        <w:trPr>
          <w:trHeight w:val="570"/>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支出的合规性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资金支出是否符合国家财经法规和财务管理制度：完全符合为4分；存在不符合现象为3～1分；完全不符合为0分。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 xml:space="preserve">4 </w:t>
            </w:r>
          </w:p>
        </w:tc>
      </w:tr>
      <w:tr>
        <w:trPr>
          <w:trHeight w:val="570"/>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财务</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管理（12）</w:t>
            </w: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制度的健全性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财务管理、会计核算制度建立健全4分；建立但不够健全3～1分；未建立0分。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kern w:val="0"/>
                <w:sz w:val="18"/>
                <w:szCs w:val="18"/>
              </w:rPr>
              <w:t>4</w:t>
            </w:r>
            <w:r>
              <w:rPr>
                <w:rFonts w:ascii="楷体_GB2312" w:eastAsia="楷体_GB2312" w:cs="宋体" w:hAnsi="宋体" w:hint="eastAsia"/>
                <w:kern w:val="0"/>
                <w:sz w:val="18"/>
                <w:szCs w:val="18"/>
              </w:rPr>
              <w:t xml:space="preserve"> </w:t>
            </w:r>
          </w:p>
        </w:tc>
      </w:tr>
      <w:tr>
        <w:trPr>
          <w:trHeight w:val="600"/>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管理的有效性</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资金的拨付是否有完整的审批程序和手续，财务管理制度是否按规定有效执行：是4分；基本是3～1；不是0分。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hint="eastAsia"/>
                <w:kern w:val="0"/>
                <w:sz w:val="18"/>
                <w:szCs w:val="18"/>
                <w:lang w:val="en-US" w:eastAsia="zh-CN"/>
              </w:rPr>
            </w:pPr>
            <w:r>
              <w:rPr>
                <w:rFonts w:ascii="楷体_GB2312" w:eastAsia="楷体_GB2312" w:cs="宋体" w:hAnsi="宋体" w:hint="eastAsia"/>
                <w:kern w:val="0"/>
                <w:sz w:val="18"/>
                <w:szCs w:val="18"/>
                <w:lang w:val="en-US" w:eastAsia="zh-CN"/>
              </w:rPr>
              <w:t>3</w:t>
            </w:r>
          </w:p>
        </w:tc>
      </w:tr>
      <w:tr>
        <w:trPr>
          <w:trHeight w:val="825"/>
        </w:trPr>
        <w:tc>
          <w:tcPr>
            <w:tcW w:w="735" w:type="dxa"/>
            <w:vMerge/>
            <w:tcBorders>
              <w:top w:val="nil"/>
              <w:left w:val="single" w:sz="4" w:space="0" w:color="auto"/>
              <w:bottom w:val="single" w:sz="4" w:space="0" w:color="000000"/>
              <w:right w:val="single" w:sz="4" w:space="0" w:color="auto"/>
            </w:tcBorders>
            <w:vAlign w:val="center"/>
          </w:tcPr>
          <w:p/>
        </w:tc>
        <w:tc>
          <w:tcPr>
            <w:tcW w:w="900" w:type="dxa"/>
            <w:gridSpan w:val="2"/>
            <w:vMerge/>
            <w:tcBorders>
              <w:top w:val="nil"/>
              <w:left w:val="single" w:sz="4" w:space="0" w:color="auto"/>
              <w:bottom w:val="single" w:sz="4" w:space="0" w:color="000000"/>
              <w:right w:val="single" w:sz="4" w:space="0" w:color="auto"/>
            </w:tcBorders>
            <w:vAlign w:val="center"/>
          </w:tcPr>
          <w:p/>
        </w:tc>
        <w:tc>
          <w:tcPr>
            <w:tcW w:w="1440" w:type="dxa"/>
            <w:gridSpan w:val="2"/>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会计信息质量</w:t>
            </w:r>
          </w:p>
        </w:tc>
        <w:tc>
          <w:tcPr>
            <w:tcW w:w="4828" w:type="dxa"/>
            <w:gridSpan w:val="2"/>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会计信息资料是否真实、完整、及时、准确：真实、完整、及时、准确4分；存在个别不真实、完整、及时、准确情况3～1分；不真实、完整、及时、准确0分。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kern w:val="0"/>
                <w:sz w:val="18"/>
                <w:szCs w:val="18"/>
              </w:rPr>
              <w:t>4</w:t>
            </w:r>
            <w:r>
              <w:rPr>
                <w:rFonts w:ascii="楷体_GB2312" w:eastAsia="楷体_GB2312" w:cs="宋体" w:hAnsi="宋体" w:hint="eastAsia"/>
                <w:kern w:val="0"/>
                <w:sz w:val="18"/>
                <w:szCs w:val="18"/>
              </w:rPr>
              <w:t xml:space="preserve"> </w:t>
            </w:r>
          </w:p>
        </w:tc>
      </w:tr>
      <w:tr>
        <w:trPr>
          <w:trHeight w:val="360"/>
        </w:trPr>
        <w:tc>
          <w:tcPr>
            <w:tcW w:w="7903" w:type="dxa"/>
            <w:gridSpan w:val="7"/>
            <w:tcBorders>
              <w:top w:val="single" w:sz="4" w:space="0" w:color="auto"/>
              <w:left w:val="single" w:sz="4" w:space="0" w:color="auto"/>
              <w:bottom w:val="single" w:sz="4" w:space="0" w:color="auto"/>
              <w:right w:val="single" w:sz="4" w:space="0" w:color="000000"/>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管理绩效指标得分小计</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60</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lang w:val="en-US" w:eastAsia="zh-CN"/>
              </w:rPr>
              <w:t>55</w:t>
            </w:r>
            <w:r>
              <w:rPr>
                <w:rFonts w:ascii="楷体_GB2312" w:eastAsia="楷体_GB2312" w:cs="宋体" w:hAnsi="宋体" w:hint="eastAsia"/>
                <w:b/>
                <w:bCs/>
                <w:kern w:val="0"/>
                <w:sz w:val="18"/>
                <w:szCs w:val="18"/>
              </w:rPr>
              <w:t xml:space="preserve"> </w:t>
            </w:r>
          </w:p>
        </w:tc>
      </w:tr>
      <w:tr>
        <w:trPr>
          <w:trHeight w:val="1590"/>
        </w:trPr>
        <w:tc>
          <w:tcPr>
            <w:tcW w:w="860"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结果绩效指标</w:t>
            </w:r>
          </w:p>
        </w:tc>
        <w:tc>
          <w:tcPr>
            <w:tcW w:w="1020" w:type="dxa"/>
            <w:gridSpan w:val="2"/>
            <w:vMerge w:val="restart"/>
            <w:tcBorders>
              <w:top w:val="nil"/>
              <w:left w:val="nil"/>
              <w:bottom w:val="nil"/>
              <w:right w:val="nil"/>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产出指标（22）</w:t>
            </w:r>
          </w:p>
        </w:tc>
        <w:tc>
          <w:tcPr>
            <w:tcW w:w="1399" w:type="dxa"/>
            <w:gridSpan w:val="2"/>
            <w:tcBorders>
              <w:top w:val="nil"/>
              <w:left w:val="single" w:sz="4" w:space="0" w:color="auto"/>
              <w:bottom w:val="nil"/>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数量指标</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与居民健康档案管理、健康教育、预防接种、儿童健康管理、孕产妇健康管理、老年人健康管理、慢性病管理、重性精神疾病患者管理、传染病和突发公共卫生事件报告和处理、中医药健康管理和卫生监督协管服务14项基本公共卫生服务项目既定目标任务进行比对，全部完成7分；有一项未完成扣0.5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7</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5</w:t>
            </w:r>
            <w:r>
              <w:rPr>
                <w:rFonts w:ascii="楷体_GB2312" w:eastAsia="楷体_GB2312" w:cs="宋体" w:hAnsi="宋体"/>
                <w:kern w:val="0"/>
                <w:sz w:val="18"/>
                <w:szCs w:val="18"/>
              </w:rPr>
              <w:t>.5</w:t>
            </w:r>
          </w:p>
        </w:tc>
      </w:tr>
      <w:tr>
        <w:trPr>
          <w:trHeight w:val="1755"/>
        </w:trPr>
        <w:tc>
          <w:tcPr>
            <w:tcW w:w="860" w:type="dxa"/>
            <w:gridSpan w:val="2"/>
            <w:vMerge/>
            <w:tcBorders>
              <w:top w:val="nil"/>
              <w:left w:val="single" w:sz="4" w:space="0" w:color="auto"/>
              <w:bottom w:val="single" w:sz="4" w:space="0" w:color="auto"/>
              <w:right w:val="single" w:sz="4" w:space="0" w:color="auto"/>
            </w:tcBorders>
            <w:vAlign w:val="center"/>
          </w:tcPr>
          <w:p/>
        </w:tc>
        <w:tc>
          <w:tcPr>
            <w:tcW w:w="1020" w:type="dxa"/>
            <w:gridSpan w:val="2"/>
            <w:vMerge/>
            <w:tcBorders>
              <w:top w:val="nil"/>
              <w:left w:val="nil"/>
              <w:bottom w:val="nil"/>
              <w:right w:val="nil"/>
            </w:tcBorders>
            <w:vAlign w:val="center"/>
          </w:tcPr>
          <w:p/>
        </w:tc>
        <w:tc>
          <w:tcPr>
            <w:tcW w:w="1399" w:type="dxa"/>
            <w:gridSpan w:val="2"/>
            <w:tcBorders>
              <w:top w:val="single" w:sz="4" w:space="0" w:color="auto"/>
              <w:left w:val="single" w:sz="4" w:space="0" w:color="auto"/>
              <w:bottom w:val="nil"/>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质量指标</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居民健康档案信息真实完整、动态更新及时，档案使用率不断提高；健康教育内容和方式丰富；对预防接种、儿童健康、孕产妇健康、老年人健康、慢性病、结核病、重性精神疾病患者和中医药健康管理服务精细化、不断改善服务设施；传染病和突发公共卫生事件报告和处理及时；卫生监督协管服务规范有效得7分，存在不规范现象视情况酌情扣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7</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5</w:t>
            </w:r>
            <w:r>
              <w:rPr>
                <w:rFonts w:ascii="楷体_GB2312" w:eastAsia="楷体_GB2312" w:cs="宋体" w:hAnsi="宋体"/>
                <w:kern w:val="0"/>
                <w:sz w:val="18"/>
                <w:szCs w:val="18"/>
              </w:rPr>
              <w:t>.5</w:t>
            </w:r>
          </w:p>
        </w:tc>
      </w:tr>
      <w:tr>
        <w:trPr>
          <w:trHeight w:val="675"/>
        </w:trPr>
        <w:tc>
          <w:tcPr>
            <w:tcW w:w="860" w:type="dxa"/>
            <w:gridSpan w:val="2"/>
            <w:vMerge/>
            <w:tcBorders>
              <w:top w:val="nil"/>
              <w:left w:val="single" w:sz="4" w:space="0" w:color="auto"/>
              <w:bottom w:val="single" w:sz="4" w:space="0" w:color="auto"/>
              <w:right w:val="single" w:sz="4" w:space="0" w:color="auto"/>
            </w:tcBorders>
            <w:vAlign w:val="center"/>
          </w:tcPr>
          <w:p/>
        </w:tc>
        <w:tc>
          <w:tcPr>
            <w:tcW w:w="1020" w:type="dxa"/>
            <w:gridSpan w:val="2"/>
            <w:vMerge/>
            <w:tcBorders>
              <w:top w:val="nil"/>
              <w:left w:val="nil"/>
              <w:bottom w:val="nil"/>
              <w:right w:val="nil"/>
            </w:tcBorders>
            <w:vAlign w:val="center"/>
          </w:tcPr>
          <w:p/>
        </w:tc>
        <w:tc>
          <w:tcPr>
            <w:tcW w:w="1399" w:type="dxa"/>
            <w:gridSpan w:val="2"/>
            <w:tcBorders>
              <w:top w:val="single" w:sz="4" w:space="0" w:color="auto"/>
              <w:left w:val="single" w:sz="4" w:space="0" w:color="auto"/>
              <w:bottom w:val="nil"/>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时效指标</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专项资金拨付后工作任务完成情况，按期完成4分；有一项未按期完成扣0.5分。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3</w:t>
            </w:r>
          </w:p>
        </w:tc>
      </w:tr>
      <w:tr>
        <w:trPr>
          <w:trHeight w:val="870"/>
        </w:trPr>
        <w:tc>
          <w:tcPr>
            <w:tcW w:w="860" w:type="dxa"/>
            <w:gridSpan w:val="2"/>
            <w:vMerge/>
            <w:tcBorders>
              <w:top w:val="nil"/>
              <w:left w:val="single" w:sz="4" w:space="0" w:color="auto"/>
              <w:bottom w:val="single" w:sz="4" w:space="0" w:color="auto"/>
              <w:right w:val="single" w:sz="4" w:space="0" w:color="auto"/>
            </w:tcBorders>
            <w:vAlign w:val="center"/>
          </w:tcPr>
          <w:p/>
        </w:tc>
        <w:tc>
          <w:tcPr>
            <w:tcW w:w="1020" w:type="dxa"/>
            <w:gridSpan w:val="2"/>
            <w:vMerge/>
            <w:tcBorders>
              <w:top w:val="nil"/>
              <w:left w:val="nil"/>
              <w:bottom w:val="nil"/>
              <w:right w:val="nil"/>
            </w:tcBorders>
            <w:vAlign w:val="center"/>
          </w:tcPr>
          <w:p/>
        </w:tc>
        <w:tc>
          <w:tcPr>
            <w:tcW w:w="1399"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成本指标</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资金拨付成本与资金使用计划预期符合程度：完全符合4分；每减少10％加1分，加到4分为止；每增加10％扣1分，扣完为止。</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4</w:t>
            </w:r>
          </w:p>
        </w:tc>
      </w:tr>
      <w:tr>
        <w:trPr>
          <w:trHeight w:val="1560"/>
        </w:trPr>
        <w:tc>
          <w:tcPr>
            <w:tcW w:w="860" w:type="dxa"/>
            <w:gridSpan w:val="2"/>
            <w:vMerge/>
            <w:tcBorders>
              <w:top w:val="nil"/>
              <w:left w:val="single" w:sz="4" w:space="0" w:color="auto"/>
              <w:bottom w:val="single" w:sz="4" w:space="0" w:color="auto"/>
              <w:right w:val="single" w:sz="4" w:space="0" w:color="auto"/>
            </w:tcBorders>
            <w:vAlign w:val="center"/>
          </w:tcPr>
          <w:p/>
        </w:tc>
        <w:tc>
          <w:tcPr>
            <w:tcW w:w="1020" w:type="dxa"/>
            <w:gridSpan w:val="2"/>
            <w:vMerge w:val="restart"/>
            <w:tcBorders>
              <w:top w:val="single" w:sz="4" w:space="0" w:color="auto"/>
              <w:left w:val="nil"/>
              <w:bottom w:val="nil"/>
              <w:right w:val="nil"/>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效果   指标（12）</w:t>
            </w:r>
          </w:p>
        </w:tc>
        <w:tc>
          <w:tcPr>
            <w:tcW w:w="1399" w:type="dxa"/>
            <w:gridSpan w:val="2"/>
            <w:tcBorders>
              <w:top w:val="nil"/>
              <w:left w:val="single" w:sz="4" w:space="0" w:color="auto"/>
              <w:bottom w:val="nil"/>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社会效益</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的实施对促进居民健康意识的提高和不良生活方式的改变，逐步树立起自我健康管理的理念；减少主要健康危险因素，预防和控制传染病及慢性病的发生和流行；提高公共卫生服务和突发公共卫生事件应急处置能力，建立起维护居民健康的第一道屏障，提高居民健康素质效果明显的为6分，有一定作用的为5～1分，起不到作用的为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6</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hint="eastAsia"/>
                <w:kern w:val="0"/>
                <w:sz w:val="18"/>
                <w:szCs w:val="18"/>
                <w:lang w:eastAsia="zh-CN"/>
              </w:rPr>
            </w:pPr>
            <w:r>
              <w:rPr>
                <w:rFonts w:ascii="楷体_GB2312" w:eastAsia="楷体_GB2312" w:cs="宋体" w:hAnsi="宋体" w:hint="eastAsia"/>
                <w:kern w:val="0"/>
                <w:sz w:val="18"/>
                <w:szCs w:val="18"/>
                <w:lang w:val="en-US" w:eastAsia="zh-CN"/>
              </w:rPr>
              <w:t>4</w:t>
            </w:r>
          </w:p>
        </w:tc>
      </w:tr>
      <w:tr>
        <w:trPr>
          <w:trHeight w:val="855"/>
        </w:trPr>
        <w:tc>
          <w:tcPr>
            <w:tcW w:w="860" w:type="dxa"/>
            <w:gridSpan w:val="2"/>
            <w:vMerge/>
            <w:tcBorders>
              <w:top w:val="nil"/>
              <w:left w:val="single" w:sz="4" w:space="0" w:color="auto"/>
              <w:bottom w:val="single" w:sz="4" w:space="0" w:color="auto"/>
              <w:right w:val="single" w:sz="4" w:space="0" w:color="auto"/>
            </w:tcBorders>
            <w:vAlign w:val="center"/>
          </w:tcPr>
          <w:p/>
        </w:tc>
        <w:tc>
          <w:tcPr>
            <w:tcW w:w="1020" w:type="dxa"/>
            <w:gridSpan w:val="2"/>
            <w:vMerge/>
            <w:tcBorders>
              <w:top w:val="single" w:sz="4" w:space="0" w:color="auto"/>
              <w:left w:val="nil"/>
              <w:bottom w:val="nil"/>
              <w:right w:val="nil"/>
            </w:tcBorders>
            <w:vAlign w:val="center"/>
          </w:tcPr>
          <w:p/>
        </w:tc>
        <w:tc>
          <w:tcPr>
            <w:tcW w:w="1399"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可持续影响</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项目的建设与区域发展规划的适应程度、项目效果的持续性、项目与人民需要的适应性：明显6分；较明显5～4分；一般3～1分；较差0分。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6</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5</w:t>
            </w:r>
          </w:p>
        </w:tc>
      </w:tr>
      <w:tr>
        <w:trPr>
          <w:trHeight w:val="510"/>
        </w:trPr>
        <w:tc>
          <w:tcPr>
            <w:tcW w:w="860" w:type="dxa"/>
            <w:gridSpan w:val="2"/>
            <w:vMerge/>
            <w:tcBorders>
              <w:top w:val="nil"/>
              <w:left w:val="single" w:sz="4" w:space="0" w:color="auto"/>
              <w:bottom w:val="single" w:sz="4" w:space="0" w:color="auto"/>
              <w:right w:val="single" w:sz="4" w:space="0" w:color="auto"/>
            </w:tcBorders>
            <w:vAlign w:val="center"/>
          </w:tcPr>
          <w:p/>
        </w:tc>
        <w:tc>
          <w:tcPr>
            <w:tcW w:w="2419" w:type="dxa"/>
            <w:gridSpan w:val="4"/>
            <w:tcBorders>
              <w:top w:val="single" w:sz="4" w:space="0" w:color="auto"/>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服务对象满意度指标（6）</w:t>
            </w:r>
          </w:p>
        </w:tc>
        <w:tc>
          <w:tcPr>
            <w:tcW w:w="4624" w:type="dxa"/>
            <w:tcBorders>
              <w:top w:val="single" w:sz="4" w:space="0" w:color="auto"/>
              <w:left w:val="nil"/>
              <w:bottom w:val="single" w:sz="4" w:space="0" w:color="auto"/>
              <w:right w:val="single" w:sz="4" w:space="0" w:color="000000"/>
            </w:tcBorders>
            <w:vAlign w:val="center"/>
          </w:tcPr>
          <w:p>
            <w:pPr>
              <w:widowControl/>
              <w:jc w:val="left"/>
              <w:rPr>
                <w:rFonts w:ascii="楷体_GB2312" w:eastAsia="楷体_GB2312" w:cs="宋体" w:hAnsi="宋体"/>
                <w:kern w:val="0"/>
                <w:sz w:val="18"/>
                <w:szCs w:val="18"/>
              </w:rPr>
            </w:pPr>
            <w:r>
              <w:rPr>
                <w:rFonts w:ascii="楷体_GB2312" w:eastAsia="楷体_GB2312" w:cs="宋体" w:hAnsi="宋体" w:hint="eastAsia"/>
                <w:kern w:val="0"/>
                <w:sz w:val="18"/>
                <w:szCs w:val="18"/>
              </w:rPr>
              <w:t>根据调查问卷结果评分=满意人数/被调查人数×6</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6</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hint="eastAsia"/>
                <w:kern w:val="0"/>
                <w:sz w:val="18"/>
                <w:szCs w:val="18"/>
                <w:lang w:eastAsia="zh-CN"/>
              </w:rPr>
            </w:pPr>
            <w:r>
              <w:rPr>
                <w:rFonts w:ascii="楷体_GB2312" w:eastAsia="楷体_GB2312" w:cs="宋体" w:hAnsi="宋体" w:hint="eastAsia"/>
                <w:kern w:val="0"/>
                <w:sz w:val="18"/>
                <w:szCs w:val="18"/>
                <w:lang w:val="en-US" w:eastAsia="zh-CN"/>
              </w:rPr>
              <w:t>4</w:t>
            </w:r>
          </w:p>
        </w:tc>
      </w:tr>
      <w:tr>
        <w:trPr>
          <w:trHeight w:val="525"/>
        </w:trPr>
        <w:tc>
          <w:tcPr>
            <w:tcW w:w="7903" w:type="dxa"/>
            <w:gridSpan w:val="7"/>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结果绩效指标得分小计</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b/>
                <w:bCs/>
                <w:kern w:val="0"/>
                <w:sz w:val="20"/>
                <w:szCs w:val="20"/>
              </w:rPr>
            </w:pPr>
            <w:r>
              <w:rPr>
                <w:rFonts w:ascii="楷体_GB2312" w:eastAsia="楷体_GB2312" w:cs="宋体" w:hAnsi="宋体" w:hint="eastAsia"/>
                <w:b/>
                <w:bCs/>
                <w:kern w:val="0"/>
                <w:sz w:val="20"/>
                <w:szCs w:val="20"/>
              </w:rPr>
              <w:t>40</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hint="eastAsia"/>
                <w:b/>
                <w:bCs/>
                <w:kern w:val="0"/>
                <w:sz w:val="18"/>
                <w:szCs w:val="18"/>
                <w:lang w:eastAsia="zh-CN"/>
              </w:rPr>
            </w:pPr>
            <w:r>
              <w:rPr>
                <w:rFonts w:ascii="楷体_GB2312" w:eastAsia="楷体_GB2312" w:cs="宋体" w:hAnsi="宋体" w:hint="eastAsia"/>
                <w:b/>
                <w:bCs/>
                <w:kern w:val="0"/>
                <w:sz w:val="18"/>
                <w:szCs w:val="18"/>
              </w:rPr>
              <w:t>3</w:t>
            </w:r>
            <w:r>
              <w:rPr>
                <w:rFonts w:ascii="楷体_GB2312" w:eastAsia="楷体_GB2312" w:cs="宋体" w:hAnsi="宋体" w:hint="eastAsia"/>
                <w:b/>
                <w:bCs/>
                <w:kern w:val="0"/>
                <w:sz w:val="18"/>
                <w:szCs w:val="18"/>
                <w:lang w:val="en-US" w:eastAsia="zh-CN"/>
              </w:rPr>
              <w:t>1</w:t>
            </w:r>
          </w:p>
        </w:tc>
      </w:tr>
      <w:tr>
        <w:trPr>
          <w:trHeight w:val="465"/>
        </w:trPr>
        <w:tc>
          <w:tcPr>
            <w:tcW w:w="7903" w:type="dxa"/>
            <w:gridSpan w:val="7"/>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综合得分＝</w:t>
            </w:r>
            <w:r>
              <w:rPr>
                <w:rFonts w:ascii="楷体_GB2312" w:eastAsia="楷体_GB2312" w:cs="宋体" w:hAnsi="宋体" w:hint="eastAsia"/>
                <w:kern w:val="0"/>
                <w:sz w:val="18"/>
                <w:szCs w:val="18"/>
              </w:rPr>
              <w:t>管理绩效指标得分＋结果绩效指标得分</w:t>
            </w:r>
          </w:p>
        </w:tc>
        <w:tc>
          <w:tcPr>
            <w:tcW w:w="71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b/>
                <w:bCs/>
                <w:color w:val="000000"/>
                <w:kern w:val="0"/>
                <w:sz w:val="18"/>
                <w:szCs w:val="18"/>
              </w:rPr>
            </w:pPr>
            <w:r>
              <w:rPr>
                <w:rFonts w:ascii="楷体_GB2312" w:eastAsia="楷体_GB2312" w:cs="宋体" w:hAnsi="宋体" w:hint="eastAsia"/>
                <w:b/>
                <w:bCs/>
                <w:color w:val="000000"/>
                <w:kern w:val="0"/>
                <w:sz w:val="18"/>
                <w:szCs w:val="18"/>
              </w:rPr>
              <w:t>100</w:t>
            </w:r>
          </w:p>
        </w:tc>
        <w:tc>
          <w:tcPr>
            <w:tcW w:w="589" w:type="dxa"/>
            <w:tcBorders>
              <w:top w:val="nil"/>
              <w:left w:val="nil"/>
              <w:bottom w:val="single" w:sz="4" w:space="0" w:color="auto"/>
              <w:right w:val="single" w:sz="4" w:space="0" w:color="auto"/>
            </w:tcBorders>
            <w:vAlign w:val="center"/>
          </w:tcPr>
          <w:p>
            <w:pPr>
              <w:widowControl/>
              <w:jc w:val="center"/>
              <w:rPr>
                <w:rFonts w:ascii="楷体_GB2312" w:eastAsia="楷体_GB2312" w:cs="宋体" w:hAnsi="宋体"/>
                <w:b/>
                <w:bCs/>
                <w:color w:val="000000"/>
                <w:kern w:val="0"/>
                <w:sz w:val="18"/>
                <w:szCs w:val="18"/>
                <w:lang w:val="en-US" w:eastAsia="zh-CN"/>
              </w:rPr>
            </w:pPr>
            <w:r>
              <w:rPr>
                <w:rFonts w:ascii="楷体_GB2312" w:eastAsia="楷体_GB2312" w:cs="宋体" w:hAnsi="宋体" w:hint="eastAsia"/>
                <w:b/>
                <w:bCs/>
                <w:color w:val="000000"/>
                <w:kern w:val="0"/>
                <w:sz w:val="18"/>
                <w:szCs w:val="18"/>
                <w:lang w:val="en-US" w:eastAsia="zh-CN"/>
              </w:rPr>
              <w:t>86</w:t>
            </w:r>
          </w:p>
        </w:tc>
      </w:tr>
      <w:tr>
        <w:trPr>
          <w:trHeight w:val="360"/>
        </w:trPr>
        <w:tc>
          <w:tcPr>
            <w:tcW w:w="1880" w:type="dxa"/>
            <w:gridSpan w:val="4"/>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评价</w:t>
            </w:r>
          </w:p>
          <w:p>
            <w:pPr>
              <w:widowControl/>
              <w:jc w:val="center"/>
              <w:rPr>
                <w:rFonts w:ascii="楷体_GB2312" w:eastAsia="楷体_GB2312" w:cs="宋体" w:hAnsi="宋体"/>
                <w:b/>
                <w:bCs/>
                <w:kern w:val="0"/>
                <w:sz w:val="18"/>
                <w:szCs w:val="18"/>
              </w:rPr>
            </w:pPr>
            <w:r>
              <w:rPr>
                <w:rFonts w:ascii="楷体_GB2312" w:eastAsia="楷体_GB2312" w:cs="宋体" w:hAnsi="宋体" w:hint="eastAsia"/>
                <w:b/>
                <w:bCs/>
                <w:kern w:val="0"/>
                <w:sz w:val="18"/>
                <w:szCs w:val="18"/>
              </w:rPr>
              <w:t>等次</w:t>
            </w:r>
          </w:p>
        </w:tc>
        <w:tc>
          <w:tcPr>
            <w:tcW w:w="7331"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90分以上（含90分）为优秀；70-90分（不含）为合格；</w:t>
            </w:r>
          </w:p>
          <w:p>
            <w:pPr>
              <w:widowControl/>
              <w:jc w:val="center"/>
              <w:rPr>
                <w:rFonts w:ascii="楷体_GB2312" w:eastAsia="楷体_GB2312" w:cs="宋体" w:hAnsi="宋体"/>
                <w:kern w:val="0"/>
                <w:sz w:val="18"/>
                <w:szCs w:val="18"/>
              </w:rPr>
            </w:pPr>
            <w:r>
              <w:rPr>
                <w:rFonts w:ascii="楷体_GB2312" w:eastAsia="楷体_GB2312" w:cs="宋体" w:hAnsi="宋体" w:hint="eastAsia"/>
                <w:kern w:val="0"/>
                <w:sz w:val="18"/>
                <w:szCs w:val="18"/>
              </w:rPr>
              <w:t>70分（不含）以下为不合格</w:t>
            </w:r>
          </w:p>
        </w:tc>
      </w:tr>
    </w:tbl>
    <w:p>
      <w:pPr>
        <w:spacing w:line="560" w:lineRule="exact"/>
        <w:ind w:firstLineChars="200" w:firstLine="640"/>
        <w:rPr>
          <w:lang w:val="en-US" w:eastAsia="zh-CN"/>
        </w:rPr>
      </w:pPr>
      <w:r>
        <w:rPr>
          <w:rFonts w:ascii="仿宋" w:eastAsia="仿宋" w:cs="仿宋" w:hAnsi="仿宋" w:hint="eastAsia"/>
          <w:sz w:val="32"/>
          <w:szCs w:val="32"/>
          <w:lang w:val="en-US" w:eastAsia="zh-CN"/>
        </w:rPr>
        <w:t>基本公共卫生项目绩效自评结果合格,拟在政府门户网站公开。</w:t>
      </w:r>
    </w:p>
    <w:p>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五、其他需要说明的问题</w:t>
      </w:r>
    </w:p>
    <w:p>
      <w:pPr>
        <w:tabs>
          <w:tab w:val="left" w:pos="7080"/>
        </w:tabs>
        <w:spacing w:line="560" w:lineRule="exact"/>
        <w:ind w:firstLineChars="200" w:firstLine="640"/>
        <w:outlineLvl w:val="0"/>
        <w:rPr>
          <w:rFonts w:ascii="仿宋_GB2312" w:eastAsia="仿宋_GB2312"/>
          <w:sz w:val="32"/>
          <w:szCs w:val="32"/>
          <w:lang w:val="en-US" w:eastAsia="zh-CN"/>
        </w:rPr>
      </w:pPr>
      <w:r>
        <w:rPr>
          <w:rFonts w:ascii="仿宋_GB2312" w:hint="eastAsia"/>
          <w:sz w:val="32"/>
          <w:szCs w:val="32"/>
          <w:lang w:val="en-US" w:eastAsia="zh-CN"/>
        </w:rPr>
        <w:t>无其他需要说明的问题</w:t>
      </w:r>
    </w:p>
    <w:p>
      <w:pPr>
        <w:tabs>
          <w:tab w:val="left" w:pos="7080"/>
        </w:tabs>
        <w:spacing w:line="560" w:lineRule="exact"/>
        <w:ind w:firstLineChars="200" w:firstLine="640"/>
        <w:outlineLvl w:val="0"/>
        <w:rPr>
          <w:rFonts w:ascii="黑体" w:eastAsia="黑体" w:hAnsi="黑体"/>
          <w:bCs/>
          <w:sz w:val="32"/>
          <w:szCs w:val="32"/>
        </w:rPr>
      </w:pPr>
      <w:r>
        <w:rPr>
          <w:rFonts w:ascii="黑体" w:eastAsia="黑体" w:hAnsi="黑体" w:hint="eastAsia"/>
          <w:bCs/>
          <w:sz w:val="32"/>
          <w:szCs w:val="32"/>
        </w:rPr>
        <w:t>六、附件</w:t>
      </w:r>
    </w:p>
    <w:p>
      <w:pPr>
        <w:tabs>
          <w:tab w:val="left" w:pos="7080"/>
        </w:tabs>
        <w:spacing w:line="560" w:lineRule="exact"/>
        <w:ind w:firstLineChars="200" w:firstLine="640"/>
        <w:outlineLvl w:val="0"/>
        <w:rPr>
          <w:rFonts w:ascii="仿宋_GB2312"/>
          <w:sz w:val="32"/>
          <w:szCs w:val="32"/>
        </w:rPr>
      </w:pPr>
      <w:r>
        <w:rPr>
          <w:rFonts w:ascii="仿宋_GB2312" w:hint="eastAsia"/>
          <w:sz w:val="32"/>
          <w:szCs w:val="32"/>
        </w:rPr>
        <w:t>转移支付区域（</w:t>
      </w:r>
      <w:r>
        <w:rPr>
          <w:rFonts w:ascii="仿宋_GB2312" w:hint="eastAsia"/>
          <w:sz w:val="32"/>
          <w:szCs w:val="32"/>
          <w:lang w:val="en-US" w:eastAsia="zh-CN"/>
        </w:rPr>
        <w:t>基本公共卫生服务补助资金</w:t>
      </w:r>
      <w:r>
        <w:rPr>
          <w:rFonts w:ascii="仿宋_GB2312" w:hint="eastAsia"/>
          <w:sz w:val="32"/>
          <w:szCs w:val="32"/>
        </w:rPr>
        <w:t>）绩效目标自评表</w:t>
      </w:r>
    </w:p>
    <w:sectPr>
      <w:footerReference w:type="default" r:id="rId2"/>
      <w:pgSz w:w="11906" w:h="16838"/>
      <w:pgMar w:top="2098" w:right="1418" w:bottom="1701" w:left="1418"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黑体_GBK">
    <w:altName w:val="微软雅黑"/>
    <w:panose1 w:val="03000509000000000000"/>
    <w:charset w:val="86"/>
    <w:family w:val="script"/>
    <w:pitch w:val="variable"/>
    <w:sig w:usb0="00000000" w:usb1="00000000" w:usb2="00000010" w:usb3="00000000" w:csb0="00040000" w:csb1="00000000"/>
  </w:font>
  <w:font w:name="方正小标宋_GBK">
    <w:altName w:val="微软雅黑"/>
    <w:panose1 w:val="03000509000000000000"/>
    <w:charset w:val="86"/>
    <w:family w:val="script"/>
    <w:pitch w:val="variable"/>
    <w:sig w:usb0="00000000" w:usb1="00000000" w:usb2="00000010" w:usb3="00000000" w:csb0="00040000" w:csb1="00000000"/>
  </w:font>
  <w:font w:name="Arial">
    <w:panose1 w:val="020B0604020202020204"/>
    <w:charset w:val="01"/>
    <w:family w:val="swiss"/>
    <w:pitch w:val="variable"/>
    <w:sig w:usb0="E0002EFF" w:usb1="C000785B" w:usb2="00000009" w:usb3="00000000" w:csb0="400001FF" w:csb1="FFFF0000"/>
  </w:font>
  <w:font w:name="宋体">
    <w:panose1 w:val="02010600030101010101"/>
    <w:charset w:val="7A"/>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华文中宋">
    <w:altName w:val="宋体"/>
    <w:panose1 w:val="02010600040101010101"/>
    <w:charset w:val="86"/>
    <w:family w:val="auto"/>
    <w:pitch w:val="variable"/>
    <w:sig w:usb0="00000000" w:usb1="00000000" w:usb2="00000010" w:usb3="00000000" w:csb0="0004009F" w:csb1="00000000"/>
  </w:font>
  <w:font w:name="仿宋">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10" w:usb3="00000000" w:csb0="00040000" w:csb1="00000000"/>
  </w:font>
  <w:font w:name="MS Mincho">
    <w:altName w:val="Yu Gothic"/>
    <w:panose1 w:val="02020609040205080304"/>
    <w:charset w:val="80"/>
    <w:family w:val="roman"/>
    <w:pitch w:val="variable"/>
    <w:sig w:usb0="00000000" w:usb1="00000000" w:usb2="00000010" w:usb3="00000000" w:csb0="00020000" w:csb1="00000000"/>
  </w:font>
  <w:font w:name="Times New Roman">
    <w:panose1 w:val="02020603050405020304"/>
    <w:charset w:val="50"/>
    <w:family w:val="auto"/>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p>
  <w:p>
    <w:pPr>
      <w:pStyle w:val="18"/>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BD31365"/>
    <w:multiLevelType w:val="singleLevel"/>
    <w:tmpl w:val="7BD31365"/>
    <w:lvl w:ilvl="0">
      <w:start w:val="2"/>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bordersDoNotSurroundHeader/>
  <w:bordersDoNotSurroundFooter/>
  <w:defaultTabStop w:val="420"/>
  <w:drawingGridHorizontalSpacing w:val="150"/>
  <w:drawingGridVerticalSpacing w:val="581"/>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Times New Roman" w:eastAsia="仿宋_GB2312" w:cs="Times New Roman" w:hAnsi="Times New Roman"/>
      <w:kern w:val="2"/>
      <w:sz w:val="30"/>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Indent"/>
    <w:qFormat/>
    <w:basedOn w:val="0"/>
    <w:next w:val="0"/>
    <w:pPr>
      <w:spacing w:after="120"/>
      <w:ind w:leftChars="200" w:left="200"/>
    </w:pPr>
  </w:style>
  <w:style w:type="paragraph" w:styleId="16">
    <w:name w:val="Body Text First Indent 2"/>
    <w:qFormat/>
    <w:basedOn w:val="15"/>
    <w:pPr>
      <w:ind w:firstLineChars="200" w:firstLine="200"/>
    </w:pPr>
  </w:style>
  <w:style w:type="paragraph" w:styleId="17">
    <w:name w:val="Balloon Text"/>
    <w:qFormat/>
    <w:basedOn w:val="0"/>
    <w:rPr>
      <w:sz w:val="18"/>
      <w:szCs w:val="18"/>
    </w:rPr>
  </w:style>
  <w:style w:type="paragraph" w:styleId="18">
    <w:name w:val="footer"/>
    <w:qFormat/>
    <w:basedOn w:val="0"/>
    <w:pPr>
      <w:tabs>
        <w:tab w:val="center" w:pos="4153"/>
        <w:tab w:val="right" w:pos="8306"/>
      </w:tabs>
      <w:snapToGrid w:val="0"/>
      <w:jc w:val="left"/>
    </w:pPr>
    <w:rPr>
      <w:sz w:val="18"/>
      <w:szCs w:val="18"/>
    </w:rPr>
  </w:style>
  <w:style w:type="paragraph" w:styleId="19">
    <w:name w:val="header"/>
    <w:qFormat/>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274F2285-D8C0-4C58-8268-22BC5A28885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48</TotalTime>
  <Application>WPS_Yozo_Office9.0.6292.102ZH.HE70</Application>
  <Pages>11</Pages>
  <Words>0</Words>
  <Characters>4716</Characters>
  <Lines>0</Lines>
  <Paragraphs>77</Paragraphs>
  <CharactersWithSpaces>6288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财政支出绩效评价报告</dc:title>
  <dc:creator>lhn</dc:creator>
  <cp:lastModifiedBy>Administrator</cp:lastModifiedBy>
  <cp:revision>39</cp:revision>
  <cp:lastPrinted>2020-02-28T05:55:00Z</cp:lastPrinted>
  <dcterms:created xsi:type="dcterms:W3CDTF">2019-02-12T06:26:00Z</dcterms:created>
  <dcterms:modified xsi:type="dcterms:W3CDTF">2025-10-22T06:26:01Z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KSOTemplateDocerSaveRecord">
    <vt:lpwstr>eyJoZGlkIjoiNmVlZTE4N2RiZDA3YWU5OTEyNzQ2YWU3MjRiMzZkMTQiLCJ1c2VySWQiOiI3NjAyMjE5MTIifQ==</vt:lpwstr>
  </property>
  <property fmtid="{D5CDD505-2E9C-101B-9397-08002B2CF9AE}" pid="4" name="ICV">
    <vt:lpwstr>BDE8D92F628F46028B4269E8137EF502_12</vt:lpwstr>
  </property>
</Properties>
</file>