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 xml:space="preserve">名　　称:关于完善增值税期末留抵退税政策的公告文　　号:财政部 税务总局公告2025年第7号 </w:t>
      </w:r>
    </w:p>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发文日期:2025年08月22日</w:t>
      </w:r>
    </w:p>
    <w:p>
      <w:pPr>
        <w:rPr>
          <w:rFonts w:ascii="Unset" w:hAnsi="Unset"/>
          <w:caps w:val="0"/>
          <w:smallCaps w:val="0"/>
          <w:color w:val="auto"/>
          <w:bdr w:val="none" w:sz="0" w:space="0" w:color="auto"/>
          <w:shd w:val="clear" w:color="auto" w:fill="auto"/>
          <w14:textFill>
            <w14:solidFill>
              <w14:srgbClr w14:val="000001"/>
            </w14:solidFill>
          </w14:textFill>
        </w:rPr>
      </w:pP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关于完善增值税期末留抵退税政策的公告 　　</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现将完善增值税期末留抵退税政策有关事项公告如下：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自2025年9月增值税纳税申报期起，符合条件的增值税一般纳税人（以下简称纳税人）可以按照以下规定向主管税务机关申请退还期末留抵税额。   　　</w:t>
      </w:r>
    </w:p>
    <w:p>
      <w:pPr>
        <w:ind w:left="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（一）“制造业”、“科学研究和技术服务业”、“软件和信息技术服务业”、“生态保护和环境治理业”（以下简称制造业等4个行业）纳税人，可以按月向主管税务机关申请退还期末留抵税额。   　</w:t>
      </w:r>
    </w:p>
    <w:p>
      <w:pPr>
        <w:ind w:left="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二）房地产开发经营业纳税人，与2019年3月31日期末留抵税额相比，申请退税前连续六个月（按季纳税的，连续两个季度，下同）期末新增加留抵税额均大于零，且第六个月（按季纳税的，第二季度，下同）期末新增加留抵税额不低于50万元的，可以向主管税务机关申请退还第六个月期末新增加留抵税额的60%。   　</w:t>
      </w:r>
    </w:p>
    <w:p>
      <w:pPr>
        <w:ind w:left="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三）除制造业等4个行业和房地产开发经营业纳税人以外的其他纳税人，申请退税前连续六个月期末留抵税额均大于零，且第六个月期末留抵税额与申请退税前一税款所属期上一年度12月31日期末留抵税额相比新增加留抵税额不低于50万元的，可以向主管税务机关申请按比例退还新增加留抵税额。新增加留抵税额不超过1亿元的部分（含1亿元），退税比例为60%；超过1亿元的部分，退税比例为30%。   　　房地产开发经营业纳税人不符合本条第二项规定的，可以按照本条第三项规定申请退还期末留抵税额。   </w:t>
      </w:r>
    </w:p>
    <w:p>
      <w:pPr>
        <w:ind w:left="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二、适用本公告政策的纳税人需同时符合以下条件：   </w:t>
      </w:r>
    </w:p>
    <w:p>
      <w:pPr>
        <w:numPr>
          <w:ilvl w:val="0"/>
          <w:numId w:val="2"/>
        </w:numPr>
        <w:ind w:left="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纳税缴费信用级别为A级或者B级。   　　</w:t>
      </w:r>
    </w:p>
    <w:p>
      <w:pPr>
        <w:numPr>
          <w:ilvl w:val="0"/>
          <w:numId w:val="2"/>
        </w:numPr>
        <w:ind w:left="0" w:firstLine="42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申请退税前36个月未发生骗取留抵退税、骗取出口退税或者虚开增值税专用发票情形。</w:t>
      </w:r>
    </w:p>
    <w:p>
      <w:pPr>
        <w:numPr>
          <w:ilvl w:val="0"/>
          <w:numId w:val="2"/>
        </w:numPr>
        <w:ind w:left="0" w:firstLine="42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申请退税前36个月未因偷税被税务机关处罚两次及以上。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（四）2019年4月1日起未享受增值税即征即退、先征后返（退）政策，本公告另有规定的除外。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三、本公告所称制造业等4个行业纳税人，是指从事《国民经济行业分类》中“制造业”、“科学研究和技术服务业”、“软件和信息技术服务业”、“生态保护和环境治理业”业务相应发生的增值税销售额占其全部增值税销售额的比重超过50%的纳税人。销售额比重根据纳税人申请退税前连续12个月的销售额计算确定；申请退税前经营期不满12个月但满3个月的，按照实际经营期的销售额计算确定。   　　四、本公告所称房地产开发经营业纳税人，是指从事《国民经济行业分类》中“房地产开发经营”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   　　同一计算期间内既取得房地产开发经营业务增值税销售额或预收款，又取得其他业务增值税销售额，且符合本条第一款增值税销售额及预收款比重规定的纳税人，申请退还期末留抵税额时，应当按照本公告第一条第二项、第三项第二款的规定办理。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五、本公告第三条和第四条所称增值税销售额，包括纳税申报销售额、稽查查补销售额、纳税评估调整销售额等；适用增值税差额征税政策的，以差额前的金额确定。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　六、税务机关核准纳税人留抵退税申请后，纳税人再次满足本公告规定的退税条件，可以继续向主管税务机关申请退还期末留抵税额，但本公告第一条第二项、第三项规定的连续六个月计算期间，与已核准留抵退税申请不得重复计算。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　七、适用本公告政策的纳税人，按照以下公式计算允许退还的留抵税额：   </w:t>
      </w:r>
    </w:p>
    <w:p>
      <w:pPr>
        <w:numPr>
          <w:ilvl w:val="0"/>
          <w:numId w:val="3"/>
        </w:num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适用本公告第一条第一项政策的，允许退还的留抵税额=当期期末留抵税额×进项构成比例×100%；   　</w:t>
      </w:r>
    </w:p>
    <w:p>
      <w:pPr>
        <w:numPr>
          <w:ilvl w:val="0"/>
          <w:numId w:val="3"/>
        </w:numPr>
        <w:ind w:left="42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适用本公告第一条第二项政策的，允许退还的留抵税额=当期期末留抵税额与2019年3月31日期末留抵税额相比新增加留抵税额×进项构成比例×60%；   　　</w:t>
      </w:r>
    </w:p>
    <w:p>
      <w:pPr>
        <w:numPr>
          <w:ilvl w:val="0"/>
          <w:numId w:val="3"/>
        </w:numPr>
        <w:ind w:left="42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适用本公告第一条第三项政策的，允许退还的留抵税额=当期期末留抵税额与申请退税前一税款所属期上一年度12月31日期末留抵税额相比新增加留抵税额不超过1亿元的部分×进项构成比例×60%+超过1亿元的部分×进项构成比例×30%。   　　本条第一项和第二项的进项构成比例，为2019年4月至申请退税前一税款所属期已抵扣的增值税专用发票、海关进口增值税专用缴款书、完税凭证、机动车销售统一发票、收费公路通行费增值税电子普通发票、电子发票（航空运输电子客票行程单）、电子发票（铁路电子客票）等增值税扣税凭证（以下简称七类增值税扣税凭证）注明的增值税额占同期全部已抵扣进项税额的比重。   　　本条第三项的进项构成比例，为申请退税前一税款所属期当年1月至申请退税前一税款所属期已抵扣的七类增值税扣税凭证注明的增值税额占同期全部已抵扣进项税额的比重。   </w:t>
      </w:r>
    </w:p>
    <w:p>
      <w:pPr>
        <w:ind w:left="42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八、纳税人出口货物或者跨境销售服务、无形资产，适用免抵退税办法的，应当先办理免抵退税，免抵退税办理完毕后，仍符合本公告规定条件的，可以按规定办理留抵退税；适用免退税办法的，对应进项税额不得用于退还留抵税额。   </w:t>
      </w:r>
    </w:p>
    <w:p>
      <w:pPr>
        <w:ind w:left="42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九、纳税人自2019年4月1日起已取得留抵退税款的，不得再申请享受增值税即征即退、先征后返（退）政策。纳税人一次性将已取得的留抵退税款全部缴回后，可以就缴回当月起发生的增值税应税交易按照规定申请享受增值税即征即退、先征后返（退）政策。   　　纳税人自2019年4月1日起已享受增值税即征即退、先征后返（退）政策的，一次性将已退还的增值税即征即退、先征后返（退）税款全部缴回后，可以自全部缴回次月起按照规定申请退还期末留抵税额。   　　纳税人按照上述规定全部缴回已退税款后适用留抵退税或者即征即退、先征后返（退）政策的，自全部缴回次月起36个月内不得变更。   　</w:t>
      </w:r>
    </w:p>
    <w:p>
      <w:pPr>
        <w:ind w:left="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　十、纳税人可以选择将期末留抵税额结转下期继续抵扣，也可以按照本公告的规定，在符合留抵退税条件的次月增值税纳税申报期内，完成本期增值税纳税申报后，向主管税务机关申请退还期末留抵税额。   　　税务机关核准纳税人留抵退税申请后，纳税人应当按照核准的留抵退税款相应调减当期留抵税额。   　　纳税人取得退还的留抵退税款后，如果发现纳税人存在留抵退税政策适用有误的情形，纳税人应当在下个增值税纳税申报期结束前缴回相关留抵退税款。   　　纳税人以隐匿收入、虚增进项税额、虚假申报或其他欺骗手段骗取留抵退税款的，由税务机关追缴其骗取的退税款，并按照《中华人民共和国税收征收管理法》等有关规定处理。   </w:t>
      </w:r>
    </w:p>
    <w:p>
      <w:pPr>
        <w:ind w:left="42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十一、本公告自2025年9月1日起施行。《财政部 税务总局 海关总署关于深化增值税改革有关政策的公告》（财政部 税务总局 海关总署公告2019年第39号）第八条、《财政部 税务总局关于进一步加大增值税期末留抵退税政策实施力度的公告》（财政部 税务总局公告2022年第14号）、《财政部 税务总局关于进一步加快增值税期末留抵退税政策实施进度的公告》（财政部 税务总局公告2022年第17号）、《财政部 税务总局关于进一步持续加快增值税期末留抵退税政策实施进度的公告》（财政部 税务总局公告2022年第19号）、《财政部 税务总局关于扩大全额退还增值税留抵税额政策行业范围的公告》（财政部 税务总局公告2022年第21号）同时废止。   　　本公告施行前税务机关已受理但尚未办理完毕的留抵退税申请，仍按原规定办理。   　　特此公告。          　</w:t>
      </w:r>
    </w:p>
    <w:p>
      <w:pPr>
        <w:ind w:left="420" w:firstLineChars="1400" w:firstLine="2940"/>
      </w:pPr>
      <w:bookmarkStart w:id="0" w:name="_GoBack"/>
      <w:bookmarkEnd w:id="0"/>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财政部 税务总局   　　2025年8月22日</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B0909D3"/>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6D27758"/>
    <w:multiLevelType w:val="hybridMultilevel"/>
    <w:tmpl w:val="00000000"/>
    <w:lvl w:ilvl="0">
      <w:start w:val="1"/>
      <w:numFmt w:val="chineseCountingThousand"/>
      <w:lvlRestart w:val="0"/>
      <w:lvlText w:val="（%1）"/>
      <w:lvlJc w:val="left"/>
      <w:pPr>
        <w:tabs>
          <w:tab w:val="num" w:pos="0"/>
        </w:tabs>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946059"/>
    <w:multiLevelType w:val="hybridMultilevel"/>
    <w:tmpl w:val="00000000"/>
    <w:lvl w:ilvl="0">
      <w:start w:val="1"/>
      <w:numFmt w:val="chineseCountingThousand"/>
      <w:lvlRestart w:val="0"/>
      <w:lvlText w:val="（%1）"/>
      <w:lvlJc w:val="left"/>
      <w:pPr>
        <w:tabs>
          <w:tab w:val="num" w:pos="420"/>
        </w:tabs>
        <w:ind w:left="420" w:hanging="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3AB71831-F51C-46E1-A124-4760FFBAAF6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TotalTime>
  <Application>Yozo_Office9.0.6292.102ZH.HE70</Application>
  <Pages>5</Pages>
  <Words>0</Words>
  <Characters>2418</Characters>
  <Lines>0</Lines>
  <Paragraphs>26</Paragraphs>
  <CharactersWithSpaces>3224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2021-05-08T07:28:00Z</dcterms:created>
  <dcterms:modified xsi:type="dcterms:W3CDTF">2025-10-28T08:50:00Z</dcterms:modified>
</cp:coreProperties>
</file>