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xlsx" ContentType="application/vnd.openxmlformats-officedocument.spreadsheetml.sheet"/>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auto"/>
        <w:jc w:val="both"/>
        <w:rPr>
          <w:rFonts w:ascii="楷体_GB2312" w:eastAsia="楷体_GB2312" w:cs="楷体_GB2312" w:hAnsi="楷体_GB2312" w:hint="eastAsia"/>
          <w:color w:val="000000"/>
          <w:sz w:val="40"/>
          <w:szCs w:val="40"/>
        </w:rPr>
      </w:pPr>
      <w:r>
        <w:drawing>
          <wp:anchor distT="0" distB="0" distL="114300" distR="114300" simplePos="0" relativeHeight="2" behindDoc="1" locked="0" layoutInCell="1" hidden="0" allowOverlap="1">
            <wp:simplePos x="0" y="0"/>
            <wp:positionH relativeFrom="column">
              <wp:posOffset>-1692910</wp:posOffset>
            </wp:positionH>
            <wp:positionV relativeFrom="paragraph">
              <wp:posOffset>-1319530</wp:posOffset>
            </wp:positionV>
            <wp:extent cx="8646795" cy="11107419"/>
            <wp:effectExtent l="-9525" t="-9525" r="1905" b="5080"/>
            <wp:wrapNone/>
            <wp:docPr id="14" name="图片 14" descr="7b0a202020202266696c746572223a202230220a7d0a"/>
            <wp:cNvGraphicFramePr>
              <a:graphicFrameLocks noChangeAspect="1"/>
            </wp:cNvGraphicFramePr>
            <a:graphic>
              <a:graphicData uri="http://schemas.openxmlformats.org/drawingml/2006/picture">
                <pic:pic>
                  <pic:nvPicPr>
                    <pic:cNvPr id="2" name="图片 2"/>
                    <pic:cNvPicPr/>
                  </pic:nvPicPr>
                  <pic:blipFill>
                    <a:blip r:embed="rId3">
                      <a:lum bright="5999"/>
                    </a:blip>
                    <a:srcRect t="559" b="3637"/>
                    <a:stretch>
                      <a:fillRect/>
                    </a:stretch>
                  </pic:blipFill>
                  <pic:spPr>
                    <a:xfrm rot="0">
                      <a:off x="0" y="0"/>
                      <a:ext cx="8646795" cy="11107419"/>
                    </a:xfrm>
                    <a:prstGeom prst="rect"/>
                    <a:noFill/>
                    <a:ln w="9525" cmpd="sng" cap="flat">
                      <a:noFill/>
                      <a:prstDash val="solid"/>
                      <a:miter/>
                    </a:ln>
                  </pic:spPr>
                </pic:pic>
              </a:graphicData>
            </a:graphic>
          </wp:anchor>
        </w:drawing>
      </w:r>
      <w:r>
        <mc:AlternateContent>
          <mc:Choice Requires="wps">
            <w:drawing>
              <wp:anchor distT="0" distB="0" distL="114300" distR="114300" simplePos="0" relativeHeight="33" behindDoc="0" locked="0" layoutInCell="1" hidden="0" allowOverlap="1">
                <wp:simplePos x="0" y="0"/>
                <wp:positionH relativeFrom="column">
                  <wp:posOffset>-546735</wp:posOffset>
                </wp:positionH>
                <wp:positionV relativeFrom="paragraph">
                  <wp:posOffset>253365</wp:posOffset>
                </wp:positionV>
                <wp:extent cx="6431280" cy="2862579"/>
                <wp:wrapNone/>
                <wp:docPr id="1" name="文本框 1" descr="7b0a2020202022776f7264617274223a20227b5c2269645c223a32353030323136362c5c227469645c223a5c225c227d220a7d0a"/>
                <wp:cNvGraphicFramePr>
                  <a:graphicFrameLocks noChangeAspect="0"/>
                </wp:cNvGraphicFramePr>
                <a:graphic>
                  <a:graphicData uri="http://schemas.microsoft.com/office/word/2010/wordprocessingShape">
                    <wps:wsp>
                      <wps:cNvSpPr/>
                      <wps:spPr>
                        <a:xfrm rot="0">
                          <a:off x="0" y="0"/>
                          <a:ext cx="6431280" cy="2862579"/>
                        </a:xfrm>
                        <a:prstGeom prst="rect"/>
                        <a:noFill/>
                        <a:ln cmpd="sng" cap="flat">
                          <a:noFill/>
                          <a:prstDash val="solid"/>
                          <a:round/>
                        </a:ln>
                      </wps:spPr>
                      <wps:txbx id="3">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wps:txbx>
                      <wps:bodyPr vert="horz" wrap="square" lIns="91440" tIns="45720" rIns="91440" bIns="45720" anchor="t" anchorCtr="0" upright="1">
                        <a:noAutofit/>
                      </wps:bodyPr>
                    </wps:wsp>
                  </a:graphicData>
                </a:graphic>
              </wp:anchor>
            </w:drawing>
          </mc:Choice>
          <mc:Fallback>
            <w:pict>
              <v:rect type="#_x0000_t1" id="文本框 1" o:spid="_x0000_s4" filled="f" stroked="f" strokeweight="-1.0pt" alt="7b0a2020202022776f7264617274223a20227b5c2269645c223a32353030323136362c5c227469645c223a5c225c227d220a7d0a" style="position:absolute;margin-left:-43.05pt;margin-top:19.95pt;width:506.4pt;height:225.4pt;z-index:33;mso-position-horizontal:absolute;mso-position-vertical:absolute;mso-wrap-style:square;">
                <v:stroke/>
                <v:textbox id="849" inset="2.54mm,1.27mm,2.54mm,1.27mm" o:insetmode="custom" style="layout-flow:horizontal;v-text-anchor:top;">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v:textbox>
              </v:rect>
            </w:pict>
          </mc:Fallback>
        </mc:AlternateContent>
      </w: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left"/>
        <w:rPr>
          <w:rFonts w:ascii="楷体_GB2312" w:eastAsia="楷体_GB2312" w:cs="楷体_GB2312" w:hAnsi="楷体_GB2312" w:hint="eastAsia"/>
          <w:color w:val="000000"/>
          <w:sz w:val="40"/>
          <w:szCs w:val="40"/>
          <w:lang w:val="en-US" w:eastAsia="zh-CN"/>
        </w:rPr>
      </w:pPr>
      <w:r>
        <w:rPr>
          <w:rFonts w:ascii="黑体" w:eastAsia="黑体" w:cs="黑体" w:hAnsi="黑体" w:hint="eastAsia"/>
          <w:color w:val="000000"/>
          <w:sz w:val="40"/>
          <w:szCs w:val="40"/>
        </w:rPr>
        <w:t>预算代码</w:t>
      </w:r>
      <w:r>
        <w:rPr>
          <w:rFonts w:ascii="楷体_GB2312" w:eastAsia="楷体_GB2312" w:cs="楷体_GB2312" w:hAnsi="楷体_GB2312" w:hint="eastAsia"/>
          <w:color w:val="000000"/>
          <w:sz w:val="40"/>
          <w:szCs w:val="40"/>
        </w:rPr>
        <w:t>：</w:t>
      </w:r>
      <w:r>
        <w:rPr>
          <w:rFonts w:ascii="楷体_GB2312" w:eastAsia="楷体_GB2312" w:cs="楷体_GB2312" w:hAnsi="楷体_GB2312" w:hint="eastAsia"/>
          <w:color w:val="000000"/>
          <w:sz w:val="40"/>
          <w:szCs w:val="40"/>
          <w:lang w:val="en-US" w:eastAsia="zh-CN"/>
        </w:rPr>
        <w:t>432</w:t>
      </w:r>
    </w:p>
    <w:p>
      <w:pPr>
        <w:spacing w:line="600" w:lineRule="auto"/>
        <w:jc w:val="left"/>
        <w:rPr>
          <w:rFonts w:ascii="楷体_GB2312" w:eastAsia="楷体_GB2312" w:cs="楷体_GB2312" w:hAnsi="楷体_GB2312" w:hint="eastAsia"/>
          <w:color w:val="000000"/>
          <w:sz w:val="40"/>
          <w:szCs w:val="40"/>
        </w:rPr>
      </w:pPr>
      <w:r>
        <w:rPr>
          <w:rFonts w:ascii="黑体" w:eastAsia="黑体" w:cs="黑体" w:hAnsi="黑体" w:hint="eastAsia"/>
          <w:color w:val="000000"/>
          <w:sz w:val="40"/>
          <w:szCs w:val="40"/>
        </w:rPr>
        <w:t>单位名称</w:t>
      </w:r>
      <w:r>
        <w:rPr>
          <w:rFonts w:ascii="楷体_GB2312" w:eastAsia="楷体_GB2312" w:cs="楷体_GB2312" w:hAnsi="楷体_GB2312" w:hint="eastAsia"/>
          <w:color w:val="000000"/>
          <w:sz w:val="40"/>
          <w:szCs w:val="40"/>
        </w:rPr>
        <w:t>：昌黎县碣石山综合开发中心（汇总）</w:t>
      </w:r>
    </w:p>
    <w:p>
      <w:pPr>
        <w:spacing w:line="600" w:lineRule="auto"/>
        <w:jc w:val="both"/>
        <w:rPr>
          <w:rFonts w:ascii="楷体_GB2312" w:eastAsia="楷体_GB2312" w:cs="楷体_GB2312" w:hAnsi="楷体_GB2312" w:hint="eastAsia"/>
          <w:color w:val="000000"/>
          <w:sz w:val="40"/>
          <w:szCs w:val="40"/>
        </w:rPr>
        <w:sectPr>
          <w:footerReference w:type="default" r:id="rId2"/>
          <w:pgSz w:w="11906" w:h="16838"/>
          <w:pgMar w:top="2098" w:right="1417" w:bottom="1871" w:left="1417" w:header="851" w:footer="992" w:gutter="0"/>
          <w:pgBorders>
            <w:top w:val="none" w:sz="0" w:space="0" w:color="auto"/>
            <w:left w:val="none" w:sz="0" w:space="0" w:color="auto"/>
            <w:bottom w:val="none" w:sz="0" w:space="0" w:color="auto"/>
            <w:right w:val="none" w:sz="0" w:space="0" w:color="auto"/>
          </w:pgBorders>
          <w:pgNumType w:start="1"/>
          <w:cols w:num="1" w:space="720"/>
          <w:docGrid w:type="lines" w:linePitch="312" w:charSpace="0"/>
        </w:sectPr>
      </w:pPr>
    </w:p>
    <w:p>
      <w:pPr>
        <w:spacing w:line="600" w:lineRule="auto"/>
        <w:jc w:val="center"/>
        <w:rPr>
          <w:rFonts w:ascii="楷体_GB2312" w:eastAsia="楷体_GB2312" w:cs="楷体_GB2312" w:hAnsi="楷体_GB2312" w:hint="eastAsia"/>
          <w:color w:val="000000"/>
          <w:sz w:val="40"/>
          <w:szCs w:val="40"/>
        </w:rPr>
      </w:pPr>
    </w:p>
    <w:p>
      <w:pPr>
        <w:rPr>
          <w:rFonts w:ascii="黑体" w:eastAsia="黑体" w:cs="黑体" w:hAnsi="黑体" w:hint="eastAsia"/>
          <w:b/>
          <w:bCs/>
          <w:sz w:val="32"/>
          <w:szCs w:val="36"/>
          <w:highlight w:val="yellow"/>
        </w:rPr>
      </w:pP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方正小标宋_GBK" w:hAnsi="Times New Roman"/>
          <w:b w:val="0"/>
          <w:sz w:val="72"/>
          <w:szCs w:val="72"/>
        </w:rPr>
        <w:t>昌黎县碣石山综合开发中心（汇总）</w:t>
      </w: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仿宋_GB2312" w:hAnsi="Times New Roman"/>
          <w:b w:val="0"/>
          <w:sz w:val="72"/>
          <w:szCs w:val="72"/>
        </w:rPr>
        <w:t>2024</w:t>
      </w:r>
      <w:r>
        <w:rPr>
          <w:rFonts w:ascii="Times New Roman" w:eastAsia="方正小标宋_GBK" w:hAnsi="Times New Roman"/>
          <w:b w:val="0"/>
          <w:sz w:val="72"/>
          <w:szCs w:val="72"/>
        </w:rPr>
        <w:t>年度部门决算公开文本</w:t>
      </w:r>
    </w:p>
    <w:p>
      <w:pPr>
        <w:spacing w:line="36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480" w:lineRule="auto"/>
        <w:jc w:val="both"/>
        <w:rPr>
          <w:rFonts w:ascii="黑体" w:eastAsia="黑体" w:cs="黑体" w:hAnsi="黑体"/>
          <w:sz w:val="56"/>
          <w:szCs w:val="72"/>
        </w:rPr>
      </w:pP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昌黎县碣石山综合开发中心（汇总）(单位名称，加盖公章）</w:t>
      </w: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二〇二五年八月</w:t>
      </w:r>
    </w:p>
    <w:p>
      <w:pPr>
        <w:snapToGrid w:val="0"/>
        <w:jc w:val="left"/>
        <w:rPr>
          <w:rFonts w:ascii="楷体_GB2312" w:eastAsia="楷体_GB2312" w:cs="楷体_GB2312" w:hAnsi="楷体_GB2312" w:hint="eastAsia"/>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pPr>
    </w:p>
    <w:p>
      <w:pPr>
        <w:snapToGrid w:val="0"/>
        <w:jc w:val="left"/>
        <w:rPr>
          <w:rFonts w:ascii="楷体_GB2312" w:eastAsia="楷体_GB2312" w:cs="楷体_GB2312" w:hAnsi="楷体_GB2312"/>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sectPr>
          <w:footerReference w:type="default" r:id="rId4"/>
          <w:pgSz w:w="11906" w:h="16838"/>
          <w:pgMar w:top="1531" w:right="1984" w:bottom="1531" w:left="2098"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pPr>
    </w:p>
    <w:p>
      <w:pPr>
        <w:widowControl/>
        <w:spacing w:line="600" w:lineRule="exact"/>
        <w:jc w:val="left"/>
        <w:rPr>
          <w:rFonts w:ascii="黑体" w:eastAsia="黑体" w:cs="黑体" w:hAnsi="黑体"/>
          <w:bCs/>
          <w:sz w:val="32"/>
          <w:szCs w:val="32"/>
        </w:rPr>
      </w:pPr>
    </w:p>
    <w:p>
      <w:pPr>
        <w:tabs>
          <w:tab w:val="left" w:pos="2728"/>
        </w:tabs>
        <w:jc w:val="center"/>
        <w:rPr>
          <w:rFonts w:ascii="黑体" w:eastAsia="黑体" w:cs="Times New Roman" w:hAnsi="Times New Roman"/>
          <w:sz w:val="48"/>
          <w:szCs w:val="48"/>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目  录</w:t>
      </w:r>
    </w:p>
    <w:p>
      <w:pPr>
        <w:widowControl/>
        <w:spacing w:after="160" w:line="580" w:lineRule="exact"/>
        <w:ind w:firstLineChars="200" w:firstLine="640"/>
        <w:rPr>
          <w:rFonts w:ascii="Times New Roman" w:eastAsia="黑体" w:cs="Times New Roman" w:hAnsi="Times New Roman"/>
          <w:sz w:val="32"/>
          <w:szCs w:val="32"/>
        </w:rPr>
      </w:pP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第一部分部门概况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一、部门职责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二、机构设置</w:t>
      </w:r>
    </w:p>
    <w:p>
      <w:pPr>
        <w:widowControl/>
        <w:spacing w:before="0" w:beforeAutospacing="0" w:after="0" w:afterAutospacing="0" w:line="360" w:lineRule="auto"/>
        <w:jc w:val="left"/>
        <w:outlineLvl w:val="0"/>
        <w:rPr>
          <w:rFonts w:ascii="Times New Roman" w:eastAsia="黑体" w:hAnsi="Times New Roman"/>
          <w:sz w:val="32"/>
          <w:szCs w:val="32"/>
        </w:rPr>
      </w:pPr>
      <w:r>
        <w:rPr>
          <w:rFonts w:ascii="Times New Roman" w:eastAsia="黑体" w:hAnsi="Times New Roman"/>
          <w:b w:val="0"/>
          <w:sz w:val="32"/>
          <w:szCs w:val="32"/>
        </w:rPr>
        <w:t>第二部分 2024年度部门决算报表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五、一般公共预算财政拨款支出决算表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六、一般公共预算财政拨款基本支出决算明细表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七、政府性基金预算财政拨款收入支出决算表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八、国有资本经营预算财政拨款支出决算表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九、财政拨款“三公”经费支出决算表</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第三部分 2024年度部门决算情况说明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五、财政拨款“三公”经费支出决算情况说明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十、其他需要说明的情况</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第四部分 名词解释</w:t>
      </w:r>
    </w:p>
    <w:p>
      <w:pPr>
        <w:widowControl/>
        <w:spacing w:after="160" w:line="580" w:lineRule="exact"/>
        <w:rPr>
          <w:rFonts w:ascii="Times New Roman" w:eastAsia="黑体" w:cs="Times New Roman" w:hAnsi="Times New Roman" w:hint="eastAsia"/>
          <w:sz w:val="32"/>
          <w:szCs w:val="32"/>
          <w:lang w:val="en-US" w:eastAsia="zh-CN"/>
        </w:rPr>
        <w:sectPr>
          <w:headerReference w:type="default" r:id="rId5"/>
          <w:headerReference w:type="first" r:id="rId6"/>
          <w:footerReference w:type="default" r:id="rId7"/>
          <w:footerReference w:type="first" r:id="rId8"/>
          <w:pgSz w:w="11906" w:h="16838"/>
          <w:pgMar w:top="1474" w:right="1531" w:bottom="1474" w:left="1531" w:header="851" w:footer="992" w:gutter="0"/>
          <w:pgBorders>
            <w:top w:val="none" w:sz="0" w:space="0" w:color="auto"/>
            <w:left w:val="none" w:sz="0" w:space="0" w:color="auto"/>
            <w:bottom w:val="none" w:sz="0" w:space="0" w:color="auto"/>
            <w:right w:val="none" w:sz="0" w:space="0" w:color="auto"/>
          </w:pgBorders>
          <w:cols w:num="1" w:space="0"/>
          <w:titlePg/>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第一部分部门概况</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一、部门职责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根据职能，昌黎县碣石山综合开发中心负责编制碣石山片区的总体规划和产业发展规划；负责片区基础设施和公共设施的完善、建设、维护；片区项目的谋划包装、项目洽谈、政策服务等招商引资工作；负责片区新建项目的选址初审工作；负责项目建设的协调服务工作；片区内葡萄酒产业、企业协调服务工作；片区内景区的开发建设、日常管理工作；负责统筹指导片区主导产业及整体形象的设计包装、资源保护和对外宣传工作；负责指导所属开发公司的开发运营工作及政府交办的其他事项。</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二、机构设置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从决算编报单位构成看，纳入2024年度本部门决算汇编范围的独立核算单位（以下简称“单位”）共1个，具体情况如下：</w:t>
      </w:r>
    </w:p>
    <w:tbl>
      <w:tblPr>
        <w:tblpPr w:leftFromText="180" w:rightFromText="180" w:vertAnchor="text" w:horzAnchor="page" w:tblpXSpec="center" w:tblpY="10"/>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85"/>
        <w:gridCol w:w="3485"/>
        <w:gridCol w:w="2445"/>
        <w:gridCol w:w="2665"/>
      </w:tblGrid>
      <w:tr>
        <w:trPr>
          <w:trHeight w:val="811"/>
        </w:trPr>
        <w:tc>
          <w:tcPr>
            <w:tcW w:w="9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序号</w:t>
            </w:r>
          </w:p>
        </w:tc>
        <w:tc>
          <w:tcPr>
            <w:tcW w:w="34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单位名称</w:t>
            </w:r>
          </w:p>
        </w:tc>
        <w:tc>
          <w:tcPr>
            <w:tcW w:w="244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单位基本性质</w:t>
            </w:r>
          </w:p>
        </w:tc>
        <w:tc>
          <w:tcPr>
            <w:tcW w:w="266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经费形式</w:t>
            </w:r>
          </w:p>
        </w:tc>
      </w:tr>
      <w:tr>
        <w:trPr>
          <w:trHeight w:val="596"/>
        </w:trPr>
        <w:tc>
          <w:tcPr>
            <w:tcW w:w="9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1</w:t>
            </w:r>
          </w:p>
        </w:tc>
        <w:tc>
          <w:tcPr>
            <w:tcW w:w="34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昌黎县碣石山综合开发中心（本级）</w:t>
            </w:r>
          </w:p>
        </w:tc>
        <w:tc>
          <w:tcPr>
            <w:tcW w:w="2445" w:type="dxa"/>
          </w:tcPr>
          <w:p>
            <w:pPr>
              <w:spacing w:line="560" w:lineRule="exact"/>
              <w:jc w:val="center"/>
              <w:rPr>
                <w:rFonts w:ascii="仿宋_GB2312" w:eastAsia="仿宋_GB2312" w:cs="ArialUnicodeMS" w:hAnsi="Calibri"/>
                <w:kern w:val="0"/>
                <w:sz w:val="28"/>
                <w:szCs w:val="28"/>
              </w:rPr>
            </w:pPr>
          </w:p>
        </w:tc>
        <w:tc>
          <w:tcPr>
            <w:tcW w:w="266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全额</w:t>
            </w:r>
          </w:p>
        </w:tc>
      </w:tr>
    </w:tbl>
    <w:p>
      <w:pPr>
        <w:rPr>
          <w:rFonts w:ascii="Times New Roman" w:eastAsia="黑体" w:cs="Times New Roman" w:hAnsi="Times New Roman" w:hint="eastAsia"/>
          <w:sz w:val="32"/>
          <w:szCs w:val="32"/>
          <w:highlight w:val="yellow"/>
        </w:rPr>
      </w:pPr>
      <w:r>
        <w:rPr>
          <w:rFonts w:ascii="Times New Roman" w:eastAsia="黑体" w:cs="Times New Roman" w:hAnsi="Times New Roman" w:hint="eastAsia"/>
          <w:sz w:val="32"/>
          <w:szCs w:val="32"/>
          <w:highlight w:val="yellow"/>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第二部分</w:t>
      </w:r>
      <w:r>
        <w:rPr>
          <w:rFonts w:ascii="Times New Roman" w:eastAsia="仿宋_GB2312" w:hAnsi="Times New Roman"/>
          <w:b w:val="0"/>
          <w:sz w:val="44"/>
          <w:szCs w:val="44"/>
        </w:rPr>
        <w:t>2024</w:t>
      </w:r>
      <w:r>
        <w:rPr>
          <w:rFonts w:ascii="Times New Roman" w:eastAsia="黑体" w:hAnsi="Times New Roman"/>
          <w:b w:val="0"/>
          <w:sz w:val="44"/>
          <w:szCs w:val="44"/>
        </w:rPr>
        <w:t>年度部门决算表</w:t>
      </w:r>
    </w:p>
    <w:tbl>
      <w:tblPr>
        <w:jc w:val="left"/>
        <w:tblInd w:w="-1817" w:type="dxa"/>
        <w:tblW w:w="72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345"/>
        <w:gridCol w:w="623"/>
        <w:gridCol w:w="613"/>
        <w:gridCol w:w="1318"/>
        <w:gridCol w:w="1626"/>
        <w:gridCol w:w="1549"/>
        <w:gridCol w:w="623"/>
        <w:gridCol w:w="1931"/>
        <w:gridCol w:w="35"/>
      </w:tblGrid>
      <w:tr>
        <w:trPr>
          <w:trHeight w:val="361"/>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收入支出决算总表</w:t>
            </w:r>
          </w:p>
        </w:tc>
      </w:tr>
      <w:tr>
        <w:trPr>
          <w:trHeight w:val="357"/>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公开</w:t>
            </w:r>
            <w:r>
              <w:rPr>
                <w:rFonts w:ascii="Times New Roman" w:eastAsia="宋体" w:cs="Times New Roman" w:hAnsi="Times New Roman" w:hint="eastAsia"/>
                <w:i w:val="0"/>
                <w:iCs w:val="0"/>
                <w:color w:val="000000"/>
                <w:sz w:val="20"/>
                <w:szCs w:val="20"/>
                <w:u w:val="none"/>
                <w:lang w:val="en-US" w:eastAsia="zh-CN"/>
                <w:highlight w:val="none"/>
              </w:rPr>
              <w:t>01</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51"/>
          <w:gridAfter w:val="1"/>
          <w:wAfter w:w="35" w:type="dxa"/>
        </w:trPr>
        <w:tc>
          <w:tcPr>
            <w:tcW w:w="1964" w:type="pct"/>
            <w:gridSpan w:val="3"/>
            <w:tcBorders>
              <w:top w:val="nil"/>
              <w:left w:val="nil"/>
              <w:bottom w:val="single" w:sz="4" w:space="0" w:color="auto"/>
              <w:right w:val="nil"/>
            </w:tcBorders>
            <w:noWrap/>
            <w:vAlign w:val="bottom"/>
          </w:tcPr>
          <w:p>
            <w:pPr>
              <w:jc w:val="both"/>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部门（单位）：昌黎县碣石山综合开发中心（汇总）</w:t>
            </w:r>
          </w:p>
        </w:tc>
        <w:tc>
          <w:tcPr>
            <w:tcW w:w="1262"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hint="eastAsia"/>
                <w:i w:val="0"/>
                <w:iCs w:val="0"/>
                <w:color w:val="000000"/>
                <w:sz w:val="20"/>
                <w:szCs w:val="20"/>
                <w:u w:val="none"/>
                <w:lang w:val="en-US" w:eastAsia="zh-CN"/>
                <w:highlight w:val="none"/>
              </w:rPr>
              <w:t>2024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757" w:type="pct"/>
            <w:gridSpan w:val="3"/>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44"/>
          <w:gridAfter w:val="1"/>
          <w:wAfter w:w="35" w:type="dxa"/>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收入</w:t>
            </w:r>
          </w:p>
        </w:tc>
        <w:tc>
          <w:tcPr>
            <w:tcW w:w="2456"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支出</w:t>
            </w: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决算数</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决算数</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Times New Roman" w:eastAsia="宋体" w:cs="Times New Roman" w:hAnsi="Times New Roman" w:hint="eastAsia"/>
                <w:i w:val="0"/>
                <w:iCs w:val="0"/>
                <w:color w:val="000000"/>
                <w:sz w:val="20"/>
                <w:szCs w:val="20"/>
                <w:u w:val="none"/>
                <w:lang w:val="en-US" w:eastAsia="zh-CN"/>
                <w:highlight w:val="none"/>
              </w:rPr>
              <w:t>1</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Times New Roman" w:eastAsia="宋体" w:cs="Times New Roman" w:hAnsi="Times New Roman" w:hint="eastAsia"/>
                <w:i w:val="0"/>
                <w:iCs w:val="0"/>
                <w:color w:val="000000"/>
                <w:sz w:val="20"/>
                <w:szCs w:val="20"/>
                <w:u w:val="none"/>
                <w:lang w:val="en-US" w:eastAsia="zh-CN"/>
                <w:highlight w:val="none"/>
              </w:rPr>
              <w:t>2</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宋体" w:eastAsia="宋体" w:cs="宋体" w:hAnsi="宋体"/>
                <w:i w:val="0"/>
                <w:iCs w:val="0"/>
                <w:color w:val="000000"/>
                <w:sz w:val="20"/>
                <w:szCs w:val="20"/>
                <w:u w:val="none"/>
                <w:lang w:val="en-US" w:eastAsia="zh-CN"/>
                <w:highlight w:val="none"/>
              </w:rPr>
              <w:t>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263.34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一、一般公共服务支出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211.93</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二、外交支出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四、上级补助收入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四、公共安全支出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五、事业收入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五、教育支出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六、经营收入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六、科学技术支出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七、附属单位上缴收入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七、文化旅游体育与传媒支出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八、其他收入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八、社会保障和就业支出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23.41</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九、卫生健康支出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40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8.98</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十、节能环保支出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十一、城乡社区支出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十二、农林水支出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十三、交通运输支出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14</w:t>
            </w:r>
          </w:p>
        </w:tc>
        <w:tc>
          <w:tcPr>
            <w:tcW w:w="826"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十四、资源勘探工业信息等支出</w:t>
            </w: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45</w:t>
            </w:r>
          </w:p>
        </w:tc>
        <w:tc>
          <w:tcPr>
            <w:tcW w:w="826"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46</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47</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48</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49</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50</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9.01</w:t>
            </w: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51</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21</w:t>
            </w:r>
          </w:p>
        </w:tc>
        <w:tc>
          <w:tcPr>
            <w:tcW w:w="826"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52</w:t>
            </w:r>
          </w:p>
        </w:tc>
        <w:tc>
          <w:tcPr>
            <w:tcW w:w="826"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二十二、灾害防治及应急管理支出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10.00</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二十三、其他支出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二十四、债务还本支出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二十五、债务付息支出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二十六、抗疫特别国债安排的支出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本年收入合计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本年支出合计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使用非财政拨款结余（含专用结余）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结余分配</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60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30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61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62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注：1.本表反映部门本年度的总收支和年末结转结余情况。</w:t>
            </w:r>
          </w:p>
          <w:p>
            <w:pPr>
              <w:keepNext w:val="0"/>
              <w:keepLines w:val="0"/>
              <w:widowControl/>
              <w:suppressLineNumbers w:val="0"/>
              <w:ind w:firstLineChars="200" w:firstLine="40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center"/>
        <w:tblW w:w="923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40"/>
        <w:gridCol w:w="1160"/>
        <w:gridCol w:w="1037"/>
        <w:gridCol w:w="1037"/>
        <w:gridCol w:w="1037"/>
        <w:gridCol w:w="964"/>
        <w:gridCol w:w="367"/>
        <w:gridCol w:w="597"/>
        <w:gridCol w:w="1027"/>
        <w:gridCol w:w="964"/>
      </w:tblGrid>
      <w:tr>
        <w:trPr>
          <w:trHeight w:val="550"/>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收入决算表</w:t>
            </w:r>
          </w:p>
        </w:tc>
      </w:tr>
      <w:tr>
        <w:trPr>
          <w:trHeight w:val="300"/>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hint="eastAsia"/>
                <w:i w:val="0"/>
                <w:iCs w:val="0"/>
                <w:color w:val="000000"/>
                <w:sz w:val="20"/>
                <w:szCs w:val="20"/>
                <w:u w:val="none"/>
                <w:lang w:val="en-US" w:eastAsia="zh-CN"/>
                <w:highlight w:val="none"/>
              </w:rPr>
              <w:t>02</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3237" w:type="dxa"/>
            <w:gridSpan w:val="3"/>
            <w:tcBorders>
              <w:top w:val="nil"/>
              <w:left w:val="nil"/>
              <w:bottom w:val="single" w:sz="4" w:space="0" w:color="auto"/>
              <w:right w:val="nil"/>
            </w:tcBorders>
            <w:noWrap/>
            <w:vAlign w:val="bottom"/>
          </w:tcPr>
          <w:p>
            <w:pP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部门（单位）：昌黎县碣石山综合开发中心（汇总）                                                                                                         </w:t>
            </w:r>
          </w:p>
        </w:tc>
        <w:tc>
          <w:tcPr>
            <w:tcW w:w="3405" w:type="dxa"/>
            <w:gridSpan w:val="4"/>
            <w:tcBorders>
              <w:top w:val="nil"/>
              <w:left w:val="nil"/>
              <w:bottom w:val="single" w:sz="4" w:space="0" w:color="auto"/>
              <w:right w:val="nil"/>
            </w:tcBorders>
            <w:noWrap/>
            <w:vAlign w:val="bottom"/>
          </w:tcPr>
          <w:p>
            <w:pPr>
              <w:jc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Times New Roman" w:eastAsia="方正仿宋_GB2312" w:cs="Times New Roman" w:hAnsi="Times New Roman"/>
                <w:i w:val="0"/>
                <w:iCs w:val="0"/>
                <w:color w:val="000000"/>
                <w:sz w:val="20"/>
                <w:szCs w:val="20"/>
                <w:u w:val="none"/>
                <w:lang w:val="en-US" w:eastAsia="zh-CN"/>
                <w:highlight w:val="none"/>
              </w:rPr>
              <w:t>202</w:t>
            </w:r>
            <w:r>
              <w:rPr>
                <w:rFonts w:ascii="Times New Roman" w:eastAsia="方正仿宋_GB2312" w:cs="Times New Roman" w:hAnsi="Times New Roman" w:hint="eastAsia"/>
                <w:i w:val="0"/>
                <w:iCs w:val="0"/>
                <w:color w:val="00000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2588" w:type="dxa"/>
            <w:gridSpan w:val="3"/>
            <w:tcBorders>
              <w:top w:val="nil"/>
              <w:left w:val="nil"/>
              <w:bottom w:val="single" w:sz="4" w:space="0" w:color="auto"/>
              <w:right w:val="nil"/>
            </w:tcBorders>
            <w:noWrap/>
            <w:vAlign w:val="bottom"/>
          </w:tcPr>
          <w:p>
            <w:pPr>
              <w:jc w:val="right"/>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10"/>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上级补助收入</w:t>
            </w:r>
          </w:p>
        </w:tc>
        <w:tc>
          <w:tcPr>
            <w:tcW w:w="964" w:type="dxa"/>
            <w:vMerge w:val="restart"/>
            <w:tcBorders>
              <w:top w:val="single" w:sz="4" w:space="0" w:color="auto"/>
              <w:left w:val="nil"/>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经营收入</w:t>
            </w:r>
          </w:p>
        </w:tc>
        <w:tc>
          <w:tcPr>
            <w:tcW w:w="102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其他收入</w:t>
            </w:r>
          </w:p>
        </w:tc>
      </w:tr>
      <w:tr>
        <w:trPr>
          <w:trHeight w:val="312"/>
        </w:trPr>
        <w:tc>
          <w:tcPr>
            <w:tcW w:w="1040" w:type="dxa"/>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1160" w:type="dxa"/>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bottom w:val="single" w:sz="4" w:space="0" w:color="000000"/>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454"/>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1</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2</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3</w:t>
            </w:r>
          </w:p>
        </w:tc>
        <w:tc>
          <w:tcPr>
            <w:tcW w:w="964"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4</w:t>
            </w:r>
          </w:p>
        </w:tc>
        <w:tc>
          <w:tcPr>
            <w:tcW w:w="964" w:type="dxa"/>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5</w:t>
            </w:r>
          </w:p>
        </w:tc>
        <w:tc>
          <w:tcPr>
            <w:tcW w:w="102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6</w:t>
            </w:r>
          </w:p>
        </w:tc>
        <w:tc>
          <w:tcPr>
            <w:tcW w:w="964"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7</w:t>
            </w:r>
          </w:p>
        </w:tc>
      </w:tr>
      <w:tr>
        <w:trPr>
          <w:trHeight w:val="567"/>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7,003.34</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7,003.34</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一般公共服务支出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211.93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211.93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20103</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政府办公厅（室）及相关机构事务</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211.93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211.93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2010301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行政运行</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9.58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9.58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2010350</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事业运行</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177.35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177.35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2010399</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其他政府办公厅（室）及相关机构事务支出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25.00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25.00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社会保障和就业支出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23.41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23.41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20805</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行政事业单位养老支出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23.41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23.41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2080505</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机关事业单位基本养老保险缴费支出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16.78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16.78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2080506</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机关事业单位职业年金缴费支出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卫生健康支出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行政事业单位医疗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0.55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0.55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事业单位医疗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8.43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8.43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住房保障支出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住房改革支出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2210201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住房公积金</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9.01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224</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灾害防治及应急管理支出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22406</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自然灾害防治</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2240602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森林草原防灾减灾</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229</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其他支出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22904</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其他政府性基金及对应专项债务收入安排的支出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2290402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其他地方自行试点项目收益专项债券收入安排的支出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6,740.00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黑体" w:eastAsia="黑体" w:cs="宋体" w:hAnsi="黑体" w:hint="eastAsia"/>
          <w:bCs/>
          <w:kern w:val="0"/>
          <w:sz w:val="32"/>
          <w:szCs w:val="32"/>
          <w:highlight w:val="none"/>
        </w:rPr>
      </w:pPr>
      <w:r>
        <w:rPr>
          <w:rFonts w:ascii="仿宋_GB2312" w:eastAsia="仿宋_GB2312" w:hAnsi="宋体" w:hint="eastAsia"/>
          <w:b/>
          <w:color w:val="auto"/>
          <w:kern w:val="0"/>
          <w:sz w:val="32"/>
          <w:szCs w:val="32"/>
          <w:highlight w:val="none"/>
        </w:rPr>
        <w:br w:type="page"/>
      </w:r>
    </w:p>
    <w:tbl>
      <w:tblPr>
        <w:jc w:val="center"/>
        <w:tblW w:w="5812"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39"/>
        <w:gridCol w:w="1187"/>
        <w:gridCol w:w="1127"/>
        <w:gridCol w:w="127"/>
        <w:gridCol w:w="998"/>
        <w:gridCol w:w="1125"/>
        <w:gridCol w:w="499"/>
        <w:gridCol w:w="626"/>
        <w:gridCol w:w="1125"/>
        <w:gridCol w:w="1492"/>
      </w:tblGrid>
      <w:tr>
        <w:trPr>
          <w:trHeight w:val="550"/>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br w:type="page"/>
              <w:t>支出决算表</w:t>
            </w:r>
          </w:p>
        </w:tc>
      </w:tr>
      <w:tr>
        <w:trPr>
          <w:trHeight w:val="300"/>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i w:val="0"/>
                <w:iCs w:val="0"/>
                <w:color w:val="000000"/>
                <w:kern w:val="0"/>
                <w:sz w:val="20"/>
                <w:szCs w:val="20"/>
                <w:u w:val="none"/>
                <w:lang w:val="en-US" w:eastAsia="zh-CN"/>
                <w:highlight w:val="none"/>
              </w:rPr>
              <w:t>03</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862" w:type="pct"/>
            <w:gridSpan w:val="4"/>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部门（单位）：昌黎县碣石山综合开发中心（汇总）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140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734"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金额单位：万元</w:t>
            </w:r>
          </w:p>
        </w:tc>
      </w:tr>
      <w:tr>
        <w:trPr>
          <w:trHeight w:val="510"/>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603"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602"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经营支出</w:t>
            </w:r>
          </w:p>
        </w:tc>
        <w:tc>
          <w:tcPr>
            <w:tcW w:w="795"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对附属单位补助支出</w:t>
            </w:r>
          </w:p>
        </w:tc>
      </w:tr>
      <w:tr>
        <w:trPr>
          <w:trHeight w:val="308"/>
        </w:trPr>
        <w:tc>
          <w:tcPr>
            <w:tcW w:w="556"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635"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08"/>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08"/>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454"/>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603"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w:t>
            </w:r>
          </w:p>
        </w:tc>
        <w:tc>
          <w:tcPr>
            <w:tcW w:w="602" w:type="pct"/>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602"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602" w:type="pct"/>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602"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795"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r>
      <w:tr>
        <w:trPr>
          <w:trHeight w:val="308"/>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228.34</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6,775.00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一般公共服务支出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211.93</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186.93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政府办公厅（室）及相关机构事务</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211.93</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186.93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行政运行</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9.58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9.58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2010350</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事业运行</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177.35</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177.35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2010399</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其他政府办公厅（室）及相关机构事务支出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社会保障和就业支出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行政事业单位养老支出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2080505</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机关事业单位基本养老保险缴费支出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16.78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16.78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2080506</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机关事业单位职业年金缴费支出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6.63</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卫生健康支出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0.55</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0.55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8.43</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8.43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住房保障支出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住房改革支出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住房公积金</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灾害防治及应急管理支出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22406</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自然灾害防治</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2240602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森林草原防灾减灾</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22904</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其他政府性基金及对应专项债务收入安排的支出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2290402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其他地方自行试点项目收益专项债券收入安排的支出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6,740.00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1857" w:type="dxa"/>
        <w:tblW w:w="728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983"/>
        <w:gridCol w:w="623"/>
        <w:gridCol w:w="1428"/>
        <w:gridCol w:w="1658"/>
        <w:gridCol w:w="438"/>
        <w:gridCol w:w="623"/>
        <w:gridCol w:w="459"/>
        <w:gridCol w:w="834"/>
        <w:gridCol w:w="1218"/>
        <w:gridCol w:w="1218"/>
        <w:gridCol w:w="1227"/>
      </w:tblGrid>
      <w:tr>
        <w:trPr>
          <w:trHeight w:val="550"/>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财政拨款收入支出决算总表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公开04表</w:t>
            </w:r>
          </w:p>
        </w:tc>
      </w:tr>
      <w:tr>
        <w:trPr>
          <w:trHeight w:val="300"/>
        </w:trPr>
        <w:tc>
          <w:tcPr>
            <w:tcW w:w="2431" w:type="pct"/>
            <w:gridSpan w:val="4"/>
            <w:tcBorders>
              <w:top w:val="nil"/>
              <w:left w:val="nil"/>
              <w:bottom w:val="single" w:sz="4" w:space="0" w:color="auto"/>
              <w:right w:val="nil"/>
            </w:tcBorders>
            <w:noWrap/>
            <w:vAlign w:val="bottom"/>
          </w:tcPr>
          <w:p>
            <w:pPr>
              <w:rPr>
                <w:rFonts w:ascii="仿宋" w:eastAsia="仿宋" w:cs="仿宋" w:hAnsi="仿宋"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部门（单位）：昌黎县碣石山综合开发中心（汇总）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649" w:type="pct"/>
            <w:gridSpan w:val="3"/>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none"/>
              </w:rPr>
            </w:pPr>
            <w:r>
              <w:rPr>
                <w:rFonts w:ascii="Times New Roman"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919"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收入</w:t>
            </w:r>
          </w:p>
        </w:tc>
        <w:tc>
          <w:tcPr>
            <w:tcW w:w="3276" w:type="pct"/>
            <w:gridSpan w:val="8"/>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支出</w:t>
            </w:r>
          </w:p>
        </w:tc>
      </w:tr>
      <w:tr>
        <w:trPr>
          <w:trHeight w:val="312"/>
        </w:trPr>
        <w:tc>
          <w:tcPr>
            <w:tcW w:w="847"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    目</w:t>
            </w:r>
          </w:p>
        </w:tc>
        <w:tc>
          <w:tcPr>
            <w:tcW w:w="266"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609"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金额</w:t>
            </w:r>
          </w:p>
        </w:tc>
        <w:tc>
          <w:tcPr>
            <w:tcW w:w="895" w:type="pct"/>
            <w:gridSpan w:val="2"/>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266"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552" w:type="pct"/>
            <w:gridSpan w:val="2"/>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合计</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一般公共预算财政拨款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政府性基金预算财政拨款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国有资本经营预算财政拨款</w:t>
            </w:r>
          </w:p>
        </w:tc>
      </w:tr>
      <w:tr>
        <w:trPr>
          <w:trHeight w:val="312"/>
        </w:trPr>
        <w:tc>
          <w:tcPr>
            <w:tcW w:w="847" w:type="pct"/>
            <w:vMerge/>
            <w:tcBorders>
              <w:top w:val="nil"/>
              <w:left w:val="single" w:sz="4" w:space="0" w:color="000000"/>
              <w:bottom w:val="single" w:sz="4" w:space="0" w:color="000000"/>
              <w:right w:val="single" w:sz="4" w:space="0" w:color="000000"/>
            </w:tcBorders>
            <w:vAlign w:val="center"/>
          </w:tcPr>
          <w:p/>
        </w:tc>
        <w:tc>
          <w:tcPr>
            <w:tcW w:w="266" w:type="pct"/>
            <w:vMerge/>
            <w:tcBorders>
              <w:top w:val="nil"/>
              <w:left w:val="nil"/>
              <w:bottom w:val="single" w:sz="4" w:space="0" w:color="000000"/>
              <w:right w:val="single" w:sz="4" w:space="0" w:color="000000"/>
            </w:tcBorders>
            <w:vAlign w:val="center"/>
          </w:tcPr>
          <w:p/>
        </w:tc>
        <w:tc>
          <w:tcPr>
            <w:tcW w:w="609" w:type="pct"/>
            <w:vMerge/>
            <w:tcBorders>
              <w:top w:val="nil"/>
              <w:left w:val="nil"/>
              <w:bottom w:val="single" w:sz="4" w:space="0" w:color="000000"/>
              <w:right w:val="single" w:sz="4" w:space="0" w:color="000000"/>
            </w:tcBorders>
            <w:vAlign w:val="center"/>
          </w:tcPr>
          <w:p/>
        </w:tc>
        <w:tc>
          <w:tcPr>
            <w:tcW w:w="895" w:type="pct"/>
            <w:gridSpan w:val="2"/>
            <w:vMerge/>
            <w:tcBorders>
              <w:top w:val="nil"/>
              <w:left w:val="nil"/>
              <w:bottom w:val="single" w:sz="4" w:space="0" w:color="000000"/>
              <w:right w:val="single" w:sz="4" w:space="0" w:color="000000"/>
            </w:tcBorders>
            <w:vAlign w:val="center"/>
          </w:tcPr>
          <w:p/>
        </w:tc>
        <w:tc>
          <w:tcPr>
            <w:tcW w:w="266" w:type="pct"/>
            <w:vMerge/>
            <w:tcBorders>
              <w:top w:val="nil"/>
              <w:left w:val="nil"/>
              <w:bottom w:val="single" w:sz="4" w:space="0" w:color="000000"/>
              <w:right w:val="single" w:sz="4" w:space="0" w:color="000000"/>
            </w:tcBorders>
            <w:vAlign w:val="center"/>
          </w:tcPr>
          <w:p/>
        </w:tc>
        <w:tc>
          <w:tcPr>
            <w:tcW w:w="552" w:type="pct"/>
            <w:gridSpan w:val="2"/>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60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1</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55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2</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3</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4</w:t>
            </w:r>
          </w:p>
        </w:tc>
        <w:tc>
          <w:tcPr>
            <w:tcW w:w="520" w:type="pct"/>
            <w:tcBorders>
              <w:top w:val="nil"/>
              <w:left w:val="nil"/>
              <w:bottom w:val="single" w:sz="4" w:space="0" w:color="000000"/>
              <w:right w:val="single" w:sz="8"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5</w:t>
            </w: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263.34</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一、一般公共服务支出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211.93</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211.93</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二、外交支出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34</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35</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四、公共安全支出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36</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五、教育支出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六、科学技术支出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七、文化旅游体育与传媒支出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八、社会保障和就业支出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23.41</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23.41</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九、卫生健康支出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8.98</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8.98</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十、节能环保支出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十一、城乡社区支出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12</w:t>
            </w:r>
          </w:p>
        </w:tc>
        <w:tc>
          <w:tcPr>
            <w:tcW w:w="609"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十二、农林水支出</w:t>
            </w: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44</w:t>
            </w:r>
          </w:p>
        </w:tc>
        <w:tc>
          <w:tcPr>
            <w:tcW w:w="552"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auto"/>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14</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15</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16</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17</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18</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19</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9.01</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9.01</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20</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21</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22</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10.00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10.00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24</w:t>
            </w:r>
          </w:p>
        </w:tc>
        <w:tc>
          <w:tcPr>
            <w:tcW w:w="609"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56</w:t>
            </w:r>
          </w:p>
        </w:tc>
        <w:tc>
          <w:tcPr>
            <w:tcW w:w="552"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single" w:sz="4" w:space="0" w:color="auto"/>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b/>
                <w:bCs/>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二十五、债务付息支出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二十六、抗疫特别国债安排的支出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本年收入合计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本年支出合计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263.34</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both"/>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both"/>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847" w:type="pct"/>
            <w:tcBorders>
              <w:top w:val="nil"/>
              <w:left w:val="single" w:sz="4" w:space="0" w:color="000000"/>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32</w:t>
            </w:r>
          </w:p>
        </w:tc>
        <w:tc>
          <w:tcPr>
            <w:tcW w:w="609"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895" w:type="pct"/>
            <w:gridSpan w:val="2"/>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64</w:t>
            </w:r>
          </w:p>
        </w:tc>
        <w:tc>
          <w:tcPr>
            <w:tcW w:w="552" w:type="pct"/>
            <w:gridSpan w:val="2"/>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7,003.34</w:t>
            </w:r>
          </w:p>
        </w:tc>
        <w:tc>
          <w:tcPr>
            <w:tcW w:w="520"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sz w:val="20"/>
                <w:szCs w:val="20"/>
                <w:highlight w:val="none"/>
              </w:rPr>
            </w:pPr>
          </w:p>
          <w:p>
            <w:pPr>
              <w:jc w:val="right"/>
              <w:rPr>
                <w:rFonts w:ascii="Times New Roman" w:cs="Times New Roman" w:hAnsi="Times New Roman"/>
                <w:sz w:val="20"/>
                <w:szCs w:val="20"/>
                <w:highlight w:val="none"/>
              </w:rPr>
            </w:pPr>
            <w:r>
              <w:rPr>
                <w:rFonts w:ascii="Times New Roman" w:cs="Times New Roman" w:hAnsi="Times New Roman"/>
                <w:sz w:val="20"/>
                <w:szCs w:val="20"/>
                <w:highlight w:val="none"/>
              </w:rPr>
              <w:t>263.34</w:t>
            </w:r>
          </w:p>
          <w:p>
            <w:pPr>
              <w:jc w:val="right"/>
              <w:rPr>
                <w:rFonts w:ascii="Times New Roman" w:eastAsia="宋体" w:cs="Times New Roman" w:hAnsi="Times New Roman"/>
                <w:i w:val="0"/>
                <w:iCs w:val="0"/>
                <w:color w:val="000000"/>
                <w:sz w:val="20"/>
                <w:szCs w:val="20"/>
                <w:u w:val="none"/>
                <w:highlight w:val="none"/>
              </w:rPr>
            </w:pPr>
          </w:p>
        </w:tc>
        <w:tc>
          <w:tcPr>
            <w:tcW w:w="520"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6,740.00</w:t>
            </w:r>
          </w:p>
        </w:tc>
        <w:tc>
          <w:tcPr>
            <w:tcW w:w="520" w:type="pct"/>
            <w:tcBorders>
              <w:top w:val="nil"/>
              <w:left w:val="nil"/>
              <w:bottom w:val="single" w:sz="8"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657" w:type="dxa"/>
        <w:tblW w:w="534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1211"/>
        <w:gridCol w:w="1302"/>
        <w:gridCol w:w="700"/>
        <w:gridCol w:w="1295"/>
        <w:gridCol w:w="1355"/>
        <w:gridCol w:w="640"/>
        <w:gridCol w:w="2097"/>
      </w:tblGrid>
      <w:tr>
        <w:trPr>
          <w:trHeight w:val="657"/>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一般公共预算财政拨款支出决算表</w:t>
            </w:r>
          </w:p>
        </w:tc>
      </w:tr>
      <w:tr>
        <w:trPr>
          <w:trHeight w:val="329"/>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方正仿宋_GB2312" w:cs="Times New Roman" w:hAnsi="Times New Roman"/>
                <w:i w:val="0"/>
                <w:iCs w:val="0"/>
                <w:color w:val="000000"/>
                <w:kern w:val="0"/>
                <w:sz w:val="20"/>
                <w:szCs w:val="20"/>
                <w:u w:val="none"/>
                <w:lang w:val="en-US" w:eastAsia="zh-CN"/>
                <w:highlight w:val="none"/>
              </w:rPr>
              <w:t>05</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29"/>
        </w:trPr>
        <w:tc>
          <w:tcPr>
            <w:tcW w:w="1868"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编制部门（单位）：昌黎县碣石山综合开发中心（汇总）</w:t>
            </w:r>
          </w:p>
        </w:tc>
        <w:tc>
          <w:tcPr>
            <w:tcW w:w="1541" w:type="pct"/>
            <w:gridSpan w:val="2"/>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590" w:type="pct"/>
            <w:gridSpan w:val="2"/>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w:t>
            </w:r>
          </w:p>
        </w:tc>
      </w:tr>
      <w:tr>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r>
      <w:tr>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69"/>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2</w:t>
            </w:r>
          </w:p>
        </w:tc>
        <w:tc>
          <w:tcPr>
            <w:tcW w:w="12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3</w:t>
            </w: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263.34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228.34</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35.00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一般公共服务支出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211.93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186.93</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政府办公厅（室）及相关机构事务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211.93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186.93</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9.58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9.58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2010350</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177.35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177.35</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2010399</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其他政府办公厅（室）及相关机构事务支出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25.00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23.41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16.78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16.78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2080506</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机关事业单位职业年金缴费支出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6.63</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8.98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0.55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0.55</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8.43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8.43</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9.01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灾害防治及应急管理支出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22406</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自然灾害防治</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2240602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森林草原防灾减灾</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10.00</w:t>
            </w:r>
          </w:p>
        </w:tc>
      </w:tr>
      <w:tr>
        <w:trPr>
          <w:trHeight w:val="661"/>
        </w:trPr>
        <w:tc>
          <w:tcPr>
            <w:tcW w:w="5000" w:type="pct"/>
            <w:gridSpan w:val="7"/>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1617" w:type="dxa"/>
        <w:tblW w:w="70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64"/>
        <w:gridCol w:w="1814"/>
        <w:gridCol w:w="1018"/>
        <w:gridCol w:w="964"/>
        <w:gridCol w:w="440"/>
        <w:gridCol w:w="1372"/>
        <w:gridCol w:w="589"/>
        <w:gridCol w:w="374"/>
        <w:gridCol w:w="964"/>
        <w:gridCol w:w="1816"/>
        <w:gridCol w:w="1023"/>
      </w:tblGrid>
      <w:tr>
        <w:trPr>
          <w:trHeight w:val="624"/>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一般公共预算财政拨款基本支出决算明细表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公开</w:t>
            </w:r>
            <w:r>
              <w:rPr>
                <w:rFonts w:ascii="Times New Roman" w:eastAsia="方正仿宋_GB2312" w:cs="Times New Roman" w:hAnsi="Times New Roman"/>
                <w:i w:val="0"/>
                <w:iCs w:val="0"/>
                <w:color w:val="000000"/>
                <w:kern w:val="0"/>
                <w:sz w:val="18"/>
                <w:szCs w:val="18"/>
                <w:u w:val="none"/>
                <w:lang w:val="en-US" w:eastAsia="zh-CN"/>
                <w:highlight w:val="none"/>
              </w:rPr>
              <w:t>06</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表</w:t>
            </w:r>
          </w:p>
        </w:tc>
      </w:tr>
      <w:tr>
        <w:trPr>
          <w:trHeight w:val="90"/>
        </w:trPr>
        <w:tc>
          <w:tcPr>
            <w:tcW w:w="2293" w:type="pct"/>
            <w:gridSpan w:val="5"/>
            <w:tcBorders>
              <w:top w:val="nil"/>
              <w:left w:val="nil"/>
              <w:bottom w:val="single" w:sz="4" w:space="0" w:color="auto"/>
              <w:right w:val="nil"/>
            </w:tcBorders>
            <w:noWrap/>
            <w:vAlign w:val="bottom"/>
          </w:tcPr>
          <w:p>
            <w:pP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部门（单位）：昌黎县碣石山综合开发中心（汇总） </w:t>
            </w:r>
            <w:r>
              <w:rPr>
                <w:rFonts w:ascii="宋体" w:cs="宋体" w:hAnsi="宋体" w:hint="eastAsia"/>
                <w:i w:val="0"/>
                <w:iCs w:val="0"/>
                <w:color w:val="000000"/>
                <w:kern w:val="0"/>
                <w:sz w:val="18"/>
                <w:szCs w:val="18"/>
                <w:u w:val="none"/>
                <w:lang w:val="en-US" w:eastAsia="zh-CN"/>
                <w:highlight w:val="none"/>
              </w:rPr>
              <w:t xml:space="preserve">                                                                   </w:t>
            </w:r>
          </w:p>
        </w:tc>
        <w:tc>
          <w:tcPr>
            <w:tcW w:w="865"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18"/>
                <w:szCs w:val="18"/>
                <w:u w:val="none"/>
                <w:lang w:val="en-US" w:eastAsia="zh-CN"/>
                <w:highlight w:val="none"/>
              </w:rPr>
            </w:pPr>
            <w:r>
              <w:rPr>
                <w:rFonts w:ascii="宋体" w:cs="宋体" w:hAnsi="宋体" w:hint="eastAsia"/>
                <w:i w:val="0"/>
                <w:iCs w:val="0"/>
                <w:color w:val="000000"/>
                <w:kern w:val="0"/>
                <w:sz w:val="18"/>
                <w:szCs w:val="18"/>
                <w:u w:val="none"/>
                <w:lang w:val="en-US" w:eastAsia="zh-CN"/>
                <w:highlight w:val="none"/>
              </w:rPr>
              <w:t>2024</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年度</w:t>
            </w:r>
          </w:p>
        </w:tc>
        <w:tc>
          <w:tcPr>
            <w:tcW w:w="1841"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18"/>
                <w:szCs w:val="18"/>
                <w:u w:val="none"/>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金额单位：万元</w:t>
            </w:r>
          </w:p>
        </w:tc>
      </w:tr>
      <w:tr>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公用经费</w:t>
            </w:r>
          </w:p>
        </w:tc>
      </w:tr>
      <w:tr>
        <w:trPr>
          <w:trHeight w:val="510"/>
        </w:trPr>
        <w:tc>
          <w:tcPr>
            <w:tcW w:w="425"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c>
          <w:tcPr>
            <w:tcW w:w="425"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none"/>
              </w:rPr>
            </w:pPr>
            <w:r>
              <w:rPr>
                <w:rFonts w:ascii="方正仿宋_GB2312" w:eastAsia="方正仿宋_GB2312" w:cs="方正仿宋_GB2312" w:hAnsi="方正仿宋_GB2312" w:hint="eastAsia"/>
                <w:i w:val="0"/>
                <w:iCs w:val="0"/>
                <w:color w:val="000000"/>
                <w:sz w:val="18"/>
                <w:szCs w:val="18"/>
                <w:u w:val="none"/>
                <w:lang w:val="en-US" w:eastAsia="zh-CN"/>
                <w:highlight w:val="none"/>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c>
          <w:tcPr>
            <w:tcW w:w="425"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none"/>
              </w:rPr>
            </w:pPr>
            <w:r>
              <w:rPr>
                <w:rFonts w:ascii="方正仿宋_GB2312" w:eastAsia="方正仿宋_GB2312" w:cs="方正仿宋_GB2312" w:hAnsi="方正仿宋_GB2312" w:hint="eastAsia"/>
                <w:i w:val="0"/>
                <w:iCs w:val="0"/>
                <w:color w:val="000000"/>
                <w:sz w:val="18"/>
                <w:szCs w:val="18"/>
                <w:u w:val="none"/>
                <w:lang w:val="en-US" w:eastAsia="zh-CN"/>
                <w:highlight w:val="none"/>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156.76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64.00</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71.76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2.01</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5.01</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1.22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36.26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16.78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6.63</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8.98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1.12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9.01</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7.57</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7.56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59.00</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1.44</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0.01</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0.28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1.08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0.19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宋体" w:cs="Times New Roman" w:hAnsi="Times New Roman"/>
                <w:sz w:val="18"/>
                <w:szCs w:val="18"/>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sz w:val="18"/>
                <w:szCs w:val="18"/>
                <w:highlight w:val="none"/>
              </w:rPr>
            </w:pPr>
            <w:r>
              <w:rPr>
                <w:rFonts w:ascii="Times New Roman" w:eastAsia="宋体" w:cs="Times New Roman" w:hAnsi="Times New Roman"/>
                <w:sz w:val="18"/>
                <w:szCs w:val="18"/>
                <w:highlight w:val="none"/>
              </w:rPr>
              <w:t>164.34</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eastAsia="宋体" w:cs="Times New Roman" w:hAnsi="Times New Roman"/>
                <w:sz w:val="18"/>
                <w:szCs w:val="18"/>
                <w:highlight w:val="none"/>
              </w:rPr>
              <w:t>64.00</w:t>
            </w:r>
          </w:p>
        </w:tc>
      </w:tr>
      <w:tr>
        <w:trPr>
          <w:trHeight w:val="510"/>
        </w:trPr>
        <w:tc>
          <w:tcPr>
            <w:tcW w:w="5000" w:type="pct"/>
            <w:gridSpan w:val="11"/>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1404" w:type="dxa"/>
        <w:tblW w:w="6517"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260"/>
        <w:gridCol w:w="1473"/>
        <w:gridCol w:w="1306"/>
        <w:gridCol w:w="1025"/>
        <w:gridCol w:w="1107"/>
        <w:gridCol w:w="419"/>
        <w:gridCol w:w="700"/>
        <w:gridCol w:w="1146"/>
        <w:gridCol w:w="2043"/>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政府性基金预算财政拨款收入支出决算表</w:t>
            </w:r>
          </w:p>
        </w:tc>
      </w:tr>
      <w:tr>
        <w:trPr>
          <w:trHeight w:val="9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i w:val="0"/>
                <w:iCs w:val="0"/>
                <w:color w:val="000000"/>
                <w:kern w:val="0"/>
                <w:sz w:val="20"/>
                <w:szCs w:val="20"/>
                <w:u w:val="none"/>
                <w:lang w:val="en-US" w:eastAsia="zh-CN"/>
                <w:highlight w:val="none"/>
              </w:rPr>
              <w:t>07</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927"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部门（单位）：昌黎县碣石山综合开发中心（汇总）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1217"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eastAsia="宋体"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854"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08"/>
        </w:trPr>
        <w:tc>
          <w:tcPr>
            <w:tcW w:w="1304" w:type="pct"/>
            <w:gridSpan w:val="2"/>
            <w:tcBorders>
              <w:top w:val="single" w:sz="4" w:space="0" w:color="auto"/>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623"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年初结转和结余</w:t>
            </w:r>
          </w:p>
        </w:tc>
        <w:tc>
          <w:tcPr>
            <w:tcW w:w="489"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本年收入</w:t>
            </w:r>
          </w:p>
        </w:tc>
        <w:tc>
          <w:tcPr>
            <w:tcW w:w="1609" w:type="pct"/>
            <w:gridSpan w:val="4"/>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w:t>
            </w:r>
          </w:p>
        </w:tc>
        <w:tc>
          <w:tcPr>
            <w:tcW w:w="973" w:type="pct"/>
            <w:vMerge w:val="restart"/>
            <w:tcBorders>
              <w:top w:val="single" w:sz="4" w:space="0" w:color="auto"/>
              <w:left w:val="nil"/>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年末结转和结余</w:t>
            </w:r>
          </w:p>
        </w:tc>
      </w:tr>
      <w:tr>
        <w:trPr>
          <w:trHeight w:val="312"/>
        </w:trPr>
        <w:tc>
          <w:tcPr>
            <w:tcW w:w="601"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703"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小计</w:t>
            </w:r>
          </w:p>
        </w:tc>
        <w:tc>
          <w:tcPr>
            <w:tcW w:w="534" w:type="pct"/>
            <w:gridSpan w:val="2"/>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546"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c>
          <w:tcPr>
            <w:tcW w:w="973" w:type="pct"/>
            <w:vMerge/>
            <w:tcBorders>
              <w:left w:val="nil"/>
              <w:right w:val="single" w:sz="4" w:space="0" w:color="000000"/>
            </w:tcBorders>
            <w:vAlign w:val="center"/>
          </w:tcPr>
          <w:p/>
        </w:tc>
      </w:tr>
      <w:tr>
        <w:trPr>
          <w:trHeight w:val="312"/>
        </w:trPr>
        <w:tc>
          <w:tcPr>
            <w:tcW w:w="601" w:type="pct"/>
            <w:vMerge/>
            <w:tcBorders>
              <w:top w:val="nil"/>
              <w:left w:val="single" w:sz="4" w:space="0" w:color="000000"/>
              <w:bottom w:val="single" w:sz="4" w:space="0" w:color="000000"/>
              <w:right w:val="single" w:sz="4" w:space="0" w:color="000000"/>
            </w:tcBorders>
            <w:vAlign w:val="center"/>
          </w:tcPr>
          <w:p/>
        </w:tc>
        <w:tc>
          <w:tcPr>
            <w:tcW w:w="703" w:type="pct"/>
            <w:vMerge/>
            <w:tcBorders>
              <w:top w:val="nil"/>
              <w:left w:val="nil"/>
              <w:bottom w:val="single" w:sz="4" w:space="0" w:color="000000"/>
              <w:right w:val="single" w:sz="4" w:space="0" w:color="000000"/>
            </w:tcBorders>
            <w:vAlign w:val="center"/>
          </w:tcP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tcBorders>
              <w:top w:val="nil"/>
              <w:left w:val="nil"/>
              <w:bottom w:val="single" w:sz="4" w:space="0" w:color="000000"/>
              <w:right w:val="single" w:sz="4" w:space="0" w:color="000000"/>
            </w:tcBorders>
            <w:vAlign w:val="center"/>
          </w:tcPr>
          <w:p/>
        </w:tc>
        <w:tc>
          <w:tcPr>
            <w:tcW w:w="534" w:type="pct"/>
            <w:gridSpan w:val="2"/>
            <w:vMerge/>
            <w:tcBorders>
              <w:top w:val="nil"/>
              <w:left w:val="nil"/>
              <w:bottom w:val="single" w:sz="4" w:space="0" w:color="000000"/>
              <w:right w:val="single" w:sz="4" w:space="0" w:color="000000"/>
            </w:tcBorders>
            <w:vAlign w:val="center"/>
          </w:tcPr>
          <w:p/>
        </w:tc>
        <w:tc>
          <w:tcPr>
            <w:tcW w:w="546" w:type="pct"/>
            <w:vMerge/>
            <w:tcBorders>
              <w:top w:val="nil"/>
              <w:left w:val="nil"/>
              <w:bottom w:val="single" w:sz="4" w:space="0" w:color="000000"/>
              <w:right w:val="single" w:sz="4" w:space="0" w:color="000000"/>
            </w:tcBorders>
            <w:vAlign w:val="center"/>
          </w:tcPr>
          <w:p/>
        </w:tc>
        <w:tc>
          <w:tcPr>
            <w:tcW w:w="973" w:type="pct"/>
            <w:vMerge/>
            <w:tcBorders>
              <w:left w:val="nil"/>
              <w:right w:val="single" w:sz="4" w:space="0" w:color="000000"/>
            </w:tcBorders>
            <w:vAlign w:val="center"/>
          </w:tcPr>
          <w:p/>
        </w:tc>
      </w:tr>
      <w:tr>
        <w:trPr>
          <w:trHeight w:val="312"/>
        </w:trPr>
        <w:tc>
          <w:tcPr>
            <w:tcW w:w="601" w:type="pct"/>
            <w:vMerge/>
            <w:tcBorders>
              <w:top w:val="nil"/>
              <w:left w:val="single" w:sz="4" w:space="0" w:color="000000"/>
              <w:bottom w:val="single" w:sz="4" w:space="0" w:color="auto"/>
              <w:right w:val="single" w:sz="4" w:space="0" w:color="000000"/>
            </w:tcBorders>
            <w:vAlign w:val="center"/>
          </w:tcPr>
          <w:p/>
        </w:tc>
        <w:tc>
          <w:tcPr>
            <w:tcW w:w="703" w:type="pct"/>
            <w:vMerge/>
            <w:tcBorders>
              <w:top w:val="nil"/>
              <w:left w:val="nil"/>
              <w:bottom w:val="single" w:sz="4" w:space="0" w:color="auto"/>
              <w:right w:val="single" w:sz="4" w:space="0" w:color="000000"/>
            </w:tcBorders>
            <w:vAlign w:val="center"/>
          </w:tcP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tcBorders>
              <w:top w:val="nil"/>
              <w:left w:val="nil"/>
              <w:bottom w:val="single" w:sz="4" w:space="0" w:color="000000"/>
              <w:right w:val="single" w:sz="4" w:space="0" w:color="000000"/>
            </w:tcBorders>
            <w:vAlign w:val="center"/>
          </w:tcPr>
          <w:p/>
        </w:tc>
        <w:tc>
          <w:tcPr>
            <w:tcW w:w="534" w:type="pct"/>
            <w:gridSpan w:val="2"/>
            <w:vMerge/>
            <w:tcBorders>
              <w:top w:val="nil"/>
              <w:left w:val="nil"/>
              <w:bottom w:val="single" w:sz="4" w:space="0" w:color="000000"/>
              <w:right w:val="single" w:sz="4" w:space="0" w:color="000000"/>
            </w:tcBorders>
            <w:vAlign w:val="center"/>
          </w:tcPr>
          <w:p/>
        </w:tc>
        <w:tc>
          <w:tcPr>
            <w:tcW w:w="546" w:type="pct"/>
            <w:vMerge/>
            <w:tcBorders>
              <w:top w:val="nil"/>
              <w:left w:val="nil"/>
              <w:bottom w:val="single" w:sz="4" w:space="0" w:color="000000"/>
              <w:right w:val="single" w:sz="4" w:space="0" w:color="000000"/>
            </w:tcBorders>
            <w:vAlign w:val="center"/>
          </w:tcPr>
          <w:p/>
        </w:tc>
        <w:tc>
          <w:tcPr>
            <w:tcW w:w="973" w:type="pct"/>
            <w:vMerge/>
            <w:tcBorders>
              <w:left w:val="nil"/>
              <w:bottom w:val="single" w:sz="4" w:space="0" w:color="000000"/>
              <w:right w:val="single" w:sz="4" w:space="0" w:color="000000"/>
            </w:tcBorders>
            <w:vAlign w:val="center"/>
          </w:tcPr>
          <w:p/>
        </w:tc>
      </w:tr>
      <w:tr>
        <w:trPr>
          <w:trHeight w:val="308"/>
        </w:trPr>
        <w:tc>
          <w:tcPr>
            <w:tcW w:w="1304"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623"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1</w:t>
            </w:r>
          </w:p>
        </w:tc>
        <w:tc>
          <w:tcPr>
            <w:tcW w:w="48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2</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3</w:t>
            </w:r>
          </w:p>
        </w:tc>
        <w:tc>
          <w:tcPr>
            <w:tcW w:w="53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4</w:t>
            </w:r>
          </w:p>
        </w:tc>
        <w:tc>
          <w:tcPr>
            <w:tcW w:w="54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5</w:t>
            </w:r>
          </w:p>
        </w:tc>
        <w:tc>
          <w:tcPr>
            <w:tcW w:w="973"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lang w:val="en-US" w:eastAsia="zh-CN"/>
                <w:highlight w:val="none"/>
              </w:rPr>
            </w:pPr>
            <w:r>
              <w:rPr>
                <w:rFonts w:ascii="Times New Roman" w:eastAsia="方正仿宋_GB2312" w:cs="Times New Roman" w:hAnsi="Times New Roman"/>
                <w:i w:val="0"/>
                <w:iCs w:val="0"/>
                <w:color w:val="000000"/>
                <w:sz w:val="20"/>
                <w:szCs w:val="20"/>
                <w:u w:val="none"/>
                <w:lang w:val="en-US" w:eastAsia="zh-CN"/>
                <w:highlight w:val="none"/>
              </w:rPr>
              <w:t>6</w:t>
            </w:r>
          </w:p>
        </w:tc>
      </w:tr>
      <w:tr>
        <w:trPr>
          <w:trHeight w:val="869"/>
        </w:trPr>
        <w:tc>
          <w:tcPr>
            <w:tcW w:w="1304"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623" w:type="pct"/>
            <w:tcBorders>
              <w:top w:val="nil"/>
              <w:left w:val="single" w:sz="4" w:space="0" w:color="auto"/>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6,740.00</w:t>
            </w: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6,740.00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6,740.00</w:t>
            </w: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其他支出</w:t>
            </w:r>
          </w:p>
        </w:tc>
        <w:tc>
          <w:tcPr>
            <w:tcW w:w="62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22904</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其他政府性基金及对应专项债务收入安排的支出</w:t>
            </w:r>
          </w:p>
        </w:tc>
        <w:tc>
          <w:tcPr>
            <w:tcW w:w="62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2290402</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其他地方自行试点项目收益专项债券收入安排的支出</w:t>
            </w:r>
          </w:p>
        </w:tc>
        <w:tc>
          <w:tcPr>
            <w:tcW w:w="62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spacing w:val="-2"/>
                <w:sz w:val="20"/>
                <w:szCs w:val="20"/>
                <w:lang w:val="en-US" w:eastAsia="zh-CN"/>
                <w:highlight w:val="none"/>
              </w:rPr>
              <w:t>6,740.00</w:t>
            </w: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9"/>
            <w:tcBorders>
              <w:top w:val="nil"/>
              <w:left w:val="nil"/>
              <w:bottom w:val="nil"/>
              <w:right w:val="nil"/>
            </w:tcBorders>
            <w:noWrap/>
            <w:vAlign w:val="center"/>
          </w:tcPr>
          <w:p>
            <w:pP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注：本表反映部门本年度政府性基金预算财政拨款收入、支出及结转和结余情况。</w:t>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976" w:type="dxa"/>
        <w:tblW w:w="586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992"/>
        <w:gridCol w:w="730"/>
        <w:gridCol w:w="1297"/>
        <w:gridCol w:w="1331"/>
        <w:gridCol w:w="6"/>
        <w:gridCol w:w="45"/>
        <w:gridCol w:w="1280"/>
        <w:gridCol w:w="11"/>
        <w:gridCol w:w="1735"/>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国有资本经营预算财政拨款支出决算表</w:t>
            </w:r>
          </w:p>
        </w:tc>
      </w:tr>
      <w:tr>
        <w:trPr>
          <w:trHeight w:val="30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方正仿宋_GB2312" w:cs="Times New Roman" w:hAnsi="Times New Roman"/>
                <w:i w:val="0"/>
                <w:iCs w:val="0"/>
                <w:color w:val="000000"/>
                <w:kern w:val="0"/>
                <w:sz w:val="20"/>
                <w:szCs w:val="20"/>
                <w:u w:val="none"/>
                <w:lang w:val="en-US" w:eastAsia="zh-CN"/>
                <w:highlight w:val="none"/>
              </w:rPr>
              <w:t>08</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974" w:type="pct"/>
            <w:gridSpan w:val="2"/>
            <w:tcBorders>
              <w:top w:val="nil"/>
              <w:left w:val="nil"/>
              <w:bottom w:val="single" w:sz="4" w:space="0" w:color="auto"/>
              <w:right w:val="nil"/>
            </w:tcBorders>
            <w:noWrap/>
            <w:vAlign w:val="bottom"/>
          </w:tcPr>
          <w:p>
            <w:pPr>
              <w:keepNext w:val="0"/>
              <w:keepLines w:val="0"/>
              <w:widowControl/>
              <w:suppressLineNumbers w:val="0"/>
              <w:jc w:val="both"/>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部门（单位）：昌黎县碣石山综合开发中心（汇总）</w:t>
            </w:r>
          </w:p>
        </w:tc>
        <w:tc>
          <w:tcPr>
            <w:tcW w:w="1421" w:type="pct"/>
            <w:gridSpan w:val="4"/>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eastAsia="宋体"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603"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项目</w:t>
            </w:r>
          </w:p>
        </w:tc>
        <w:tc>
          <w:tcPr>
            <w:tcW w:w="2337" w:type="pct"/>
            <w:gridSpan w:val="6"/>
            <w:vMerge w:val="restart"/>
            <w:tcBorders>
              <w:top w:val="single" w:sz="4" w:space="0" w:color="auto"/>
              <w:left w:val="single" w:sz="4" w:space="0" w:color="auto"/>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本年支出</w:t>
            </w:r>
          </w:p>
        </w:tc>
      </w:tr>
      <w:tr>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tc>
        <w:tc>
          <w:tcPr>
            <w:tcW w:w="2337" w:type="pct"/>
            <w:gridSpan w:val="6"/>
            <w:vMerge/>
            <w:tcBorders>
              <w:left w:val="single" w:sz="4" w:space="0" w:color="auto"/>
              <w:bottom w:val="single" w:sz="4" w:space="0" w:color="000000"/>
              <w:right w:val="single" w:sz="4" w:space="0" w:color="000000"/>
            </w:tcBorders>
            <w:vAlign w:val="center"/>
          </w:tcPr>
          <w:p/>
        </w:tc>
      </w:tr>
      <w:tr>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科目名称</w:t>
            </w:r>
          </w:p>
        </w:tc>
        <w:tc>
          <w:tcPr>
            <w:tcW w:w="709" w:type="pct"/>
            <w:gridSpan w:val="2"/>
            <w:vMerge w:val="restart"/>
            <w:tcBorders>
              <w:top w:val="nil"/>
              <w:left w:val="single" w:sz="4" w:space="0" w:color="auto"/>
              <w:right w:val="single" w:sz="4" w:space="0" w:color="000000"/>
            </w:tcBorders>
            <w:vAlign w:val="center"/>
          </w:tcPr>
          <w:p>
            <w:pPr>
              <w:jc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合计</w:t>
            </w:r>
          </w:p>
        </w:tc>
        <w:tc>
          <w:tcPr>
            <w:tcW w:w="709" w:type="pct"/>
            <w:gridSpan w:val="3"/>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基本支出</w:t>
            </w:r>
          </w:p>
        </w:tc>
        <w:tc>
          <w:tcPr>
            <w:tcW w:w="919" w:type="pct"/>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项目支出</w:t>
            </w:r>
          </w:p>
        </w:tc>
      </w:tr>
      <w:tr>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tc>
        <w:tc>
          <w:tcPr>
            <w:tcW w:w="1074" w:type="pct"/>
            <w:gridSpan w:val="2"/>
            <w:vMerge/>
            <w:tcBorders>
              <w:top w:val="single" w:sz="4" w:space="0" w:color="auto"/>
              <w:left w:val="nil"/>
              <w:bottom w:val="single" w:sz="4" w:space="0" w:color="auto"/>
              <w:right w:val="single" w:sz="4" w:space="0" w:color="auto"/>
            </w:tcBorders>
            <w:vAlign w:val="center"/>
          </w:tcPr>
          <w:p/>
        </w:tc>
        <w:tc>
          <w:tcPr>
            <w:tcW w:w="709" w:type="pct"/>
            <w:gridSpan w:val="2"/>
            <w:vMerge/>
            <w:tcBorders>
              <w:left w:val="single" w:sz="4" w:space="0" w:color="auto"/>
              <w:bottom w:val="single" w:sz="4" w:space="0" w:color="000000"/>
              <w:right w:val="single" w:sz="4" w:space="0" w:color="000000"/>
            </w:tcBorders>
            <w:vAlign w:val="center"/>
          </w:tcPr>
          <w:p/>
        </w:tc>
        <w:tc>
          <w:tcPr>
            <w:tcW w:w="709" w:type="pct"/>
            <w:gridSpan w:val="3"/>
            <w:vMerge/>
            <w:tcBorders>
              <w:left w:val="nil"/>
              <w:bottom w:val="single" w:sz="4" w:space="0" w:color="000000"/>
              <w:right w:val="single" w:sz="4" w:space="0" w:color="000000"/>
            </w:tcBorders>
            <w:vAlign w:val="center"/>
          </w:tcPr>
          <w:p/>
        </w:tc>
        <w:tc>
          <w:tcPr>
            <w:tcW w:w="919" w:type="pct"/>
            <w:vMerge/>
            <w:tcBorders>
              <w:left w:val="nil"/>
              <w:bottom w:val="single" w:sz="4" w:space="0" w:color="000000"/>
              <w:right w:val="single" w:sz="4" w:space="0" w:color="000000"/>
            </w:tcBorders>
            <w:vAlign w:val="center"/>
          </w:tcPr>
          <w:p/>
        </w:tc>
      </w:tr>
      <w:tr>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栏次</w:t>
            </w:r>
          </w:p>
        </w:tc>
        <w:tc>
          <w:tcPr>
            <w:tcW w:w="706"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1</w:t>
            </w:r>
          </w:p>
        </w:tc>
        <w:tc>
          <w:tcPr>
            <w:tcW w:w="70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2</w:t>
            </w:r>
          </w:p>
        </w:tc>
        <w:tc>
          <w:tcPr>
            <w:tcW w:w="92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3</w:t>
            </w:r>
          </w:p>
        </w:tc>
      </w:tr>
      <w:tr>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06" w:type="pct"/>
            <w:gridSpan w:val="3"/>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tblpPr w:leftFromText="180" w:rightFromText="180" w:vertAnchor="text" w:horzAnchor="page" w:tblpX="282" w:tblpY="39"/>
        <w:tblOverlap w:val="never"/>
        <w:tblW w:w="721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86"/>
        <w:gridCol w:w="1224"/>
        <w:gridCol w:w="812"/>
        <w:gridCol w:w="944"/>
        <w:gridCol w:w="524"/>
        <w:gridCol w:w="543"/>
        <w:gridCol w:w="779"/>
        <w:gridCol w:w="842"/>
        <w:gridCol w:w="7"/>
        <w:gridCol w:w="1132"/>
        <w:gridCol w:w="638"/>
        <w:gridCol w:w="1025"/>
        <w:gridCol w:w="948"/>
        <w:gridCol w:w="1192"/>
      </w:tblGrid>
      <w:tr>
        <w:trPr>
          <w:trHeight w:val="550"/>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财政拨款“三公”经费支出决算表</w:t>
            </w:r>
          </w:p>
        </w:tc>
      </w:tr>
      <w:tr>
        <w:trPr>
          <w:trHeight w:val="260"/>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公开</w:t>
            </w:r>
            <w:r>
              <w:rPr>
                <w:rFonts w:ascii="Times New Roman" w:eastAsia="方正仿宋_GB2312" w:cs="Times New Roman" w:hAnsi="Times New Roman"/>
                <w:i w:val="0"/>
                <w:iCs w:val="0"/>
                <w:color w:val="000000"/>
                <w:kern w:val="0"/>
                <w:sz w:val="18"/>
                <w:szCs w:val="18"/>
                <w:u w:val="none"/>
                <w:lang w:val="en-US" w:eastAsia="zh-CN"/>
                <w:highlight w:val="none"/>
              </w:rPr>
              <w:t>09</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表</w:t>
            </w:r>
          </w:p>
        </w:tc>
      </w:tr>
      <w:tr>
        <w:trPr>
          <w:trHeight w:val="260"/>
        </w:trPr>
        <w:tc>
          <w:tcPr>
            <w:tcW w:w="1936" w:type="pct"/>
            <w:gridSpan w:val="5"/>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部门（单位）：昌黎县碣石山综合开发中心（汇总）</w:t>
            </w:r>
          </w:p>
        </w:tc>
        <w:tc>
          <w:tcPr>
            <w:tcW w:w="93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18"/>
                <w:szCs w:val="18"/>
                <w:u w:val="none"/>
                <w:lang w:val="en-US" w:eastAsia="zh-CN"/>
                <w:highlight w:val="none"/>
              </w:rPr>
            </w:pPr>
            <w:r>
              <w:rPr>
                <w:rFonts w:ascii="Times New Roman" w:eastAsia="宋体" w:cs="Times New Roman" w:hAnsi="Times New Roman"/>
                <w:i w:val="0"/>
                <w:iCs w:val="0"/>
                <w:color w:val="000000"/>
                <w:kern w:val="0"/>
                <w:sz w:val="18"/>
                <w:szCs w:val="18"/>
                <w:u w:val="none"/>
                <w:lang w:val="en-US" w:eastAsia="zh-CN"/>
                <w:highlight w:val="none"/>
              </w:rPr>
              <w:t>202</w:t>
            </w:r>
            <w:r>
              <w:rPr>
                <w:rFonts w:ascii="Times New Roman" w:eastAsia="宋体" w:cs="Times New Roman" w:hAnsi="Times New Roman" w:hint="eastAsia"/>
                <w:i w:val="0"/>
                <w:iCs w:val="0"/>
                <w:color w:val="000000"/>
                <w:kern w:val="0"/>
                <w:sz w:val="18"/>
                <w:szCs w:val="18"/>
                <w:u w:val="none"/>
                <w:lang w:val="en-US" w:eastAsia="zh-CN"/>
                <w:highlight w:val="none"/>
              </w:rPr>
              <w:t>4</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年度</w:t>
            </w:r>
          </w:p>
        </w:tc>
        <w:tc>
          <w:tcPr>
            <w:tcW w:w="2129" w:type="pct"/>
            <w:gridSpan w:val="6"/>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18"/>
                <w:szCs w:val="18"/>
                <w:u w:val="none"/>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金额单位：万元</w:t>
            </w:r>
          </w:p>
        </w:tc>
      </w:tr>
      <w:tr>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预算数</w:t>
            </w:r>
          </w:p>
        </w:tc>
        <w:tc>
          <w:tcPr>
            <w:tcW w:w="2493" w:type="pct"/>
            <w:gridSpan w:val="7"/>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决算数</w:t>
            </w:r>
          </w:p>
        </w:tc>
      </w:tr>
      <w:tr>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合计</w:t>
            </w:r>
          </w:p>
        </w:tc>
        <w:tc>
          <w:tcPr>
            <w:tcW w:w="52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w:t>
            </w:r>
          </w:p>
        </w:tc>
        <w:tc>
          <w:tcPr>
            <w:tcW w:w="1217" w:type="pct"/>
            <w:gridSpan w:val="4"/>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c>
          <w:tcPr>
            <w:tcW w:w="366"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合计</w:t>
            </w:r>
          </w:p>
        </w:tc>
        <w:tc>
          <w:tcPr>
            <w:tcW w:w="48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w:t>
            </w:r>
          </w:p>
        </w:tc>
        <w:tc>
          <w:tcPr>
            <w:tcW w:w="112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r>
      <w:tr>
        <w:trPr>
          <w:trHeight w:val="431"/>
        </w:trPr>
        <w:tc>
          <w:tcPr>
            <w:tcW w:w="425" w:type="pct"/>
            <w:vMerge/>
            <w:tcBorders>
              <w:top w:val="nil"/>
              <w:left w:val="single" w:sz="4" w:space="0" w:color="000000"/>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小计</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公务用车购置费</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335" w:type="pct"/>
            <w:vMerge/>
            <w:tcBorders>
              <w:top w:val="nil"/>
              <w:left w:val="nil"/>
              <w:bottom w:val="single" w:sz="4" w:space="0" w:color="000000"/>
              <w:right w:val="single" w:sz="4" w:space="0" w:color="000000"/>
            </w:tcBorders>
            <w:noWrap/>
            <w:vAlign w:val="center"/>
          </w:tcPr>
          <w:p/>
        </w:tc>
        <w:tc>
          <w:tcPr>
            <w:tcW w:w="366" w:type="pct"/>
            <w:gridSpan w:val="2"/>
            <w:vMerge/>
            <w:tcBorders>
              <w:top w:val="nil"/>
              <w:left w:val="nil"/>
              <w:bottom w:val="single" w:sz="4" w:space="0" w:color="000000"/>
              <w:right w:val="single" w:sz="4" w:space="0" w:color="000000"/>
            </w:tcBorders>
            <w:noWrap/>
            <w:vAlign w:val="center"/>
          </w:tcPr>
          <w:p/>
        </w:tc>
        <w:tc>
          <w:tcPr>
            <w:tcW w:w="488" w:type="pct"/>
            <w:vMerge/>
            <w:tcBorders>
              <w:top w:val="nil"/>
              <w:left w:val="nil"/>
              <w:bottom w:val="single" w:sz="4" w:space="0" w:color="000000"/>
              <w:right w:val="single" w:sz="4" w:space="0" w:color="000000"/>
            </w:tcBorders>
            <w:noWrap/>
            <w:vAlign w:val="center"/>
          </w:tcP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小计</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公务用车购置费</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511" w:type="pct"/>
            <w:vMerge/>
            <w:tcBorders>
              <w:top w:val="nil"/>
              <w:left w:val="nil"/>
              <w:bottom w:val="single" w:sz="4" w:space="0" w:color="000000"/>
              <w:right w:val="single" w:sz="4" w:space="0" w:color="000000"/>
            </w:tcBorders>
            <w:noWrap/>
            <w:vAlign w:val="center"/>
          </w:tcP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2</w:t>
            </w: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3</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4</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5</w:t>
            </w:r>
          </w:p>
        </w:tc>
        <w:tc>
          <w:tcPr>
            <w:tcW w:w="33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6</w:t>
            </w:r>
          </w:p>
        </w:tc>
        <w:tc>
          <w:tcPr>
            <w:tcW w:w="36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7</w:t>
            </w:r>
          </w:p>
        </w:tc>
        <w:tc>
          <w:tcPr>
            <w:tcW w:w="48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8</w:t>
            </w: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9</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10</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11</w:t>
            </w:r>
          </w:p>
        </w:tc>
        <w:tc>
          <w:tcPr>
            <w:tcW w:w="51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12</w:t>
            </w: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52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35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458"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33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366"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48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27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0.28</w:t>
            </w:r>
          </w:p>
        </w:tc>
        <w:tc>
          <w:tcPr>
            <w:tcW w:w="511"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r>
      <w:tr>
        <w:trPr>
          <w:trHeight w:val="431"/>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sectPr>
          <w:headerReference w:type="default" r:id="rId9"/>
          <w:footerReference w:type="default" r:id="rId10"/>
          <w:pgSz w:w="11906" w:h="16838"/>
          <w:pgMar w:top="1531" w:right="1984" w:bottom="1531" w:left="2098"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第三部分</w:t>
      </w:r>
      <w:r>
        <w:rPr>
          <w:rFonts w:ascii="Times New Roman" w:eastAsia="仿宋_GB2312" w:hAnsi="Times New Roman"/>
          <w:b w:val="0"/>
          <w:sz w:val="44"/>
          <w:szCs w:val="44"/>
        </w:rPr>
        <w:t>2024</w:t>
      </w:r>
      <w:r>
        <w:rPr>
          <w:rFonts w:ascii="Times New Roman" w:eastAsia="黑体" w:hAnsi="Times New Roman"/>
          <w:b w:val="0"/>
          <w:sz w:val="44"/>
          <w:szCs w:val="44"/>
        </w:rPr>
        <w:t>年度部门决算情况说明</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本部门2024年度收、支总计（含结转和结余）均为7,003.34万元。与2023年度决算相比，收支各增加6,308.14万元，增长907.4%，主要原因是增加专项债券项目。</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Arial" w:cs="Times New Roman" w:hAnsi="Times New Roman"/>
          <w:highlight w:val="none"/>
        </w:rPr>
      </w:pPr>
      <w:r>
        <w:rPr>
          <w:rFonts w:ascii="Times New Roman" w:eastAsia="宋体" w:hAnsi="Times New Roman" w:hint="eastAsia"/>
        </w:rPr>
        <w:drawing>
          <wp:inline distT="0" distB="0" distL="114300" distR="114300">
            <wp:extent cx="5256530" cy="2988310"/>
            <wp:effectExtent l="5080" t="4444" r="8889" b="17145"/>
            <wp:docPr id="5" name="图表 5"/>
            <wp:cNvGraphicFramePr>
              <a:graphicFrameLocks noChangeAspect="0"/>
            </wp:cNvGraphicFramePr>
            <a:graphic>
              <a:graphicData uri="http://schemas.openxmlformats.org/drawingml/2006/chart">
                <c:chart xmlns:c="http://schemas.openxmlformats.org/drawingml/2006/chart" r:id="rId12"/>
              </a:graphicData>
            </a:graphic>
          </wp:inline>
        </w:drawing>
      </w:r>
      <w:r>
        <w:rPr>
          <w:rFonts w:ascii="Times New Roman" w:eastAsia="Arial" w:cs="Times New Roman" w:hAnsi="Times New Roman"/>
          <w:i w:val="0"/>
          <w:iCs w:val="0"/>
          <w:caps w:val="0"/>
          <w:smallCaps w:val="0"/>
          <w:color w:val="000000"/>
          <w:spacing w:val="0"/>
          <w:sz w:val="18"/>
          <w:szCs w:val="18"/>
          <w:shd w:val="clear" w:color="auto" w:fill="FFFFFF"/>
          <w:highlight w:val="none"/>
        </w:rPr>
        <w:t> </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本年收入合计7,003.34万元，其中：财政拨款收入7,003.34万元，占100.0%；上级补助收入0.00万元，占0.0%；事业收入0.00万元，占0.0%；经营收入0.00万元，占0.0%；附属单位上缴收入0.00万元，占0.0%；其他收入0.00万元，占0.0%。</w:t>
      </w:r>
    </w:p>
    <w:p>
      <w:pPr>
        <w:adjustRightInd w:val="0"/>
        <w:snapToGrid w:val="0"/>
        <w:spacing w:line="580" w:lineRule="exact"/>
        <w:jc w:val="both"/>
        <w:rPr>
          <w:rFonts w:ascii="Times New Roman" w:eastAsia="仿宋_GB2312" w:cs="Times New Roman" w:hAnsi="Times New Roman"/>
          <w:kern w:val="2"/>
          <w:sz w:val="32"/>
          <w:szCs w:val="32"/>
          <w:lang w:val="zh-CN"/>
          <w:highlight w:val="yellow"/>
        </w:rPr>
      </w:pPr>
      <w:r>
        <w:rPr>
          <w:rFonts w:ascii="Times New Roman" w:eastAsia="仿宋_GB2312" w:hAnsi="Times New Roman"/>
          <w:kern w:val="2"/>
          <w:sz w:val="32"/>
          <w:szCs w:val="32"/>
          <w:lang w:val="zh-CN"/>
          <w:highlight w:val="yellow"/>
        </w:rPr>
        <w:drawing>
          <wp:anchor distT="0" distB="0" distL="114300" distR="114300" simplePos="0" relativeHeight="35" behindDoc="0" locked="0" layoutInCell="1" hidden="0" allowOverlap="1">
            <wp:simplePos x="0" y="0"/>
            <wp:positionH relativeFrom="column">
              <wp:posOffset>-16510</wp:posOffset>
            </wp:positionH>
            <wp:positionV relativeFrom="paragraph">
              <wp:posOffset>201930</wp:posOffset>
            </wp:positionV>
            <wp:extent cx="5256530" cy="2988310"/>
            <wp:effectExtent l="5080" t="4444" r="8889" b="17145"/>
            <wp:wrapTopAndBottom/>
            <wp:docPr id="9" name="图表 9"/>
            <wp:cNvGraphicFramePr>
              <a:graphicFrameLocks noChangeAspect="0"/>
            </wp:cNvGraphicFramePr>
            <a:graphic>
              <a:graphicData uri="http://schemas.openxmlformats.org/drawingml/2006/chart">
                <c:chart xmlns:c="http://schemas.openxmlformats.org/drawingml/2006/chart" r:id="rId13"/>
              </a:graphicData>
            </a:graphic>
          </wp:anchor>
        </w:drawing>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本部门2024年度本年支出合计7,003.34万元，其中：基本支出228.34万元，占3.3%；项目支出6,775.00万元，占96.7%；上缴上级支出0.00万元，占0.0%；经营支出0.00万元，占0.0%；对附属单位补助支出0.00万元，占0.0%。</w:t>
      </w:r>
    </w:p>
    <w:p>
      <w:pPr>
        <w:autoSpaceDE w:val="0"/>
        <w:autoSpaceDN w:val="0"/>
        <w:adjustRightInd w:val="0"/>
        <w:jc w:val="center"/>
        <w:rPr>
          <w:rFonts w:ascii="Times New Roman" w:eastAsia="仿宋_GB2312" w:cs="Times New Roman" w:hAnsi="Times New Roman"/>
          <w:color w:val="auto"/>
          <w:kern w:val="0"/>
          <w:sz w:val="32"/>
          <w:szCs w:val="32"/>
          <w:lang w:val="en-US" w:eastAsia="zh-CN" w:bidi="ar-SA"/>
          <w:highlight w:val="none"/>
        </w:rPr>
      </w:pPr>
      <w:r>
        <w:rPr>
          <w:rFonts w:ascii="Times New Roman" w:eastAsia="仿宋_GB2312" w:cs="Times New Roman" w:hAnsi="Times New Roman"/>
          <w:sz w:val="32"/>
          <w:szCs w:val="32"/>
          <w:highlight w:val="none"/>
        </w:rPr>
        <w:drawing>
          <wp:inline distT="0" distB="0" distL="114300" distR="114300">
            <wp:extent cx="5256530" cy="2988310"/>
            <wp:effectExtent l="5080" t="4444" r="11430" b="9525"/>
            <wp:docPr id="7" name="图表 7"/>
            <wp:cNvGraphicFramePr>
              <a:graphicFrameLocks noChangeAspect="0"/>
            </wp:cNvGraphicFramePr>
            <a:graphic>
              <a:graphicData uri="http://schemas.openxmlformats.org/drawingml/2006/chart">
                <c:chart xmlns:c="http://schemas.openxmlformats.org/drawingml/2006/chart" r:id="rId14"/>
              </a:graphicData>
            </a:graphic>
          </wp:inline>
        </w:drawing>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（一）财政拨款收支与</w:t>
      </w:r>
      <w:r>
        <w:rPr>
          <w:rFonts w:ascii="Times New Roman" w:eastAsia="仿宋_GB2312" w:hAnsi="Times New Roman"/>
          <w:b/>
          <w:sz w:val="32"/>
          <w:szCs w:val="32"/>
        </w:rPr>
        <w:t>2023</w:t>
      </w:r>
      <w:r>
        <w:rPr>
          <w:rFonts w:ascii="Times New Roman" w:eastAsia="楷体_GB2312" w:hAnsi="Times New Roman"/>
          <w:b/>
          <w:sz w:val="32"/>
          <w:szCs w:val="32"/>
        </w:rPr>
        <w:t>年度决算对比情况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本部门2024年度财政拨款收、支总计（含结转和结余）均为7,003.34万元。与2023年度相比，财政拨款收支各增加6,308.14万元，增长907.4%，主要原因是追加临时项目。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本部门2024年度财政拨款本年收入7,003.34万元,比上年增加6,308.14万元，增长907.4%，主要原因是增加项目；本年支出7,003.34万元，比上年增加6,308.14万元，增长907.4%，主要原因是增加项目。具体情况如下：</w:t>
      </w:r>
    </w:p>
    <w:p>
      <w:pPr>
        <w:widowControl/>
        <w:spacing w:before="0" w:beforeAutospacing="0" w:after="0" w:afterAutospacing="0" w:line="360" w:lineRule="auto"/>
        <w:ind w:firstLineChars="200" w:firstLine="640"/>
        <w:jc w:val="left"/>
        <w:outlineLvl w:val="1"/>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一般公共预算财政拨款本年收入263.34万元,比上年减少431.86万元，降低62.1%，主要原因是减少一般公共预算项目支出；本年支出263.34万元，比上年减少431.86万元，降低62.1%，主要原因是减少一般公共预算项目支出。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政府性基金预算财政拨款本年收入6,740.00万元，比上年增加6,740.00万元，增长100.00%，主要原因是增加项目；本年支出6,740.00万元，比上年增加6,740.00万元，增长100.00%，主要原因是项目增加，支出增加。</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3. 国有资本经营预算财政拨款本年收入0.00万元，比上年增加0.00万元，增长0.00%，</w:t>
      </w:r>
      <w:r>
        <w:rPr>
          <w:rFonts w:ascii="Times New Roman" w:eastAsia="仿宋_GB2312" w:hAnsi="Times New Roman" w:hint="eastAsia"/>
          <w:b w:val="0"/>
          <w:sz w:val="32"/>
          <w:szCs w:val="32"/>
          <w:lang w:eastAsia="zh-CN"/>
        </w:rPr>
        <w:t>与上年持平</w:t>
      </w:r>
      <w:r>
        <w:rPr>
          <w:rFonts w:ascii="Times New Roman" w:eastAsia="仿宋_GB2312" w:hAnsi="Times New Roman"/>
          <w:b w:val="0"/>
          <w:sz w:val="32"/>
          <w:szCs w:val="32"/>
        </w:rPr>
        <w:t>；本年支出0.00万元，比上年增加0.00万元，增长0.00%，</w:t>
      </w:r>
      <w:r>
        <w:rPr>
          <w:rFonts w:ascii="Times New Roman" w:eastAsia="仿宋_GB2312" w:hAnsi="Times New Roman" w:hint="eastAsia"/>
          <w:b w:val="0"/>
          <w:sz w:val="32"/>
          <w:szCs w:val="32"/>
          <w:lang w:eastAsia="zh-CN"/>
        </w:rPr>
        <w:t>与上年持平</w:t>
      </w:r>
      <w:r>
        <w:rPr>
          <w:rFonts w:ascii="Times New Roman" w:eastAsia="仿宋_GB2312" w:hAnsi="Times New Roman"/>
          <w:b w:val="0"/>
          <w:sz w:val="32"/>
          <w:szCs w:val="32"/>
        </w:rPr>
        <w:t>。</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sz w:val="32"/>
          <w:szCs w:val="32"/>
          <w:lang w:val="en-US" w:eastAsia="zh-CN"/>
          <w:highlight w:val="none"/>
        </w:rPr>
      </w:pPr>
      <w:r>
        <w:rPr>
          <w:rFonts w:ascii="Times New Roman" w:eastAsia="仿宋_GB2312" w:hAnsi="Times New Roman"/>
          <w:sz w:val="32"/>
          <w:szCs w:val="32"/>
        </w:rPr>
        <w:drawing>
          <wp:inline distT="0" distB="0" distL="114300" distR="114300">
            <wp:extent cx="5256530" cy="2988310"/>
            <wp:effectExtent l="5080" t="4444" r="8889" b="17145"/>
            <wp:docPr id="3" name="图表 3"/>
            <wp:cNvGraphicFramePr>
              <a:graphicFrameLocks noChangeAspect="0"/>
            </wp:cNvGraphicFramePr>
            <a:graphic>
              <a:graphicData uri="http://schemas.openxmlformats.org/drawingml/2006/chart">
                <c:chart xmlns:c="http://schemas.openxmlformats.org/drawingml/2006/chart" r:id="rId15"/>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（二）财政拨款收支与年初预算数对比情况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本年收入7,003.34万元，完成年初预算的2,762.9%，比年初预算增加6,749.86万元，决算数大于预算数主要原因是年中追加项目；本年支出7,003.34万元，完成年初预算的2,762.9%，比年初预算增加6,749.86万元，决算数大于预算数主要原因是年中追加项目。具体情况如下：</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一般公共预算财政拨款本年收入完成年初预算的103.9%，比年初预算增加9.86万元，主要原因是增加人员经费；支出完成年初预算的103.9%，比年初预算增加9.86万元，主要原因是增加人员经费。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政府性基金预算财政拨款本年收入完成年初预算的0.0%，比年初预算增加6,740.00万元，主要原因是年中追加项目；支出完成年初预算的0.0%，比年初预算增加6,740.00万元，主要原因是年中追加项目。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3. 国有资本经营预算财政拨款本年收入完成年初预算的0.0%，比年初预算增加0.00万元，</w:t>
      </w:r>
      <w:r>
        <w:rPr>
          <w:rFonts w:ascii="Times New Roman" w:eastAsia="仿宋_GB2312" w:hAnsi="Times New Roman" w:hint="eastAsia"/>
          <w:b w:val="0"/>
          <w:sz w:val="32"/>
          <w:szCs w:val="32"/>
          <w:lang w:eastAsia="zh-CN"/>
        </w:rPr>
        <w:t>与预算持平</w:t>
      </w:r>
      <w:r>
        <w:rPr>
          <w:rFonts w:ascii="Times New Roman" w:eastAsia="仿宋_GB2312" w:hAnsi="Times New Roman"/>
          <w:b w:val="0"/>
          <w:sz w:val="32"/>
          <w:szCs w:val="32"/>
        </w:rPr>
        <w:t>；支出完成年初预算的0.0%，比年初预算增加0.00万元，</w:t>
      </w:r>
      <w:r>
        <w:rPr>
          <w:rFonts w:ascii="Times New Roman" w:eastAsia="仿宋_GB2312" w:hAnsi="Times New Roman" w:hint="eastAsia"/>
          <w:b w:val="0"/>
          <w:sz w:val="32"/>
          <w:szCs w:val="32"/>
          <w:lang w:eastAsia="zh-CN"/>
        </w:rPr>
        <w:t>与预算持平</w:t>
      </w:r>
      <w:r>
        <w:rPr>
          <w:rFonts w:ascii="Times New Roman" w:eastAsia="仿宋_GB2312" w:hAnsi="Times New Roman"/>
          <w:b w:val="0"/>
          <w:sz w:val="32"/>
          <w:szCs w:val="32"/>
        </w:rPr>
        <w:t>。</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Arial" w:cs="Times New Roman" w:hAnsi="Times New Roman"/>
          <w:highlight w:val="none"/>
        </w:rPr>
      </w:pP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color w:val="auto"/>
          <w:kern w:val="0"/>
          <w:sz w:val="32"/>
          <w:szCs w:val="32"/>
          <w:lang w:val="en-US" w:eastAsia="zh-CN" w:bidi="ar-SA"/>
          <w:highlight w:val="none"/>
        </w:rPr>
      </w:pPr>
      <w:r>
        <w:rPr>
          <w:rFonts w:ascii="Times New Roman" w:eastAsia="仿宋_GB2312" w:hAnsi="Times New Roman"/>
          <w:sz w:val="32"/>
          <w:szCs w:val="32"/>
          <w:highlight w:val="none"/>
        </w:rPr>
        <w:drawing>
          <wp:inline distT="0" distB="0" distL="114300" distR="114300">
            <wp:extent cx="5256530" cy="2988310"/>
            <wp:effectExtent l="5080" t="4444" r="8889" b="17145"/>
            <wp:docPr id="11" name="图表 11"/>
            <wp:cNvGraphicFramePr>
              <a:graphicFrameLocks noChangeAspect="0"/>
            </wp:cNvGraphicFramePr>
            <a:graphic>
              <a:graphicData uri="http://schemas.openxmlformats.org/drawingml/2006/chart">
                <c:chart xmlns:c="http://schemas.openxmlformats.org/drawingml/2006/chart" r:id="rId16"/>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（三）财政拨款支出决算结构情况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2024年度财政拨款支出7,003.34万元，主要用于以下方面：</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一般公共预算财政拨款支出：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一般公共服务（类）支出211.93万元，占3.0%，主要用于人员经费和日常公用及项目等支出</w:t>
      </w:r>
      <w:bookmarkStart w:id="0" w:name="_GoBack"/>
      <w:bookmarkEnd w:id="0"/>
      <w:r>
        <w:rPr>
          <w:rFonts w:ascii="Times New Roman" w:eastAsia="仿宋_GB2312" w:hAnsi="Times New Roman"/>
          <w:b w:val="0"/>
          <w:sz w:val="32"/>
          <w:szCs w:val="32"/>
        </w:rPr>
        <w:t>；社会保障和就业 （类）支出23.41万元，占0.3%，主要用于人员养老保险及职业年金等支出；卫生健康（类）支出8.98万元，占0.1%，主要用于人员的医疗保险等支出；住房保障（类）支出9.01万元，占0.1%，主要用于人员住房公积金等支出；害防治及应急管理（类）支出10.00万元，占0.1%，主要用于防火项目等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政府性基金预算财政拨款支出：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其他（类）支出6,740.00万元，占96.2%，主要用于项目等支出。</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spacing w:before="0" w:beforeAutospacing="0" w:after="0" w:afterAutospacing="0"/>
        <w:ind w:left="0" w:right="0"/>
        <w:jc w:val="left"/>
        <w:textAlignment w:val="auto"/>
        <w:rPr>
          <w:rFonts w:ascii="Times New Roman" w:eastAsia="仿宋_GB2312" w:cs="Times New Roman" w:hAnsi="Times New Roman"/>
          <w:color w:val="auto"/>
          <w:kern w:val="2"/>
          <w:sz w:val="32"/>
          <w:szCs w:val="32"/>
          <w:lang w:val="zh-CN" w:eastAsia="zh-CN" w:bidi="ar-SA"/>
        </w:rPr>
      </w:pPr>
      <w:r>
        <w:rPr>
          <w:rFonts w:ascii="Times New Roman" w:eastAsia="仿宋_GB2312" w:hAnsi="Times New Roman"/>
          <w:kern w:val="2"/>
          <w:sz w:val="32"/>
          <w:szCs w:val="32"/>
          <w:lang w:val="zh-CN"/>
        </w:rPr>
        <w:drawing>
          <wp:inline distT="0" distB="0" distL="114300" distR="114300">
            <wp:extent cx="5859145" cy="2988310"/>
            <wp:effectExtent l="5080" t="4444" r="15875" b="17145"/>
            <wp:docPr id="13" name="图表 13"/>
            <wp:cNvGraphicFramePr>
              <a:graphicFrameLocks noChangeAspect="0"/>
            </wp:cNvGraphicFramePr>
            <a:graphic>
              <a:graphicData uri="http://schemas.openxmlformats.org/drawingml/2006/chart">
                <c:chart xmlns:c="http://schemas.openxmlformats.org/drawingml/2006/chart" r:id="rId17"/>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（四）一般公共预算基本支出决算情况说明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2024年度财政拨款基本支出228.34万元，其中：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人员经费164.34万元，主要包括基本工资、津贴补贴、奖金、伙食补助费、绩效工资、机关事业部门基本养老保险缴费、职业年金缴费、职工基本医疗保险缴费、住房公积金、其他社会保障缴费、其他工资福利支出 退休费、 抚恤金、奖励金、其他对个人和家庭的补助支出。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公用经费64.00万元，主要包括办公费、差旅费、委托业务费、工会经费、公务用车运行维护费、其他交通费用、其他商品和服务支出</w:t>
      </w:r>
      <w:r>
        <w:rPr>
          <w:rFonts w:ascii="Times New Roman" w:eastAsia="仿宋_GB2312" w:hAnsi="Times New Roman" w:hint="eastAsia"/>
          <w:b w:val="0"/>
          <w:sz w:val="32"/>
          <w:szCs w:val="32"/>
          <w:lang w:val="en-US" w:eastAsia="zh-CN"/>
        </w:rPr>
        <w:t xml:space="preserve"> </w:t>
      </w:r>
      <w:r>
        <w:rPr>
          <w:rFonts w:ascii="Times New Roman" w:eastAsia="仿宋_GB2312" w:hAnsi="Times New Roman"/>
          <w:b w:val="0"/>
          <w:sz w:val="32"/>
          <w:szCs w:val="32"/>
        </w:rPr>
        <w:t>。</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五、财政拨款“三公” 经费支出决算情况说明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（一）“三公”经费财政拨款支出决算总体情况说明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三公”经费财政拨款支出预算为0.28万元，支出决算为0.28万元，完成预算的100.0%，较预算增加0.00万元，增长0.0%，主要原因是与预算持平；较2023年度决算减少0.10万元，降低26.3%，主要原因是从严控制三公经费开支，全年实际支出比上年度有所节约。</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（二）“三公”经费财政拨款支出决算具体情况说明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1.因公出国（境）费支出情况。</w:t>
      </w:r>
      <w:r>
        <w:rPr>
          <w:rFonts w:ascii="Times New Roman" w:eastAsia="仿宋_GB2312" w:hAnsi="Times New Roman"/>
          <w:b w:val="0"/>
          <w:sz w:val="32"/>
          <w:szCs w:val="32"/>
        </w:rPr>
        <w:t>本部门2024年度因公出国（境）费支出预算为0.00万元,支出决算0.00万元。完成预算的0.0%。因公出国（境）费支出较预算增加0.00万元，增长0.0%,主要原因是未发生此类支出；较上年增加0.00万元，增长0.00%,主要原因是未发生此类支出。因公出国（境）团组0个、共0人、参加其他单位组织的因公出国（境）团组0个、共0人/无本部门组织的出国（境）团组。</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2.公务用车购置及运行维护费支出情况。</w:t>
      </w:r>
      <w:r>
        <w:rPr>
          <w:rFonts w:ascii="Times New Roman" w:eastAsia="仿宋_GB2312" w:hAnsi="Times New Roman"/>
          <w:b w:val="0"/>
          <w:sz w:val="32"/>
          <w:szCs w:val="32"/>
        </w:rPr>
        <w:t>本部门2024年度公务用车购置及运行维护费预算为0.28万元，支出决算0.28万元，完成预算的100.0%,较预算增加0.00万元，增长0.0%,主要原因是与预算持平；较上年减少0.10万元，降低26.3%,主要原因是从严控制三公经费开支，全年实际支出比上年度有所节约。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公务用车购置费支出0.00万元：</w:t>
      </w:r>
      <w:r>
        <w:rPr>
          <w:rFonts w:ascii="Times New Roman" w:eastAsia="仿宋_GB2312" w:hAnsi="Times New Roman"/>
          <w:b w:val="0"/>
          <w:sz w:val="32"/>
          <w:szCs w:val="32"/>
        </w:rPr>
        <w:t>本部门2024年度公务用车购置量0辆，发生“公务用车购置”经费支出0.00万元。公务用车购置费支出较预算增加0.00万元，增长0.0%,主要原因是未发生此类支出；较上年增加0.00万元，增长0.00%,主要原因是未发生此类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公务用车运行维护费支出0.28万元：</w:t>
      </w:r>
      <w:r>
        <w:rPr>
          <w:rFonts w:ascii="Times New Roman" w:eastAsia="仿宋_GB2312" w:hAnsi="Times New Roman"/>
          <w:b w:val="0"/>
          <w:sz w:val="32"/>
          <w:szCs w:val="32"/>
        </w:rPr>
        <w:t>本部门2024年度单位公务用车保有量1辆，发生运行维护费支出0.28万元。公车运行维护费支出较预算增加0.00万元，增长0.0%,主要原因是与预算持平；较上年减少0.10万元，降低26.3%，主要原因是从严控制三公经费开支，全年实际支出比上年度有所节约。</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3.公务接待费支出情况。</w:t>
      </w:r>
      <w:r>
        <w:rPr>
          <w:rFonts w:ascii="Times New Roman" w:eastAsia="仿宋_GB2312" w:hAnsi="Times New Roman"/>
          <w:b w:val="0"/>
          <w:sz w:val="32"/>
          <w:szCs w:val="32"/>
        </w:rPr>
        <w:t>本部门2024年度公务接待费支出预算为0.00万元，支出决算0.00万元，完成预算的0.0%。公务接待费支出较预算增加0.00万元，增长0.0%,主要原因是未发生此类支出；较上年度增加0.00万元，增长0.00%,主要原因是未发生此类支出。本年度共发生公务接待0批次、0人次。</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本部门2024年度机关运行经费支出0.00万元，较2023年度增加0.00万元，增长0.00%。主要原因是我单位为财政补助事业单位，无机关运行经费。</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截至2024年12月31日，本部门共有车辆1辆，比上年增加0辆，主要是持平。其中，副部（省）级及以上领导用车0辆，主要负责人用车0辆，机要通信用车0辆，应急保障用车0辆，执法执勤用车0辆，特种专业技术用车0辆，离退休干部用车0辆，其他用车1辆，其他用车主要是日常办公。单位价值100万元（含）以上设备（不含车辆）0台（套）。</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（一）绩效评价工作开展情况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根据预算绩效管理要求，本部门组织对2024年度本级预算项目支出全面开展绩效自评，共涉及资金万元（决算金额）。其中，一般公共预算项目</w:t>
      </w:r>
      <w:r>
        <w:rPr>
          <w:rFonts w:ascii="Times New Roman" w:eastAsia="仿宋_GB2312" w:hAnsi="Times New Roman" w:hint="eastAsia"/>
          <w:b w:val="0"/>
          <w:sz w:val="32"/>
          <w:szCs w:val="32"/>
          <w:lang w:val="en-US" w:eastAsia="zh-CN"/>
        </w:rPr>
        <w:t>3</w:t>
      </w:r>
      <w:r>
        <w:rPr>
          <w:rFonts w:ascii="Times New Roman" w:eastAsia="仿宋_GB2312" w:hAnsi="Times New Roman"/>
          <w:b w:val="0"/>
          <w:sz w:val="32"/>
          <w:szCs w:val="32"/>
        </w:rPr>
        <w:t>个，涉及资金</w:t>
      </w:r>
      <w:r>
        <w:rPr>
          <w:rFonts w:ascii="Times New Roman" w:eastAsia="仿宋_GB2312" w:hAnsi="Times New Roman" w:hint="eastAsia"/>
          <w:b w:val="0"/>
          <w:sz w:val="32"/>
          <w:szCs w:val="32"/>
          <w:lang w:val="en-US" w:eastAsia="zh-CN"/>
        </w:rPr>
        <w:t>35</w:t>
      </w:r>
      <w:r>
        <w:rPr>
          <w:rFonts w:ascii="Times New Roman" w:eastAsia="仿宋_GB2312" w:hAnsi="Times New Roman"/>
          <w:b w:val="0"/>
          <w:sz w:val="32"/>
          <w:szCs w:val="32"/>
        </w:rPr>
        <w:t>万元，占一般公共预算项目支出总额的</w:t>
      </w:r>
      <w:r>
        <w:rPr>
          <w:rFonts w:ascii="Times New Roman" w:eastAsia="仿宋_GB2312" w:hAnsi="Times New Roman" w:hint="eastAsia"/>
          <w:b w:val="0"/>
          <w:sz w:val="32"/>
          <w:szCs w:val="32"/>
          <w:lang w:val="en-US" w:eastAsia="zh-CN"/>
        </w:rPr>
        <w:t>100</w:t>
      </w:r>
      <w:r>
        <w:rPr>
          <w:rFonts w:ascii="Times New Roman" w:eastAsia="仿宋_GB2312" w:hAnsi="Times New Roman"/>
          <w:b w:val="0"/>
          <w:sz w:val="32"/>
          <w:szCs w:val="32"/>
        </w:rPr>
        <w:t>%；政府性基金预算项目</w:t>
      </w:r>
      <w:r>
        <w:rPr>
          <w:rFonts w:ascii="Times New Roman" w:eastAsia="仿宋_GB2312" w:hAnsi="Times New Roman" w:hint="eastAsia"/>
          <w:b w:val="0"/>
          <w:sz w:val="32"/>
          <w:szCs w:val="32"/>
          <w:lang w:val="en-US" w:eastAsia="zh-CN"/>
        </w:rPr>
        <w:t>2</w:t>
      </w:r>
      <w:r>
        <w:rPr>
          <w:rFonts w:ascii="Times New Roman" w:eastAsia="仿宋_GB2312" w:hAnsi="Times New Roman"/>
          <w:b w:val="0"/>
          <w:sz w:val="32"/>
          <w:szCs w:val="32"/>
        </w:rPr>
        <w:t>个，涉及资金</w:t>
      </w:r>
      <w:r>
        <w:rPr>
          <w:rFonts w:ascii="Times New Roman" w:eastAsia="仿宋_GB2312" w:hAnsi="Times New Roman" w:hint="eastAsia"/>
          <w:b w:val="0"/>
          <w:sz w:val="32"/>
          <w:szCs w:val="32"/>
          <w:lang w:val="en-US" w:eastAsia="zh-CN"/>
        </w:rPr>
        <w:t>6740</w:t>
      </w:r>
      <w:r>
        <w:rPr>
          <w:rFonts w:ascii="Times New Roman" w:eastAsia="仿宋_GB2312" w:hAnsi="Times New Roman"/>
          <w:b w:val="0"/>
          <w:sz w:val="32"/>
          <w:szCs w:val="32"/>
        </w:rPr>
        <w:t>万元，占政府性基金预算项目支出总额的</w:t>
      </w:r>
      <w:r>
        <w:rPr>
          <w:rFonts w:ascii="Times New Roman" w:eastAsia="仿宋_GB2312" w:hAnsi="Times New Roman" w:hint="eastAsia"/>
          <w:b w:val="0"/>
          <w:sz w:val="32"/>
          <w:szCs w:val="32"/>
          <w:lang w:val="en-US" w:eastAsia="zh-CN"/>
        </w:rPr>
        <w:t>100</w:t>
      </w:r>
      <w:r>
        <w:rPr>
          <w:rFonts w:ascii="Times New Roman" w:eastAsia="仿宋_GB2312" w:hAnsi="Times New Roman"/>
          <w:b w:val="0"/>
          <w:sz w:val="32"/>
          <w:szCs w:val="32"/>
        </w:rPr>
        <w:t>%；国有资本经营预算项目</w:t>
      </w:r>
      <w:r>
        <w:rPr>
          <w:rFonts w:ascii="Times New Roman" w:eastAsia="仿宋_GB2312" w:hAnsi="Times New Roman" w:hint="eastAsia"/>
          <w:b w:val="0"/>
          <w:sz w:val="32"/>
          <w:szCs w:val="32"/>
          <w:lang w:val="en-US" w:eastAsia="zh-CN"/>
        </w:rPr>
        <w:t>0</w:t>
      </w:r>
      <w:r>
        <w:rPr>
          <w:rFonts w:ascii="Times New Roman" w:eastAsia="仿宋_GB2312" w:hAnsi="Times New Roman"/>
          <w:b w:val="0"/>
          <w:sz w:val="32"/>
          <w:szCs w:val="32"/>
        </w:rPr>
        <w:t>个，涉及资金</w:t>
      </w:r>
      <w:r>
        <w:rPr>
          <w:rFonts w:ascii="Times New Roman" w:eastAsia="仿宋_GB2312" w:hAnsi="Times New Roman" w:hint="eastAsia"/>
          <w:b w:val="0"/>
          <w:sz w:val="32"/>
          <w:szCs w:val="32"/>
          <w:lang w:val="en-US" w:eastAsia="zh-CN"/>
        </w:rPr>
        <w:t>0</w:t>
      </w:r>
      <w:r>
        <w:rPr>
          <w:rFonts w:ascii="Times New Roman" w:eastAsia="仿宋_GB2312" w:hAnsi="Times New Roman"/>
          <w:b w:val="0"/>
          <w:sz w:val="32"/>
          <w:szCs w:val="32"/>
        </w:rPr>
        <w:t>万元，占国有资本经营预算项目支出总额的</w:t>
      </w:r>
      <w:r>
        <w:rPr>
          <w:rFonts w:ascii="Times New Roman" w:eastAsia="仿宋_GB2312" w:hAnsi="Times New Roman" w:hint="eastAsia"/>
          <w:b w:val="0"/>
          <w:sz w:val="32"/>
          <w:szCs w:val="32"/>
          <w:lang w:val="en-US" w:eastAsia="zh-CN"/>
        </w:rPr>
        <w:t>0</w:t>
      </w:r>
      <w:r>
        <w:rPr>
          <w:rFonts w:ascii="Times New Roman" w:eastAsia="仿宋_GB2312" w:hAnsi="Times New Roman"/>
          <w:b w:val="0"/>
          <w:sz w:val="32"/>
          <w:szCs w:val="32"/>
        </w:rPr>
        <w:t>%。</w:t>
      </w:r>
    </w:p>
    <w:p>
      <w:pPr>
        <w:adjustRightInd w:val="0"/>
        <w:snapToGrid w:val="0"/>
        <w:spacing w:line="580" w:lineRule="exact"/>
        <w:ind w:firstLineChars="200" w:firstLine="640"/>
        <w:rPr>
          <w:rFonts w:ascii="仿宋_GB2312" w:eastAsia="仿宋" w:cs="仿宋_GB2312" w:hAnsi="仿宋_GB2312"/>
          <w:sz w:val="32"/>
          <w:szCs w:val="32"/>
          <w:highlight w:val="yellow"/>
        </w:rPr>
      </w:pPr>
      <w:r>
        <w:rPr>
          <w:rFonts w:ascii="Times New Roman" w:eastAsia="仿宋_GB2312" w:hAnsi="Times New Roman"/>
          <w:b w:val="0"/>
          <w:sz w:val="32"/>
          <w:szCs w:val="32"/>
        </w:rPr>
        <w:t>组织对</w:t>
      </w:r>
      <w:r>
        <w:rPr>
          <w:rFonts w:ascii="Times New Roman" w:eastAsia="仿宋_GB2312" w:hAnsi="Times New Roman" w:hint="eastAsia"/>
          <w:b w:val="0"/>
          <w:sz w:val="32"/>
          <w:szCs w:val="32"/>
          <w:lang w:eastAsia="zh-CN"/>
        </w:rPr>
        <w:t>防火经费、碣石山景观大道生态林业绿化工程</w:t>
      </w:r>
      <w:r>
        <w:rPr>
          <w:rFonts w:ascii="Times New Roman" w:eastAsia="仿宋_GB2312" w:hAnsi="Times New Roman"/>
          <w:b w:val="0"/>
          <w:sz w:val="32"/>
          <w:szCs w:val="32"/>
        </w:rPr>
        <w:t>等</w:t>
      </w:r>
      <w:r>
        <w:rPr>
          <w:rFonts w:ascii="Times New Roman" w:eastAsia="仿宋_GB2312" w:hAnsi="Times New Roman" w:hint="eastAsia"/>
          <w:b w:val="0"/>
          <w:sz w:val="32"/>
          <w:szCs w:val="32"/>
          <w:lang w:val="en-US" w:eastAsia="zh-CN"/>
        </w:rPr>
        <w:t>2</w:t>
      </w:r>
      <w:r>
        <w:rPr>
          <w:rFonts w:ascii="Times New Roman" w:eastAsia="仿宋_GB2312" w:hAnsi="Times New Roman"/>
          <w:b w:val="0"/>
          <w:sz w:val="32"/>
          <w:szCs w:val="32"/>
        </w:rPr>
        <w:t>个项目开展了部门重点评价，涉及一般公共预算支出</w:t>
      </w:r>
      <w:r>
        <w:rPr>
          <w:rFonts w:ascii="Times New Roman" w:eastAsia="仿宋_GB2312" w:hAnsi="Times New Roman" w:hint="eastAsia"/>
          <w:b w:val="0"/>
          <w:sz w:val="32"/>
          <w:szCs w:val="32"/>
          <w:lang w:val="en-US" w:eastAsia="zh-CN"/>
        </w:rPr>
        <w:t>10</w:t>
      </w:r>
      <w:r>
        <w:rPr>
          <w:rFonts w:ascii="Times New Roman" w:eastAsia="仿宋_GB2312" w:hAnsi="Times New Roman"/>
          <w:b w:val="0"/>
          <w:sz w:val="32"/>
          <w:szCs w:val="32"/>
        </w:rPr>
        <w:t>万元，政府性基金预算支出</w:t>
      </w:r>
      <w:r>
        <w:rPr>
          <w:rFonts w:ascii="Times New Roman" w:eastAsia="仿宋_GB2312" w:hAnsi="Times New Roman" w:hint="eastAsia"/>
          <w:b w:val="0"/>
          <w:sz w:val="32"/>
          <w:szCs w:val="32"/>
          <w:lang w:val="en-US" w:eastAsia="zh-CN"/>
        </w:rPr>
        <w:t>6730</w:t>
      </w:r>
      <w:r>
        <w:rPr>
          <w:rFonts w:ascii="Times New Roman" w:eastAsia="仿宋_GB2312" w:hAnsi="Times New Roman"/>
          <w:b w:val="0"/>
          <w:sz w:val="32"/>
          <w:szCs w:val="32"/>
        </w:rPr>
        <w:t>万元，国有资本经营预算支出</w:t>
      </w:r>
      <w:r>
        <w:rPr>
          <w:rFonts w:ascii="Times New Roman" w:eastAsia="仿宋_GB2312" w:hAnsi="Times New Roman" w:hint="eastAsia"/>
          <w:b w:val="0"/>
          <w:sz w:val="32"/>
          <w:szCs w:val="32"/>
          <w:lang w:val="en-US" w:eastAsia="zh-CN"/>
        </w:rPr>
        <w:t>0</w:t>
      </w:r>
      <w:r>
        <w:rPr>
          <w:rFonts w:ascii="Times New Roman" w:eastAsia="仿宋_GB2312" w:hAnsi="Times New Roman"/>
          <w:b w:val="0"/>
          <w:sz w:val="32"/>
          <w:szCs w:val="32"/>
        </w:rPr>
        <w:t>万元，从评价情况来看，</w:t>
      </w:r>
      <w:r>
        <w:rPr>
          <w:rFonts w:ascii="仿宋_GB2312" w:eastAsia="仿宋" w:cs="仿宋_GB2312" w:hAnsi="仿宋_GB2312" w:hint="eastAsia"/>
          <w:sz w:val="32"/>
          <w:szCs w:val="32"/>
        </w:rPr>
        <w:t>应进一步加强绩效目标编制工作，按照预算绩效管理相关要求和相关规定，结合年度工作开展实际编制系统、准确、细化量化的项目绩效目标指标，为真实有效衡量项目执行绩效提供依据和标尺。加紧制定项目专项资金使用管理办法，对专项资金使用范围、标准、审批程序等事项进行明确，确保资金使用合理规范、严谨高效。同时应进一步加强项目的监督管理，督促项目单位按照相关规定进行专账核算，真实、准确反映资金使用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（二）部门决算中项目绩效自评结果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本部门在今年部门决算公开中反映</w:t>
      </w:r>
      <w:r>
        <w:rPr>
          <w:rFonts w:ascii="Times New Roman" w:eastAsia="仿宋_GB2312" w:hAnsi="Times New Roman" w:hint="eastAsia"/>
          <w:b w:val="0"/>
          <w:sz w:val="32"/>
          <w:szCs w:val="32"/>
          <w:lang w:eastAsia="zh-CN"/>
        </w:rPr>
        <w:t>防火经费、碣石山景观大道生态林业绿化工程</w:t>
      </w:r>
      <w:r>
        <w:rPr>
          <w:rFonts w:ascii="Times New Roman" w:eastAsia="仿宋_GB2312" w:hAnsi="Times New Roman"/>
          <w:b w:val="0"/>
          <w:sz w:val="32"/>
          <w:szCs w:val="32"/>
        </w:rPr>
        <w:t>等</w:t>
      </w:r>
      <w:r>
        <w:rPr>
          <w:rFonts w:ascii="Times New Roman" w:eastAsia="仿宋_GB2312" w:hAnsi="Times New Roman" w:hint="eastAsia"/>
          <w:b w:val="0"/>
          <w:sz w:val="32"/>
          <w:szCs w:val="32"/>
          <w:lang w:val="en-US" w:eastAsia="zh-CN"/>
        </w:rPr>
        <w:t>2</w:t>
      </w:r>
      <w:r>
        <w:rPr>
          <w:rFonts w:ascii="Times New Roman" w:eastAsia="仿宋_GB2312" w:hAnsi="Times New Roman"/>
          <w:b w:val="0"/>
          <w:sz w:val="32"/>
          <w:szCs w:val="32"/>
        </w:rPr>
        <w:t>个项目绩效自评结果。</w:t>
      </w:r>
    </w:p>
    <w:p>
      <w:pPr>
        <w:numPr>
          <w:ilvl w:val="0"/>
          <w:numId w:val="1"/>
        </w:numPr>
        <w:adjustRightInd w:val="0"/>
        <w:snapToGrid w:val="0"/>
        <w:spacing w:line="580" w:lineRule="exact"/>
        <w:ind w:left="0" w:firstLineChars="200" w:firstLine="640"/>
        <w:rPr>
          <w:rFonts w:ascii="仿宋_GB2312" w:eastAsia="仿宋" w:cs="仿宋_GB2312" w:hAnsi="仿宋_GB2312"/>
          <w:sz w:val="32"/>
          <w:szCs w:val="32"/>
        </w:rPr>
      </w:pPr>
      <w:r>
        <w:rPr>
          <w:rFonts w:ascii="仿宋" w:eastAsia="仿宋" w:hAnsi="仿宋" w:hint="eastAsia"/>
          <w:kern w:val="2"/>
          <w:sz w:val="32"/>
          <w:szCs w:val="32"/>
          <w:lang w:val="zh-CN"/>
        </w:rPr>
        <w:t>防火经费</w:t>
      </w:r>
      <w:r>
        <w:rPr>
          <w:rFonts w:ascii="仿宋" w:eastAsia="仿宋" w:hAnsi="仿宋"/>
          <w:kern w:val="2"/>
          <w:sz w:val="32"/>
          <w:szCs w:val="32"/>
          <w:lang w:val="zh-CN"/>
        </w:rPr>
        <w:t>项目绩效自评情况：根据年初设定的绩效目标，特色产业集群项目绩效自评得分为9</w:t>
      </w:r>
      <w:r>
        <w:rPr>
          <w:rFonts w:ascii="仿宋" w:eastAsia="仿宋" w:hAnsi="仿宋" w:hint="eastAsia"/>
          <w:kern w:val="2"/>
          <w:sz w:val="32"/>
          <w:szCs w:val="32"/>
          <w:lang w:val="en-US" w:eastAsia="zh-CN"/>
        </w:rPr>
        <w:t>4</w:t>
      </w:r>
      <w:r>
        <w:rPr>
          <w:rFonts w:ascii="仿宋" w:eastAsia="仿宋" w:hAnsi="仿宋"/>
          <w:kern w:val="2"/>
          <w:sz w:val="32"/>
          <w:szCs w:val="32"/>
          <w:lang w:val="zh-CN"/>
        </w:rPr>
        <w:t>分（绩效自评表附后）。全年预算数为</w:t>
      </w:r>
      <w:r>
        <w:rPr>
          <w:rFonts w:ascii="仿宋" w:eastAsia="仿宋" w:hAnsi="仿宋" w:hint="eastAsia"/>
          <w:kern w:val="2"/>
          <w:sz w:val="32"/>
          <w:szCs w:val="32"/>
          <w:lang w:val="en-US" w:eastAsia="zh-CN"/>
        </w:rPr>
        <w:t>10</w:t>
      </w:r>
      <w:r>
        <w:rPr>
          <w:rFonts w:ascii="仿宋" w:eastAsia="仿宋" w:hAnsi="仿宋"/>
          <w:kern w:val="2"/>
          <w:sz w:val="32"/>
          <w:szCs w:val="32"/>
          <w:lang w:val="zh-CN"/>
        </w:rPr>
        <w:t>万元，执行数为</w:t>
      </w:r>
      <w:r>
        <w:rPr>
          <w:rFonts w:ascii="仿宋" w:eastAsia="仿宋" w:hAnsi="仿宋" w:hint="eastAsia"/>
          <w:kern w:val="2"/>
          <w:sz w:val="32"/>
          <w:szCs w:val="32"/>
          <w:lang w:val="en-US" w:eastAsia="zh-CN"/>
        </w:rPr>
        <w:t>10</w:t>
      </w:r>
      <w:r>
        <w:rPr>
          <w:rFonts w:ascii="仿宋" w:eastAsia="仿宋" w:hAnsi="仿宋"/>
          <w:kern w:val="2"/>
          <w:sz w:val="32"/>
          <w:szCs w:val="32"/>
          <w:lang w:val="zh-CN"/>
        </w:rPr>
        <w:t>万元，完成预算的100%。</w:t>
      </w:r>
      <w:r>
        <w:rPr>
          <w:rFonts w:ascii="仿宋_GB2312" w:eastAsia="仿宋" w:cs="仿宋_GB2312" w:hAnsi="仿宋_GB2312" w:hint="eastAsia"/>
          <w:sz w:val="32"/>
          <w:szCs w:val="32"/>
          <w:lang w:val="en-US" w:eastAsia="zh-CN"/>
        </w:rPr>
        <w:t>通过该项目的实施，加强森林防火宣传工作，加大对防火工作中人力、财力、物力的投入力度，有效保护林业资源，顺利度过防火期。未发现问题。</w:t>
      </w:r>
    </w:p>
    <w:p>
      <w:pPr>
        <w:numPr>
          <w:ilvl w:val="0"/>
          <w:numId w:val="1"/>
        </w:numPr>
        <w:adjustRightInd w:val="0"/>
        <w:snapToGrid w:val="0"/>
        <w:spacing w:line="580" w:lineRule="exact"/>
        <w:ind w:left="0" w:firstLineChars="200" w:firstLine="640"/>
        <w:rPr>
          <w:rFonts w:ascii="仿宋_GB2312" w:eastAsia="仿宋" w:cs="仿宋_GB2312" w:hAnsi="仿宋_GB2312"/>
          <w:sz w:val="32"/>
          <w:szCs w:val="32"/>
        </w:rPr>
      </w:pPr>
      <w:r>
        <w:rPr>
          <w:rFonts w:ascii="Times New Roman" w:eastAsia="仿宋_GB2312" w:hAnsi="Times New Roman" w:hint="eastAsia"/>
          <w:b w:val="0"/>
          <w:sz w:val="32"/>
          <w:szCs w:val="32"/>
          <w:lang w:eastAsia="zh-CN"/>
        </w:rPr>
        <w:t>碣石山景观大道生态林业绿化工程项目</w:t>
      </w:r>
      <w:r>
        <w:rPr>
          <w:rFonts w:ascii="仿宋_GB2312" w:eastAsia="仿宋" w:cs="仿宋_GB2312" w:hAnsi="仿宋_GB2312" w:hint="eastAsia"/>
          <w:sz w:val="32"/>
          <w:szCs w:val="32"/>
        </w:rPr>
        <w:t>自评综述：</w:t>
      </w:r>
      <w:r>
        <w:rPr>
          <w:rFonts w:ascii="仿宋" w:eastAsia="仿宋" w:hAnsi="仿宋"/>
          <w:kern w:val="2"/>
          <w:sz w:val="32"/>
          <w:szCs w:val="32"/>
          <w:lang w:val="zh-CN"/>
        </w:rPr>
        <w:t>根据年初设定的绩效目标，杏树园文化广场项目绩效自评得分为9</w:t>
      </w:r>
      <w:r>
        <w:rPr>
          <w:rFonts w:ascii="仿宋" w:eastAsia="仿宋" w:hAnsi="仿宋" w:hint="eastAsia"/>
          <w:kern w:val="2"/>
          <w:sz w:val="32"/>
          <w:szCs w:val="32"/>
          <w:lang w:val="en-US" w:eastAsia="zh-CN"/>
        </w:rPr>
        <w:t>7</w:t>
      </w:r>
      <w:r>
        <w:rPr>
          <w:rFonts w:ascii="仿宋" w:eastAsia="仿宋" w:hAnsi="仿宋"/>
          <w:kern w:val="2"/>
          <w:sz w:val="32"/>
          <w:szCs w:val="32"/>
          <w:lang w:val="zh-CN"/>
        </w:rPr>
        <w:t>分（绩效自评表附后）。全年预算数为</w:t>
      </w:r>
      <w:r>
        <w:rPr>
          <w:rFonts w:ascii="仿宋" w:eastAsia="仿宋" w:hAnsi="仿宋" w:hint="eastAsia"/>
          <w:kern w:val="2"/>
          <w:sz w:val="32"/>
          <w:szCs w:val="32"/>
          <w:lang w:val="en-US" w:eastAsia="zh-CN"/>
        </w:rPr>
        <w:t>6730</w:t>
      </w:r>
      <w:r>
        <w:rPr>
          <w:rFonts w:ascii="仿宋" w:eastAsia="仿宋" w:hAnsi="仿宋"/>
          <w:kern w:val="2"/>
          <w:sz w:val="32"/>
          <w:szCs w:val="32"/>
          <w:lang w:val="zh-CN"/>
        </w:rPr>
        <w:t>万元，执行数为</w:t>
      </w:r>
      <w:r>
        <w:rPr>
          <w:rFonts w:ascii="仿宋" w:eastAsia="仿宋" w:hAnsi="仿宋" w:hint="eastAsia"/>
          <w:kern w:val="2"/>
          <w:sz w:val="32"/>
          <w:szCs w:val="32"/>
          <w:lang w:val="en-US" w:eastAsia="zh-CN"/>
        </w:rPr>
        <w:t>6730</w:t>
      </w:r>
      <w:r>
        <w:rPr>
          <w:rFonts w:ascii="仿宋" w:eastAsia="仿宋" w:hAnsi="仿宋"/>
          <w:kern w:val="2"/>
          <w:sz w:val="32"/>
          <w:szCs w:val="32"/>
          <w:lang w:val="zh-CN"/>
        </w:rPr>
        <w:t>万元，完成预算的100%。</w:t>
      </w:r>
      <w:r>
        <w:rPr>
          <w:rFonts w:ascii="仿宋_GB2312" w:eastAsia="仿宋" w:cs="仿宋_GB2312" w:hAnsi="仿宋_GB2312" w:hint="eastAsia"/>
          <w:sz w:val="32"/>
          <w:szCs w:val="32"/>
          <w:lang w:val="en-US" w:eastAsia="zh-CN"/>
        </w:rPr>
        <w:t>通过该项目的实施，</w:t>
      </w:r>
      <w:r>
        <w:rPr>
          <w:rFonts w:ascii="仿宋_GB2312" w:eastAsia="仿宋" w:cs="仿宋_GB2312" w:hAnsi="仿宋_GB2312"/>
          <w:sz w:val="32"/>
          <w:szCs w:val="32"/>
          <w:lang w:val="en-US" w:eastAsia="zh-CN"/>
        </w:rPr>
        <w:t>完善社会公共服务设施，为</w:t>
      </w:r>
      <w:r>
        <w:rPr>
          <w:rFonts w:ascii="仿宋_GB2312" w:eastAsia="仿宋" w:cs="仿宋_GB2312" w:hAnsi="仿宋_GB2312" w:hint="eastAsia"/>
          <w:sz w:val="32"/>
          <w:szCs w:val="32"/>
          <w:lang w:val="en-US" w:eastAsia="zh-CN"/>
        </w:rPr>
        <w:t>绿化环境改善现有</w:t>
      </w:r>
      <w:r>
        <w:rPr>
          <w:rFonts w:ascii="仿宋_GB2312" w:eastAsia="仿宋" w:cs="仿宋_GB2312" w:hAnsi="仿宋_GB2312"/>
          <w:sz w:val="32"/>
          <w:szCs w:val="32"/>
          <w:lang w:val="en-US" w:eastAsia="zh-CN"/>
        </w:rPr>
        <w:t>条件。</w:t>
      </w:r>
      <w:r>
        <w:rPr>
          <w:rFonts w:ascii="仿宋_GB2312" w:eastAsia="仿宋" w:cs="仿宋_GB2312" w:hAnsi="仿宋_GB2312" w:hint="eastAsia"/>
          <w:sz w:val="32"/>
          <w:szCs w:val="32"/>
          <w:lang w:val="en-US" w:eastAsia="zh-CN"/>
        </w:rPr>
        <w:t>未发现问题。</w:t>
      </w:r>
    </w:p>
    <w:p>
      <w:pPr>
        <w:numPr>
          <w:ilvl w:val="0"/>
          <w:numId w:val="1"/>
        </w:numPr>
        <w:adjustRightInd w:val="0"/>
        <w:snapToGrid w:val="0"/>
        <w:spacing w:line="580" w:lineRule="exact"/>
        <w:ind w:left="0" w:firstLineChars="200" w:firstLine="640"/>
        <w:rPr>
          <w:rFonts w:ascii="仿宋" w:eastAsia="仿宋" w:cs="Times New Roman" w:hAnsi="仿宋" w:hint="eastAsia"/>
          <w:sz w:val="32"/>
          <w:szCs w:val="32"/>
        </w:rPr>
      </w:pPr>
      <w:r>
        <w:rPr>
          <w:rFonts w:ascii="仿宋" w:eastAsia="仿宋" w:cs="Times New Roman" w:hAnsi="仿宋"/>
          <w:sz w:val="32"/>
          <w:szCs w:val="32"/>
        </w:rPr>
        <w:t>附项目支出绩效自评表</w:t>
      </w: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adjustRightInd w:val="0"/>
        <w:snapToGrid w:val="0"/>
        <w:spacing w:line="580" w:lineRule="exact"/>
        <w:ind w:leftChars="200" w:left="480"/>
        <w:rPr>
          <w:rFonts w:ascii="仿宋_GB2312" w:eastAsia="仿宋" w:cs="仿宋_GB2312" w:hAnsi="仿宋_GB2312"/>
          <w:sz w:val="32"/>
          <w:szCs w:val="32"/>
        </w:rPr>
      </w:pPr>
    </w:p>
    <w:p>
      <w:pPr>
        <w:numPr>
          <w:ilvl w:val="0"/>
          <w:numId w:val="2"/>
        </w:numPr>
        <w:adjustRightInd w:val="0"/>
        <w:snapToGrid w:val="0"/>
        <w:spacing w:line="580" w:lineRule="exact"/>
        <w:ind w:left="0"/>
        <w:rPr>
          <w:rFonts w:ascii="仿宋" w:eastAsia="仿宋" w:cs="Times New Roman" w:hAnsi="仿宋"/>
          <w:sz w:val="32"/>
          <w:szCs w:val="32"/>
        </w:rPr>
      </w:pPr>
      <w:r>
        <w:rPr>
          <w:rFonts w:ascii="仿宋" w:eastAsia="仿宋" w:cs="Times New Roman" w:hAnsi="仿宋" w:hint="eastAsia"/>
          <w:sz w:val="32"/>
          <w:szCs w:val="32"/>
          <w:lang w:eastAsia="zh-CN"/>
        </w:rPr>
        <w:t>防火经费</w:t>
      </w:r>
      <w:r>
        <w:rPr>
          <w:rFonts w:ascii="仿宋" w:eastAsia="仿宋" w:cs="Times New Roman" w:hAnsi="仿宋"/>
          <w:sz w:val="32"/>
          <w:szCs w:val="32"/>
        </w:rPr>
        <w:t>自评表</w:t>
      </w:r>
    </w:p>
    <w:p>
      <w:pPr>
        <w:adjustRightInd w:val="0"/>
        <w:snapToGrid w:val="0"/>
        <w:spacing w:line="580" w:lineRule="exact"/>
        <w:ind w:leftChars="200" w:left="480"/>
        <w:rPr>
          <w:rFonts w:ascii="仿宋_GB2312" w:eastAsia="仿宋" w:cs="仿宋_GB2312" w:hAnsi="仿宋_GB2312"/>
          <w:sz w:val="32"/>
          <w:szCs w:val="32"/>
        </w:rPr>
      </w:pPr>
      <w:r>
        <w:rPr>
          <w:rFonts w:ascii="仿宋_GB2312" w:eastAsia="仿宋" w:cs="仿宋_GB2312" w:hAnsi="仿宋_GB2312"/>
          <w:sz w:val="32"/>
          <w:szCs w:val="32"/>
        </w:rPr>
        <w:drawing>
          <wp:anchor distT="0" distB="0" distL="114300" distR="114300" simplePos="0" relativeHeight="37" behindDoc="0" locked="0" layoutInCell="1" hidden="0" allowOverlap="1">
            <wp:simplePos x="0" y="0"/>
            <wp:positionH relativeFrom="column">
              <wp:posOffset>-28575</wp:posOffset>
            </wp:positionH>
            <wp:positionV relativeFrom="paragraph">
              <wp:posOffset>166370</wp:posOffset>
            </wp:positionV>
            <wp:extent cx="5755640" cy="5197475"/>
            <wp:effectExtent l="0" t="0" r="0" b="0"/>
            <wp:wrapSquare wrapText="bothSides"/>
            <wp:docPr id="15" name="图片 15" descr="截图20251023152638"/>
            <wp:cNvGraphicFramePr>
              <a:graphicFrameLocks noChangeAspect="1"/>
            </wp:cNvGraphicFramePr>
            <a:graphic>
              <a:graphicData uri="http://schemas.openxmlformats.org/drawingml/2006/picture">
                <pic:pic>
                  <pic:nvPicPr>
                    <pic:cNvPr id="6" name="图片 6"/>
                    <pic:cNvPicPr/>
                  </pic:nvPicPr>
                  <pic:blipFill>
                    <a:blip r:embed="rId18"/>
                    <a:stretch>
                      <a:fillRect/>
                    </a:stretch>
                  </pic:blipFill>
                  <pic:spPr>
                    <a:xfrm rot="0">
                      <a:off x="0" y="0"/>
                      <a:ext cx="5755640" cy="5197475"/>
                    </a:xfrm>
                    <a:prstGeom prst="rect"/>
                    <a:noFill/>
                    <a:ln w="9525" cmpd="sng" cap="flat">
                      <a:noFill/>
                      <a:prstDash val="solid"/>
                      <a:miter/>
                    </a:ln>
                  </pic:spPr>
                </pic:pic>
              </a:graphicData>
            </a:graphic>
          </wp:anchor>
        </w:drawing>
      </w:r>
    </w:p>
    <w:p>
      <w:pPr>
        <w:widowControl/>
        <w:spacing w:before="0" w:beforeAutospacing="0" w:after="0" w:afterAutospacing="0" w:line="360" w:lineRule="auto"/>
        <w:jc w:val="left"/>
        <w:rPr>
          <w:rFonts w:ascii="Times New Roman" w:eastAsia="仿宋_GB2312" w:hAnsi="Times New Roman"/>
          <w:b/>
          <w:sz w:val="32"/>
          <w:szCs w:val="32"/>
        </w:rPr>
      </w:pPr>
    </w:p>
    <w:p>
      <w:pPr>
        <w:widowControl/>
        <w:spacing w:before="0" w:beforeAutospacing="0" w:after="0" w:afterAutospacing="0" w:line="360" w:lineRule="auto"/>
        <w:jc w:val="left"/>
        <w:rPr>
          <w:rFonts w:ascii="Times New Roman" w:eastAsia="仿宋_GB2312" w:hAnsi="Times New Roman"/>
          <w:b/>
          <w:sz w:val="32"/>
          <w:szCs w:val="32"/>
        </w:rPr>
      </w:pPr>
    </w:p>
    <w:p>
      <w:pPr>
        <w:widowControl/>
        <w:spacing w:before="0" w:beforeAutospacing="0" w:after="0" w:afterAutospacing="0" w:line="360" w:lineRule="auto"/>
        <w:jc w:val="left"/>
        <w:rPr>
          <w:rFonts w:ascii="Times New Roman" w:eastAsia="仿宋_GB2312" w:hAnsi="Times New Roman"/>
          <w:b/>
          <w:sz w:val="32"/>
          <w:szCs w:val="32"/>
        </w:rPr>
      </w:pPr>
    </w:p>
    <w:p>
      <w:pPr>
        <w:widowControl/>
        <w:spacing w:before="0" w:beforeAutospacing="0" w:after="0" w:afterAutospacing="0" w:line="360" w:lineRule="auto"/>
        <w:jc w:val="left"/>
        <w:rPr>
          <w:rFonts w:ascii="Times New Roman" w:eastAsia="仿宋_GB2312" w:hAnsi="Times New Roman"/>
          <w:b/>
          <w:sz w:val="32"/>
          <w:szCs w:val="32"/>
        </w:rPr>
      </w:pPr>
    </w:p>
    <w:p>
      <w:pPr>
        <w:widowControl/>
        <w:spacing w:before="0" w:beforeAutospacing="0" w:after="0" w:afterAutospacing="0" w:line="360" w:lineRule="auto"/>
        <w:jc w:val="left"/>
        <w:rPr>
          <w:rFonts w:ascii="Times New Roman" w:eastAsia="仿宋_GB2312" w:hAnsi="Times New Roman"/>
          <w:b/>
          <w:sz w:val="32"/>
          <w:szCs w:val="32"/>
        </w:rPr>
      </w:pPr>
    </w:p>
    <w:p>
      <w:pPr>
        <w:widowControl/>
        <w:numPr>
          <w:ilvl w:val="0"/>
          <w:numId w:val="2"/>
        </w:numPr>
        <w:spacing w:before="0" w:beforeAutospacing="0" w:after="0" w:afterAutospacing="0" w:line="360" w:lineRule="auto"/>
        <w:ind w:left="0" w:firstLine="0"/>
        <w:jc w:val="left"/>
        <w:rPr>
          <w:rFonts w:ascii="仿宋" w:eastAsia="仿宋" w:cs="Times New Roman" w:hAnsi="仿宋" w:hint="eastAsia"/>
          <w:sz w:val="32"/>
          <w:szCs w:val="32"/>
          <w:lang w:eastAsia="zh-CN"/>
        </w:rPr>
      </w:pPr>
      <w:r>
        <w:rPr>
          <w:rFonts w:ascii="仿宋" w:eastAsia="仿宋" w:cs="Times New Roman" w:hAnsi="仿宋" w:hint="eastAsia"/>
          <w:sz w:val="32"/>
          <w:szCs w:val="32"/>
          <w:lang w:eastAsia="zh-CN"/>
        </w:rPr>
        <w:t>碣石山景观大道生态林业绿化工程自评表</w:t>
      </w:r>
    </w:p>
    <w:p>
      <w:pPr>
        <w:widowControl/>
        <w:spacing w:before="0" w:beforeAutospacing="0" w:after="0" w:afterAutospacing="0" w:line="360" w:lineRule="auto"/>
        <w:jc w:val="left"/>
        <w:rPr>
          <w:rFonts w:ascii="仿宋" w:eastAsia="仿宋" w:cs="Times New Roman" w:hAnsi="仿宋" w:hint="eastAsia"/>
          <w:sz w:val="32"/>
          <w:szCs w:val="32"/>
          <w:lang w:eastAsia="zh-CN"/>
        </w:rPr>
      </w:pPr>
      <w:r>
        <w:rPr>
          <w:rFonts w:ascii="仿宋" w:eastAsia="仿宋" w:cs="Times New Roman" w:hAnsi="仿宋" w:hint="eastAsia"/>
          <w:sz w:val="32"/>
          <w:szCs w:val="32"/>
          <w:lang w:eastAsia="zh-CN"/>
        </w:rPr>
        <w:drawing>
          <wp:anchor distT="0" distB="0" distL="114300" distR="114300" simplePos="0" relativeHeight="39" behindDoc="0" locked="0" layoutInCell="1" hidden="0" allowOverlap="1">
            <wp:simplePos x="0" y="0"/>
            <wp:positionH relativeFrom="column">
              <wp:posOffset>0</wp:posOffset>
            </wp:positionH>
            <wp:positionV relativeFrom="paragraph">
              <wp:posOffset>238759</wp:posOffset>
            </wp:positionV>
            <wp:extent cx="5755005" cy="5074285"/>
            <wp:effectExtent l="0" t="0" r="0" b="0"/>
            <wp:wrapSquare wrapText="bothSides"/>
            <wp:docPr id="16" name="图片 16" descr="截图20251023152753"/>
            <wp:cNvGraphicFramePr>
              <a:graphicFrameLocks noChangeAspect="1"/>
            </wp:cNvGraphicFramePr>
            <a:graphic>
              <a:graphicData uri="http://schemas.openxmlformats.org/drawingml/2006/picture">
                <pic:pic>
                  <pic:nvPicPr>
                    <pic:cNvPr id="8" name="图片 8"/>
                    <pic:cNvPicPr/>
                  </pic:nvPicPr>
                  <pic:blipFill>
                    <a:blip r:embed="rId19"/>
                    <a:stretch>
                      <a:fillRect/>
                    </a:stretch>
                  </pic:blipFill>
                  <pic:spPr>
                    <a:xfrm rot="0">
                      <a:off x="0" y="0"/>
                      <a:ext cx="5755005" cy="5074285"/>
                    </a:xfrm>
                    <a:prstGeom prst="rect"/>
                    <a:noFill/>
                    <a:ln w="9525" cmpd="sng" cap="flat">
                      <a:noFill/>
                      <a:prstDash val="solid"/>
                      <a:miter/>
                    </a:ln>
                  </pic:spPr>
                </pic:pic>
              </a:graphicData>
            </a:graphic>
          </wp:anchor>
        </w:drawing>
      </w:r>
    </w:p>
    <w:p>
      <w:pPr>
        <w:widowControl/>
        <w:spacing w:before="0" w:beforeAutospacing="0" w:after="0" w:afterAutospacing="0" w:line="360" w:lineRule="auto"/>
        <w:jc w:val="left"/>
        <w:rPr>
          <w:rFonts w:ascii="Times New Roman" w:eastAsia="仿宋_GB2312" w:hAnsi="Times New Roman"/>
          <w:b/>
          <w:sz w:val="32"/>
          <w:szCs w:val="3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Chars="200" w:firstLine="640"/>
        <w:jc w:val="left"/>
        <w:textAlignment w:val="auto"/>
        <w:rPr>
          <w:rFonts w:ascii="Times New Roman" w:eastAsia="仿宋_GB2312" w:hAnsi="Times New Roman"/>
          <w:b/>
          <w:sz w:val="32"/>
          <w:szCs w:val="32"/>
        </w:rPr>
      </w:pPr>
      <w:r>
        <w:rPr>
          <w:rFonts w:ascii="Times New Roman" w:eastAsia="仿宋_GB2312" w:hAnsi="Times New Roman" w:hint="eastAsia"/>
          <w:b/>
          <w:sz w:val="32"/>
          <w:szCs w:val="32"/>
          <w:lang w:eastAsia="zh-CN"/>
        </w:rPr>
        <w:t>（三）</w:t>
      </w:r>
      <w:r>
        <w:rPr>
          <w:rFonts w:ascii="Times New Roman" w:eastAsia="仿宋_GB2312" w:hAnsi="Times New Roman"/>
          <w:b/>
          <w:sz w:val="32"/>
          <w:szCs w:val="32"/>
        </w:rPr>
        <w:t>部门评价项目绩效评价结果</w:t>
      </w:r>
    </w:p>
    <w:p>
      <w:pPr>
        <w:widowControl/>
        <w:spacing w:before="0" w:beforeAutospacing="0" w:after="0" w:afterAutospacing="0" w:line="360" w:lineRule="auto"/>
        <w:ind w:left="0" w:firstLineChars="300" w:firstLine="960"/>
        <w:jc w:val="left"/>
        <w:rPr>
          <w:rFonts w:ascii="Times New Roman" w:eastAsia="仿宋_GB2312" w:hAnsi="Times New Roman"/>
          <w:sz w:val="32"/>
          <w:szCs w:val="32"/>
        </w:rPr>
      </w:pPr>
      <w:r>
        <w:rPr>
          <w:rFonts w:eastAsia="仿宋" w:cs="仿宋_GB2312" w:hAnsi="仿宋_GB2312"/>
          <w:sz w:val="32"/>
          <w:szCs w:val="32"/>
          <w:highlight w:val="none"/>
        </w:rPr>
        <w:t>无部门评价项目绩效评价结果。</w:t>
      </w:r>
    </w:p>
    <w:p>
      <w:pPr>
        <w:widowControl/>
        <w:spacing w:before="0" w:beforeAutospacing="0" w:after="0" w:afterAutospacing="0" w:line="360" w:lineRule="auto"/>
        <w:ind w:firstLineChars="200" w:firstLine="640"/>
        <w:jc w:val="left"/>
        <w:rPr>
          <w:rFonts w:ascii="Times New Roman" w:eastAsia="黑体" w:hAnsi="Times New Roman"/>
          <w:b w:val="0"/>
          <w:sz w:val="32"/>
          <w:szCs w:val="32"/>
        </w:rPr>
      </w:pPr>
    </w:p>
    <w:p>
      <w:pPr>
        <w:widowControl/>
        <w:spacing w:before="0" w:beforeAutospacing="0" w:after="0" w:afterAutospacing="0" w:line="360" w:lineRule="auto"/>
        <w:ind w:firstLineChars="200" w:firstLine="640"/>
        <w:jc w:val="left"/>
        <w:rPr>
          <w:rFonts w:ascii="Times New Roman" w:eastAsia="黑体" w:hAnsi="Times New Roman"/>
          <w:sz w:val="32"/>
          <w:szCs w:val="32"/>
        </w:rPr>
      </w:pPr>
      <w:r>
        <w:rPr>
          <w:rFonts w:ascii="Times New Roman" w:eastAsia="黑体" w:hAnsi="Times New Roman"/>
          <w:b w:val="0"/>
          <w:sz w:val="32"/>
          <w:szCs w:val="32"/>
        </w:rPr>
        <w:t>十、其他需要说明的情况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1.本部门2024年度国有资本经营预算财政拨款支出决算表（公开08表）无相应收支，故空表列示。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由于决算公开表格中金额数值应当保留两位小数，公开数据为四舍五入计算结果，个别数据合计项与分项之和存在小数点后差额，特此说明。</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第四部分 名词解释</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一、财政拨款收入：</w:t>
      </w:r>
      <w:r>
        <w:rPr>
          <w:rFonts w:ascii="Times New Roman" w:eastAsia="仿宋_GB2312" w:hAnsi="Times New Roman"/>
          <w:b w:val="0"/>
          <w:sz w:val="32"/>
          <w:szCs w:val="32"/>
        </w:rPr>
        <w:t>指单位从同级财政部门取得的财政预算资金。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二、事业收入：</w:t>
      </w:r>
      <w:r>
        <w:rPr>
          <w:rFonts w:ascii="Times New Roman" w:eastAsia="仿宋_GB2312" w:hAnsi="Times New Roman"/>
          <w:b w:val="0"/>
          <w:sz w:val="32"/>
          <w:szCs w:val="32"/>
        </w:rPr>
        <w:t>指事业单位开展专业业务活动及辅助活动取得的收入。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三、经营收入：</w:t>
      </w:r>
      <w:r>
        <w:rPr>
          <w:rFonts w:ascii="Times New Roman" w:eastAsia="仿宋_GB2312" w:hAnsi="Times New Roman"/>
          <w:b w:val="0"/>
          <w:sz w:val="32"/>
          <w:szCs w:val="32"/>
        </w:rPr>
        <w:t>指事业单位在专业业务活动及其辅助活动之外开展非独立核算经营活动取得的收入。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四、其他收入：</w:t>
      </w:r>
      <w:r>
        <w:rPr>
          <w:rFonts w:ascii="Times New Roman" w:eastAsia="仿宋_GB2312" w:hAnsi="Times New Roman"/>
          <w:b w:val="0"/>
          <w:sz w:val="32"/>
          <w:szCs w:val="32"/>
        </w:rPr>
        <w:t>指单位取得的除上述收入以外的各项收入。主要是事业单位固定资产出租收入、存款利息收入等。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五、使用非财政拨款结余（含专用结余）：</w:t>
      </w:r>
      <w:r>
        <w:rPr>
          <w:rFonts w:ascii="Times New Roman" w:eastAsia="仿宋_GB2312" w:hAnsi="Times New Roman"/>
          <w:b w:val="0"/>
          <w:sz w:val="32"/>
          <w:szCs w:val="32"/>
        </w:rPr>
        <w:t>指事业单位按照预算管理要求使用非财政拨款结余弥补收支差额的金额，以及使用专用结余安排支出的金额。</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六、年初结转和结余：</w:t>
      </w:r>
      <w:r>
        <w:rPr>
          <w:rFonts w:ascii="Times New Roman" w:eastAsia="仿宋_GB2312" w:hAnsi="Times New Roman"/>
          <w:b w:val="0"/>
          <w:sz w:val="32"/>
          <w:szCs w:val="32"/>
        </w:rPr>
        <w:t>指单位以前年度尚未完成、结转到本年仍按原规定用途继续使用的资金，或项目已完成等产生的结余资金。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七、结余分配：</w:t>
      </w:r>
      <w:r>
        <w:rPr>
          <w:rFonts w:ascii="Times New Roman" w:eastAsia="仿宋_GB2312" w:hAnsi="Times New Roman"/>
          <w:b w:val="0"/>
          <w:sz w:val="32"/>
          <w:szCs w:val="32"/>
        </w:rPr>
        <w:t>指事业单位按照会计制度规定缴纳的所得税、提取的专用结余以及转入非财政拨款结余的金额等。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八、年末结转和结余：</w:t>
      </w:r>
      <w:r>
        <w:rPr>
          <w:rFonts w:ascii="Times New Roman" w:eastAsia="仿宋_GB2312" w:hAnsi="Times New Roman"/>
          <w:b w:val="0"/>
          <w:sz w:val="32"/>
          <w:szCs w:val="32"/>
        </w:rPr>
        <w:t>指单位按有关规定结转到下年或以后年度继续使用的资金，或项目已完成等产生的结余资金。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九、基本支出：</w:t>
      </w:r>
      <w:r>
        <w:rPr>
          <w:rFonts w:ascii="Times New Roman" w:eastAsia="仿宋_GB2312" w:hAnsi="Times New Roman"/>
          <w:b w:val="0"/>
          <w:sz w:val="32"/>
          <w:szCs w:val="32"/>
        </w:rPr>
        <w:t>指为保障机构正常运转、完成日常工作任务而发生的人员支出和公用支出。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十、项目支出：</w:t>
      </w:r>
      <w:r>
        <w:rPr>
          <w:rFonts w:ascii="Times New Roman" w:eastAsia="仿宋_GB2312" w:hAnsi="Times New Roman"/>
          <w:b w:val="0"/>
          <w:sz w:val="32"/>
          <w:szCs w:val="32"/>
        </w:rPr>
        <w:t>指在基本支出之外为完成特定行政任务和事业发展目标所发生的支出。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十一、经营支出 ：</w:t>
      </w:r>
      <w:r>
        <w:rPr>
          <w:rFonts w:ascii="Times New Roman" w:eastAsia="仿宋_GB2312" w:hAnsi="Times New Roman"/>
          <w:b w:val="0"/>
          <w:sz w:val="32"/>
          <w:szCs w:val="32"/>
        </w:rPr>
        <w:t>指事业单位在专业业务活动及其辅助活动之外开展非独立核算经营活动发生的支出。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十二、基本建设支出：</w:t>
      </w:r>
      <w:r>
        <w:rPr>
          <w:rFonts w:ascii="Times New Roman" w:eastAsia="仿宋_GB2312" w:hAnsi="Times New Roman"/>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十三、其他资本性支出：</w:t>
      </w:r>
      <w:r>
        <w:rPr>
          <w:rFonts w:ascii="Times New Roman" w:eastAsia="仿宋_GB2312" w:hAnsi="Times New Roman"/>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十四、“三公”经费：</w:t>
      </w:r>
      <w:r>
        <w:rPr>
          <w:rFonts w:ascii="Times New Roman" w:eastAsia="仿宋_GB2312" w:hAnsi="Times New Roman"/>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十五、其他交通费用：</w:t>
      </w:r>
      <w:r>
        <w:rPr>
          <w:rFonts w:ascii="Times New Roman" w:eastAsia="仿宋_GB2312" w:hAnsi="Times New Roman"/>
          <w:b w:val="0"/>
          <w:sz w:val="32"/>
          <w:szCs w:val="32"/>
        </w:rPr>
        <w:t>填列单位除公务用车运行维护费以外的其他交通费用。如公务交通补贴、租车费用、出租车费用，飞机、船舶等燃料费、维修费、保险费等。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十六、公务用车购置：</w:t>
      </w:r>
      <w:r>
        <w:rPr>
          <w:rFonts w:ascii="Times New Roman" w:eastAsia="仿宋_GB2312" w:hAnsi="Times New Roman"/>
          <w:b w:val="0"/>
          <w:sz w:val="32"/>
          <w:szCs w:val="32"/>
        </w:rPr>
        <w:t>填列单位公务用车车辆购置支出（含车辆购置税、牌照费）。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十七、其他交通工具购置：</w:t>
      </w:r>
      <w:r>
        <w:rPr>
          <w:rFonts w:ascii="Times New Roman" w:eastAsia="仿宋_GB2312" w:hAnsi="Times New Roman"/>
          <w:b w:val="0"/>
          <w:sz w:val="32"/>
          <w:szCs w:val="32"/>
        </w:rPr>
        <w:t>填列单位除公务用车外的其他各类交通工具（如船舶、飞机等）购置支出（含车辆购置税、牌照费）。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十八、机关运行经费：</w:t>
      </w:r>
      <w:r>
        <w:rPr>
          <w:rFonts w:ascii="Times New Roman" w:eastAsia="仿宋_GB2312" w:hAnsi="Times New Roman"/>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w:type="default" r:id="rId11"/>
      <w:pgSz w:w="11906" w:h="16838"/>
      <w:pgMar w:top="2098" w:right="1417" w:bottom="1871" w:left="1417" w:header="851" w:footer="992" w:gutter="0"/>
      <w:pgBorders>
        <w:top w:val="none" w:sz="0" w:space="0" w:color="auto"/>
        <w:left w:val="none" w:sz="0" w:space="0" w:color="auto"/>
        <w:bottom w:val="none" w:sz="0" w:space="0" w:color="auto"/>
        <w:right w:val="none" w:sz="0" w:space="0" w:color="auto"/>
      </w:pgBorders>
      <w:pgNumType w:start="1"/>
      <w:cols w:num="1" w:space="0"/>
      <w:rtlGutter/>
      <w:docGrid w:type="lines" w:linePitch="329"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楷体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ArialUnicodeMS">
    <w:altName w:val="Malgun Gothic"/>
    <w:panose1 w:val="00000000000000000000"/>
    <w:charset w:val="81"/>
    <w:family w:val="auto"/>
    <w:pitch w:val="variable"/>
    <w:sig w:usb0="00000000" w:usb1="00000000" w:usb2="00000010" w:usb3="00000000" w:csb0="00080001" w:csb1="00000000"/>
  </w:font>
  <w:font w:name="Calibri">
    <w:panose1 w:val="020F0502020204030204"/>
    <w:charset w:val="00"/>
    <w:family w:val="swiss"/>
    <w:pitch w:val="variable"/>
    <w:sig w:usb0="E00002FF" w:usb1="4000ACFF" w:usb2="00000001" w:usb3="00000000" w:csb0="2000019F" w:csb1="00000000"/>
  </w:font>
  <w:font w:name="方正仿宋_GB2312">
    <w:altName w:val="仿宋"/>
    <w:panose1 w:val="02000000000000000000"/>
    <w:charset w:val="86"/>
    <w:family w:val="auto"/>
    <w:pitch w:val="variable"/>
    <w:sig w:usb0="A00002BF" w:usb1="184F6CFA" w:usb2="00000012" w:usb3="00000000" w:csb0="0004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Calibri Light">
    <w:panose1 w:val="020F0302020204030204"/>
    <w:charset w:val="00"/>
    <w:family w:val="auto"/>
    <w:pitch w:val="variable"/>
    <w:sig w:usb0="A00002EF" w:usb1="4000207B" w:usb2="00000000" w:usb3="00000000" w:csb0="2000019F" w:csb1="00000000"/>
  </w:font>
  <w:font w:name="华文中宋">
    <w:altName w:val="宋体"/>
    <w:panose1 w:val="02010600040101010101"/>
    <w:charset w:val="86"/>
    <w:family w:val="auto"/>
    <w:pitch w:val="variable"/>
    <w:sig w:usb0="00000000" w:usb1="0000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singleLevel"/>
    <w:tmpl w:val="00000001"/>
    <w:lvl w:ilvl="0">
      <w:start w:val="1"/>
      <w:numFmt w:val="decimal"/>
      <w:lvlRestart w:val="0"/>
      <w:suff w:val="nothing"/>
      <w:lvlText w:val="（%1）"/>
      <w:lvlJc w:val="left"/>
      <w:pPr/>
    </w:lvl>
  </w:abstractNum>
  <w:abstractNum w:abstractNumId="1">
    <w:nsid w:val="D582D8DB"/>
    <w:multiLevelType w:val="multilevel"/>
    <w:tmpl w:val="D582D8DB"/>
    <w:lvl w:ilvl="0">
      <w:start w:val="1"/>
      <w:numFmt w:val="decimal"/>
      <w:lvlRestart w:val="0"/>
      <w:lvlText w:val="%1、"/>
      <w:lvlJc w:val="left"/>
      <w:pPr>
        <w:tabs>
          <w:tab w:val="num" w:pos="0"/>
        </w:tabs>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ADF164F"/>
    <w:multiLevelType w:val="multilevel"/>
    <w:tmpl w:val="5F16A424"/>
    <w:lvl w:ilvl="0">
      <w:start w:val="1"/>
      <w:numFmt w:val="decimal"/>
      <w:lvlRestart w:val="0"/>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1"/>
  <w:displayBackgroundShape/>
  <w:bordersDoNotSurroundHeader w:val="0"/>
  <w:bordersDoNotSurroundFooter w:val="0"/>
  <w:defaultTabStop w:val="420"/>
  <w:drawingGridHorizontalSpacing w:val="120"/>
  <w:drawingGridVerticalSpacing w:val="165"/>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jb3VudCI6NzAsImhkaWQiOiJlOTIzOWVlNzJlMmU4YjBkMGJlMDU3OGNiOWI3ZmFhZCIsInVzZXJDb3VudCI6MX0="/>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宋体" w:hAnsi="Calibri"/>
      <w:color w:val="auto"/>
      <w:kern w:val="0"/>
      <w:sz w:val="24"/>
      <w:szCs w:val="24"/>
      <w:lang w:val="en-US" w:eastAsia="zh-CN" w:bidi="ar-SA"/>
    </w:rPr>
  </w:style>
  <w:style w:type="paragraph" w:styleId="1">
    <w:name w:val="heading 1"/>
    <w:qFormat/>
    <w:basedOn w:val="0"/>
    <w:next w:val="0"/>
    <w:link w:val="1Char"/>
    <w:pPr>
      <w:keepNext/>
      <w:keepLines/>
      <w:numPr>
        <w:ilvl w:val="0"/>
        <w:numId w:val="3"/>
      </w:numPr>
      <w:adjustRightInd w:val="0"/>
      <w:snapToGrid w:val="0"/>
      <w:spacing w:before="340" w:afterLines="50" w:after="50" w:line="578" w:lineRule="auto"/>
      <w:ind w:left="425" w:hanging="425"/>
      <w:jc w:val="left"/>
      <w:outlineLvl w:val="0"/>
    </w:pPr>
    <w:rPr>
      <w:rFonts w:ascii="Times New Roman" w:eastAsia="仿宋" w:cs="Times New Roman" w:hAnsi="Times New Roman"/>
      <w:b/>
      <w:bCs/>
      <w:kern w:val="44"/>
      <w:sz w:val="36"/>
      <w:szCs w:val="44"/>
    </w:rPr>
  </w:style>
  <w:style w:type="character" w:customStyle="1" w:styleId="1Char">
    <w:name w:val="heading 1 Char"/>
    <w:basedOn w:val="10"/>
    <w:link w:val="1"/>
    <w:rPr>
      <w:rFonts w:ascii="Times New Roman" w:eastAsia="仿宋" w:cs="Times New Roman" w:hAnsi="Times New Roman"/>
      <w:b/>
      <w:bCs/>
      <w:color w:val="auto"/>
      <w:kern w:val="44"/>
      <w:sz w:val="36"/>
      <w:szCs w:val="44"/>
      <w:lang w:val="en-US" w:eastAsia="zh-CN" w:bidi="ar-SA"/>
    </w:rPr>
  </w:style>
  <w:style w:type="paragraph" w:styleId="2">
    <w:name w:val="heading 2"/>
    <w:qFormat/>
    <w:basedOn w:val="0"/>
    <w:next w:val="0"/>
    <w:link w:val="2Char"/>
    <w:pPr>
      <w:widowControl w:val="0"/>
      <w:numPr>
        <w:ilvl w:val="1"/>
        <w:numId w:val="3"/>
      </w:numPr>
      <w:spacing w:line="415" w:lineRule="auto"/>
      <w:ind w:left="567" w:hanging="567"/>
      <w:outlineLvl w:val="1"/>
    </w:pPr>
    <w:rPr>
      <w:rFonts w:ascii="Calibri Light" w:eastAsia="宋体" w:cs="Times New Roman" w:hAnsi="Calibri Light"/>
      <w:b/>
      <w:bCs/>
      <w:sz w:val="28"/>
      <w:szCs w:val="32"/>
    </w:rPr>
  </w:style>
  <w:style w:type="character" w:customStyle="1" w:styleId="2Char">
    <w:name w:val="heading 2 Char"/>
    <w:basedOn w:val="10"/>
    <w:link w:val="2"/>
    <w:rPr>
      <w:rFonts w:ascii="Calibri Light" w:eastAsia="宋体" w:cs="Times New Roman" w:hAnsi="Calibri Light"/>
      <w:b/>
      <w:bCs/>
      <w:color w:val="auto"/>
      <w:kern w:val="0"/>
      <w:sz w:val="28"/>
      <w:szCs w:val="32"/>
      <w:lang w:val="en-US" w:eastAsia="zh-CN" w:bidi="ar-SA"/>
    </w:rPr>
  </w:style>
  <w:style w:type="paragraph" w:styleId="3">
    <w:name w:val="heading 3"/>
    <w:qFormat/>
    <w:basedOn w:val="0"/>
    <w:next w:val="0"/>
    <w:link w:val="3Char"/>
    <w:pPr>
      <w:keepNext/>
      <w:keepLines/>
      <w:numPr>
        <w:ilvl w:val="2"/>
        <w:numId w:val="3"/>
      </w:numPr>
      <w:spacing w:beforeLines="50" w:before="50" w:afterLines="50" w:after="50" w:line="415" w:lineRule="auto"/>
      <w:outlineLvl w:val="2"/>
    </w:pPr>
    <w:rPr>
      <w:rFonts w:ascii="宋体" w:eastAsia="宋体" w:cs="宋体" w:hAnsi="宋体"/>
      <w:b/>
      <w:bCs/>
      <w:sz w:val="32"/>
    </w:rPr>
  </w:style>
  <w:style w:type="character" w:customStyle="1" w:styleId="3Char">
    <w:name w:val="heading 3 Char"/>
    <w:basedOn w:val="10"/>
    <w:link w:val="3"/>
    <w:rPr>
      <w:rFonts w:ascii="宋体" w:eastAsia="宋体" w:cs="宋体" w:hAnsi="宋体"/>
      <w:b/>
      <w:bCs/>
      <w:color w:val="auto"/>
      <w:kern w:val="0"/>
      <w:sz w:val="32"/>
      <w:szCs w:val="24"/>
      <w:lang w:val="en-US" w:eastAsia="zh-CN" w:bidi="ar-SA"/>
    </w:rPr>
  </w:style>
  <w:style w:type="paragraph" w:styleId="4">
    <w:name w:val="heading 4"/>
    <w:qFormat/>
    <w:basedOn w:val="0"/>
    <w:next w:val="0"/>
    <w:link w:val="4Char"/>
    <w:pPr>
      <w:keepNext/>
      <w:keepLines/>
      <w:numPr>
        <w:ilvl w:val="3"/>
        <w:numId w:val="3"/>
      </w:numPr>
      <w:spacing w:before="120" w:after="120"/>
      <w:outlineLvl w:val="3"/>
    </w:pPr>
    <w:rPr>
      <w:rFonts w:ascii="Calibri Light" w:eastAsia="宋体" w:cs="Times New Roman" w:hAnsi="Calibri Light"/>
      <w:b/>
      <w:bCs/>
      <w:sz w:val="28"/>
      <w:szCs w:val="28"/>
    </w:rPr>
  </w:style>
  <w:style w:type="character" w:customStyle="1" w:styleId="4Char">
    <w:name w:val="heading 4 Char"/>
    <w:basedOn w:val="10"/>
    <w:link w:val="4"/>
    <w:rPr>
      <w:rFonts w:ascii="Calibri Light" w:eastAsia="宋体" w:cs="Times New Roman" w:hAnsi="Calibri Light"/>
      <w:b/>
      <w:bCs/>
      <w:color w:val="auto"/>
      <w:kern w:val="0"/>
      <w:sz w:val="28"/>
      <w:szCs w:val="28"/>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alloon Text"/>
    <w:qFormat/>
    <w:basedOn w:val="0"/>
    <w:rPr>
      <w:rFonts w:cs="Arial"/>
      <w:kern w:val="2"/>
      <w:sz w:val="18"/>
      <w:szCs w:val="18"/>
    </w:rPr>
  </w:style>
  <w:style w:type="paragraph" w:styleId="17">
    <w:name w:val="footer"/>
    <w:qFormat/>
    <w:basedOn w:val="0"/>
    <w:pPr>
      <w:tabs>
        <w:tab w:val="center" w:pos="4153"/>
        <w:tab w:val="right" w:pos="8306"/>
      </w:tabs>
      <w:snapToGrid w:val="0"/>
      <w:jc w:val="left"/>
    </w:pPr>
    <w:rPr>
      <w:rFonts w:cs="Arial"/>
      <w:kern w:val="2"/>
      <w:sz w:val="18"/>
      <w:szCs w:val="18"/>
    </w:rPr>
  </w:style>
  <w:style w:type="paragraph" w:styleId="18">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Arial"/>
      <w:kern w:val="2"/>
      <w:sz w:val="18"/>
      <w:szCs w:val="18"/>
    </w:rPr>
  </w:style>
  <w:style w:type="paragraph" w:styleId="19">
    <w:name w:val="Normal (Web)"/>
    <w:qFormat/>
    <w:basedOn w:val="0"/>
    <w:pPr>
      <w:spacing w:before="0" w:beforeAutospacing="1" w:after="0" w:afterAutospacing="1"/>
      <w:ind w:left="0" w:right="0"/>
      <w:jc w:val="left"/>
    </w:pPr>
    <w:rPr>
      <w:kern w:val="0"/>
      <w:sz w:val="24"/>
      <w:lang w:val="en-US" w:eastAsia="zh-CN"/>
    </w:rPr>
  </w:style>
  <w:style w:type="character" w:styleId="20">
    <w:name w:val="Strong"/>
    <w:qFormat/>
    <w:basedOn w:val="10"/>
    <w:rPr>
      <w:b/>
    </w:rPr>
  </w:style>
  <w:style w:type="character" w:customStyle="1" w:yozoId="4094" w:styleId="21">
    <w:name w:val="font11"/>
    <w:qFormat/>
    <w:basedOn w:val="10"/>
    <w:rPr>
      <w:rFonts w:ascii="宋体" w:eastAsia="宋体" w:cs="宋体" w:hAnsi="宋体"/>
      <w:color w:val="000000"/>
      <w:sz w:val="20"/>
      <w:szCs w:val="20"/>
      <w:u w:val="none"/>
      <w:lang w:val="en-US" w:eastAsia="zh-CN" w:bidi="ar-SA"/>
    </w:rPr>
  </w:style>
  <w:style w:type="character" w:customStyle="1" w:yozoId="4094" w:styleId="22">
    <w:name w:val="font01"/>
    <w:qFormat/>
    <w:basedOn w:val="10"/>
    <w:rPr>
      <w:rFonts w:ascii="宋体" w:eastAsia="宋体" w:cs="宋体" w:hAnsi="宋体"/>
      <w:color w:val="000000"/>
      <w:sz w:val="22"/>
      <w:szCs w:val="22"/>
      <w:u w:val="none"/>
      <w:lang w:val="en-US" w:eastAsia="zh-CN" w:bidi="ar-SA"/>
    </w:rPr>
  </w:style>
  <w:style w:type="character" w:customStyle="1" w:yozoId="4094" w:styleId="23">
    <w:name w:val="font41"/>
    <w:qFormat/>
    <w:basedOn w:val="10"/>
    <w:rPr>
      <w:rFonts w:ascii="宋体" w:eastAsia="宋体" w:cs="宋体" w:hAnsi="宋体"/>
      <w:color w:val="000000"/>
      <w:sz w:val="24"/>
      <w:szCs w:val="24"/>
      <w:u w:val="none"/>
      <w:lang w:val="en-US" w:eastAsia="zh-CN" w:bidi="ar-SA"/>
    </w:rPr>
  </w:style>
  <w:style w:type="character" w:customStyle="1" w:yozoId="4094" w:styleId="24">
    <w:name w:val="font31"/>
    <w:qFormat/>
    <w:basedOn w:val="10"/>
    <w:rPr>
      <w:rFonts w:ascii="华文中宋" w:eastAsia="华文中宋" w:cs="华文中宋" w:hAnsi="华文中宋"/>
      <w:color w:val="000000"/>
      <w:sz w:val="32"/>
      <w:szCs w:val="32"/>
      <w:u w:val="none"/>
      <w:lang w:val="en-US" w:eastAsia="zh-CN" w:bidi="ar-SA"/>
    </w:rPr>
  </w:style>
  <w:style w:type="character" w:customStyle="1" w:yozoId="4094" w:styleId="25">
    <w:name w:val="font91"/>
    <w:qFormat/>
    <w:basedOn w:val="10"/>
    <w:rPr>
      <w:rFonts w:ascii="华文中宋" w:eastAsia="华文中宋" w:cs="华文中宋" w:hAnsi="华文中宋"/>
      <w:color w:val="000000"/>
      <w:sz w:val="32"/>
      <w:szCs w:val="32"/>
      <w:u w:val="none"/>
      <w:lang w:val="en-US" w:eastAsia="zh-CN" w:bidi="ar-SA"/>
    </w:rPr>
  </w:style>
  <w:style w:type="character" w:customStyle="1" w:yozoId="4094" w:styleId="26">
    <w:name w:val="font51"/>
    <w:qFormat/>
    <w:basedOn w:val="10"/>
    <w:rPr>
      <w:rFonts w:ascii="宋体" w:eastAsia="宋体" w:cs="宋体" w:hAnsi="宋体"/>
      <w:color w:val="000000"/>
      <w:sz w:val="24"/>
      <w:szCs w:val="24"/>
      <w:u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1.jpeg"/><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image" Target="media/5.png"/><Relationship Id="rId19" Type="http://schemas.openxmlformats.org/officeDocument/2006/relationships/image" Target="media/7.png"/><Relationship Id="rId20" Type="http://schemas.openxmlformats.org/officeDocument/2006/relationships/styles" Target="styl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customXml" Target="../customXml/item1.xml"/><Relationship Id="rId2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1 </a:t>
            </a:r>
            <a:r>
              <a:rPr lang="zh-CN" sz="1400" b="1" i="0" u="none" strike="noStrike" baseline="0">
                <a:solidFill>
                  <a:srgbClr val="404040"/>
                </a:solidFill>
                <a:latin typeface="Calibri"/>
                <a:ea typeface="宋体"/>
                <a:cs typeface="Arial"/>
              </a:rPr>
              <a:t>： </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年收支总计对比图（万元）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695.19</c:v>
                </c:pt>
                <c:pt idx="1">
                  <c:v>7003.34</c:v>
                </c:pt>
              </c:numCache>
            </c:numRef>
          </c:val>
        </c:ser>
        <c:overlap val="-28"/>
        <c:gapWidth val="246"/>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2 </a:t>
            </a:r>
            <a:r>
              <a:rPr lang="zh-CN" sz="1400" b="1" i="0" u="none" strike="noStrike" baseline="0">
                <a:solidFill>
                  <a:srgbClr val="404040"/>
                </a:solidFill>
                <a:latin typeface="Calibri"/>
                <a:ea typeface="宋体"/>
                <a:cs typeface="Arial"/>
              </a:rPr>
              <a:t>：收入决算构成情况图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2012555"/>
                  <c:y val="0.7269071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1"/>
              <c:layout>
                <c:manualLayout>
                  <c:x val="-0.3080455"/>
                  <c:y val="0.639146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2"/>
              <c:layout>
                <c:manualLayout>
                  <c:x val="0.40541184"/>
                  <c:y val="0.1718550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3"/>
              <c:layout>
                <c:manualLayout>
                  <c:x val="-0.28690514"/>
                  <c:y val="0.2702507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4"/>
              <c:layout>
                <c:manualLayout>
                  <c:x val="-0.29898536"/>
                  <c:y val="0.4491606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5"/>
              <c:layout>
                <c:manualLayout>
                  <c:x val="-0.28847557"/>
                  <c:y val="0.124165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Pos val="ctr"/>
            <c:showLegendKey val="1"/>
            <c:showVal val="0"/>
            <c:showCatName val="1"/>
            <c:showSerName val="0"/>
            <c:showPercent val="1"/>
            <c:showBubbleSize val="0"/>
            <c:separator> </c:separator>
            <c:showLeaderLines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7.003336826E7</c:v>
                </c:pt>
                <c:pt idx="1">
                  <c:v>0.0</c:v>
                </c:pt>
                <c:pt idx="2">
                  <c:v>0.0</c:v>
                </c:pt>
                <c:pt idx="3">
                  <c:v>0.0</c:v>
                </c:pt>
                <c:pt idx="4">
                  <c:v>0.0</c:v>
                </c:pt>
                <c:pt idx="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3 </a:t>
            </a:r>
            <a:r>
              <a:rPr lang="zh-CN" sz="1400" b="1" i="0" u="none" strike="noStrike" baseline="0">
                <a:solidFill>
                  <a:srgbClr val="404040"/>
                </a:solidFill>
                <a:latin typeface="Calibri"/>
                <a:ea typeface="宋体"/>
                <a:cs typeface="Arial"/>
              </a:rPr>
              <a:t>：支出决算构成情况图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4621888"/>
                  <c:y val="0.71546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1"/>
              <c:layout>
                <c:manualLayout>
                  <c:x val="0.35709593"/>
                  <c:y val="0.09793837"/>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2"/>
              <c:layout>
                <c:manualLayout>
                  <c:x val="-0.29270354"/>
                  <c:y val="0.2668933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3"/>
              <c:layout>
                <c:manualLayout>
                  <c:x val="-0.31523567"/>
                  <c:y val="0.468316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4"/>
              <c:layout>
                <c:manualLayout>
                  <c:x val="-0.27355897"/>
                  <c:y val="0.718210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showLegendKey val="1"/>
            <c:showVal val="0"/>
            <c:showCatName val="1"/>
            <c:showSerName val="0"/>
            <c:showPercent val="1"/>
            <c:showBubbleSize val="0"/>
            <c:showLeaderLines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2283368.26</c:v>
                </c:pt>
                <c:pt idx="1">
                  <c:v>6.775E7</c:v>
                </c:pt>
                <c:pt idx="2">
                  <c:v>0.0</c:v>
                </c:pt>
                <c:pt idx="3">
                  <c:v>0.0</c:v>
                </c:pt>
                <c:pt idx="4">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4 </a:t>
            </a:r>
            <a:r>
              <a:rPr lang="zh-CN" sz="1400" b="1" i="0" u="none" strike="noStrike" baseline="0">
                <a:solidFill>
                  <a:srgbClr val="404040"/>
                </a:solidFill>
                <a:latin typeface="Calibri"/>
                <a:ea typeface="宋体"/>
                <a:cs typeface="Arial"/>
              </a:rPr>
              <a:t>：</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年财政拨款收支对比图（万元）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695.19</c:v>
                </c:pt>
                <c:pt idx="1">
                  <c:v>695.19</c:v>
                </c:pt>
                <c:pt idx="2">
                  <c:v>695.19</c:v>
                </c:pt>
                <c:pt idx="3">
                  <c:v>695.19</c:v>
                </c:pt>
                <c:pt idx="4">
                  <c:v>0.0</c:v>
                </c:pt>
                <c:pt idx="5">
                  <c:v>0.0</c:v>
                </c:pt>
                <c:pt idx="6">
                  <c:v>0.0</c:v>
                </c:pt>
                <c:pt idx="7">
                  <c:v>0.0</c:v>
                </c:pt>
              </c:numCache>
            </c:numRef>
          </c:val>
        </c:ser>
        <c:ser>
          <c:idx val="1"/>
          <c:order val="1"/>
          <c:tx>
            <c:strRef>
              <c:f>'Sheet1'!$C$1</c:f>
              <c:strCache>
                <c:ptCount val="1"/>
                <c:pt idx="0">
                  <c:v>2024年</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7003.34</c:v>
                </c:pt>
                <c:pt idx="1">
                  <c:v>7003.34</c:v>
                </c:pt>
                <c:pt idx="2">
                  <c:v>263.34</c:v>
                </c:pt>
                <c:pt idx="3">
                  <c:v>263.34</c:v>
                </c:pt>
                <c:pt idx="4">
                  <c:v>6740.0</c:v>
                </c:pt>
                <c:pt idx="5">
                  <c:v>6740.0</c:v>
                </c:pt>
                <c:pt idx="6">
                  <c:v>0.0</c:v>
                </c:pt>
                <c:pt idx="7">
                  <c:v>0.0</c:v>
                </c:pt>
              </c:numCache>
            </c:numRef>
          </c:val>
        </c:ser>
        <c:overlap val="-28"/>
        <c:gapWidth val="246"/>
        <c:axId val="0"/>
        <c:axId val="1"/>
      </c:barChart>
      <c:catAx>
        <c:axId val="0"/>
        <c:scaling>
          <c:orientation val="minMax"/>
        </c:scaling>
        <c:delete val="0"/>
        <c:axPos val="b"/>
        <c:numFmt formatCode="General" sourceLinked="0"/>
        <c:majorTickMark val="out"/>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out"/>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5 :</a:t>
            </a:r>
            <a:r>
              <a:rPr lang="zh-CN" sz="1400" b="1" i="0" u="none" strike="noStrike" baseline="0">
                <a:solidFill>
                  <a:srgbClr val="404040"/>
                </a:solidFill>
                <a:latin typeface="Calibri"/>
                <a:ea typeface="宋体"/>
                <a:cs typeface="Arial"/>
              </a:rPr>
              <a:t>财政拨款收支预算对比图（万元）</a:t>
            </a:r>
          </a:p>
        </c:rich>
      </c:tx>
      <c:layout/>
      <c:overlay val="0"/>
      <c:spPr>
        <a:noFill/>
        <a:ln>
          <a:noFill/>
        </a:ln>
      </c:spPr>
    </c:title>
    <c:autoTitleDeleted val="1"/>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'Sheet1'!$B$1</c:f>
              <c:strCache>
                <c:ptCount val="1"/>
                <c:pt idx="0">
                  <c:v>年初预算数</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253.48</c:v>
                </c:pt>
                <c:pt idx="1">
                  <c:v>253.48</c:v>
                </c:pt>
                <c:pt idx="2">
                  <c:v>253.48</c:v>
                </c:pt>
                <c:pt idx="3">
                  <c:v>253.48</c:v>
                </c:pt>
                <c:pt idx="4">
                  <c:v>0.0</c:v>
                </c:pt>
                <c:pt idx="5">
                  <c:v>0.0</c:v>
                </c:pt>
                <c:pt idx="6">
                  <c:v>0.0</c:v>
                </c:pt>
                <c:pt idx="7">
                  <c:v>0.0</c:v>
                </c:pt>
              </c:numCache>
            </c:numRef>
          </c:val>
        </c:ser>
        <c:ser>
          <c:idx val="1"/>
          <c:order val="1"/>
          <c:tx>
            <c:strRef>
              <c:f>'Sheet1'!$C$1</c:f>
              <c:strCache>
                <c:ptCount val="1"/>
                <c:pt idx="0">
                  <c:v>决算数</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7003.34</c:v>
                </c:pt>
                <c:pt idx="1">
                  <c:v>7003.34</c:v>
                </c:pt>
                <c:pt idx="2">
                  <c:v>263.34</c:v>
                </c:pt>
                <c:pt idx="3">
                  <c:v>263.34</c:v>
                </c:pt>
                <c:pt idx="4">
                  <c:v>6740.0</c:v>
                </c:pt>
                <c:pt idx="5">
                  <c:v>6740.0</c:v>
                </c:pt>
                <c:pt idx="6">
                  <c:v>0.0</c:v>
                </c:pt>
                <c:pt idx="7">
                  <c:v>0.0</c:v>
                </c:pt>
              </c:numCache>
            </c:numRef>
          </c:val>
        </c:ser>
        <c:gapWidth val="150"/>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a:t>
            </a:r>
            <a:r>
              <a:rPr lang="zh-CN" sz="1400" b="1" i="0" u="none" strike="noStrike" baseline="0">
                <a:solidFill>
                  <a:srgbClr val="404040"/>
                </a:solidFill>
                <a:latin typeface="Calibri"/>
                <a:ea typeface="宋体"/>
                <a:cs typeface="Arial"/>
              </a:rPr>
              <a:t>6  : </a:t>
            </a:r>
            <a:r>
              <a:rPr lang="zh-CN" sz="1400" b="1" i="0" u="none" strike="noStrike" baseline="0">
                <a:solidFill>
                  <a:srgbClr val="404040"/>
                </a:solidFill>
                <a:latin typeface="Calibri"/>
                <a:ea typeface="宋体"/>
                <a:cs typeface="Arial"/>
              </a:rPr>
              <a:t>财政拨款支出决算构成情况图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Pt>
            <c:idx val="6"/>
            <c:bubble3D val="0"/>
            <c:spPr>
              <a:solidFill>
                <a:srgbClr val="254380"/>
              </a:solidFill>
              <a:ln w="3175">
                <a:solidFill>
                  <a:srgbClr val="FFFFFF"/>
                </a:solidFill>
                <a:prstDash val="solid"/>
              </a:ln>
            </c:spPr>
          </c:dPt>
          <c:dPt>
            <c:idx val="7"/>
            <c:bubble3D val="0"/>
            <c:spPr>
              <a:solidFill>
                <a:srgbClr val="9E4C0D"/>
              </a:solidFill>
              <a:ln w="3175">
                <a:solidFill>
                  <a:srgbClr val="FFFFFF"/>
                </a:solidFill>
                <a:prstDash val="solid"/>
              </a:ln>
            </c:spPr>
          </c:dPt>
          <c:dPt>
            <c:idx val="8"/>
            <c:bubble3D val="0"/>
            <c:spPr>
              <a:solidFill>
                <a:srgbClr val="917001"/>
              </a:solidFill>
              <a:ln w="3175">
                <a:solidFill>
                  <a:srgbClr val="FFFFFF"/>
                </a:solidFill>
                <a:prstDash val="solid"/>
              </a:ln>
            </c:spPr>
          </c:dPt>
          <c:dPt>
            <c:idx val="9"/>
            <c:bubble3D val="0"/>
            <c:spPr>
              <a:solidFill>
                <a:srgbClr val="467128"/>
              </a:solidFill>
              <a:ln w="3175">
                <a:solidFill>
                  <a:srgbClr val="FFFFFF"/>
                </a:solidFill>
                <a:prstDash val="solid"/>
              </a:ln>
            </c:spPr>
          </c:dPt>
          <c:dPt>
            <c:idx val="10"/>
            <c:bubble3D val="0"/>
            <c:spPr>
              <a:solidFill>
                <a:srgbClr val="1D736C"/>
              </a:solidFill>
              <a:ln w="3175">
                <a:solidFill>
                  <a:srgbClr val="FFFFFF"/>
                </a:solidFill>
                <a:prstDash val="solid"/>
              </a:ln>
            </c:spPr>
          </c:dPt>
          <c:dPt>
            <c:idx val="11"/>
            <c:bubble3D val="0"/>
            <c:spPr>
              <a:solidFill>
                <a:srgbClr val="A01727"/>
              </a:solidFill>
              <a:ln w="3175">
                <a:solidFill>
                  <a:srgbClr val="FFFFFF"/>
                </a:solidFill>
                <a:prstDash val="solid"/>
              </a:ln>
            </c:spPr>
          </c:dPt>
          <c:dPt>
            <c:idx val="12"/>
            <c:bubble3D val="0"/>
            <c:spPr>
              <a:solidFill>
                <a:srgbClr val="6D90D5"/>
              </a:solidFill>
              <a:ln w="3175">
                <a:solidFill>
                  <a:srgbClr val="FFFFFF"/>
                </a:solidFill>
                <a:prstDash val="solid"/>
              </a:ln>
            </c:spPr>
          </c:dPt>
          <c:dPt>
            <c:idx val="13"/>
            <c:bubble3D val="0"/>
            <c:spPr>
              <a:solidFill>
                <a:srgbClr val="F19B59"/>
              </a:solidFill>
              <a:ln w="3175">
                <a:solidFill>
                  <a:srgbClr val="FFFFFF"/>
                </a:solidFill>
                <a:prstDash val="solid"/>
              </a:ln>
            </c:spPr>
          </c:dPt>
          <c:dPt>
            <c:idx val="14"/>
            <c:bubble3D val="0"/>
            <c:spPr>
              <a:solidFill>
                <a:srgbClr val="FDCC2C"/>
              </a:solidFill>
              <a:ln w="3175">
                <a:solidFill>
                  <a:srgbClr val="FFFFFF"/>
                </a:solidFill>
                <a:prstDash val="solid"/>
              </a:ln>
            </c:spPr>
          </c:dPt>
          <c:dPt>
            <c:idx val="15"/>
            <c:bubble3D val="0"/>
            <c:spPr>
              <a:solidFill>
                <a:srgbClr val="91CA68"/>
              </a:solidFill>
              <a:ln w="3175">
                <a:solidFill>
                  <a:srgbClr val="FFFFFF"/>
                </a:solidFill>
                <a:prstDash val="solid"/>
              </a:ln>
            </c:spPr>
          </c:dPt>
          <c:dPt>
            <c:idx val="16"/>
            <c:bubble3D val="0"/>
            <c:spPr>
              <a:solidFill>
                <a:srgbClr val="52D4C9"/>
              </a:solidFill>
              <a:ln w="3175">
                <a:solidFill>
                  <a:srgbClr val="FFFFFF"/>
                </a:solidFill>
                <a:prstDash val="solid"/>
              </a:ln>
            </c:spPr>
          </c:dPt>
          <c:dPt>
            <c:idx val="17"/>
            <c:bubble3D val="0"/>
            <c:spPr>
              <a:solidFill>
                <a:srgbClr val="EA707E"/>
              </a:solidFill>
              <a:ln w="3175">
                <a:solidFill>
                  <a:srgbClr val="FFFFFF"/>
                </a:solidFill>
                <a:prstDash val="solid"/>
              </a:ln>
            </c:spPr>
          </c:dPt>
          <c:dPt>
            <c:idx val="18"/>
            <c:bubble3D val="0"/>
            <c:spPr>
              <a:solidFill>
                <a:srgbClr val="315AAB"/>
              </a:solidFill>
              <a:ln w="3175">
                <a:solidFill>
                  <a:srgbClr val="FFFFFF"/>
                </a:solidFill>
                <a:prstDash val="solid"/>
              </a:ln>
            </c:spPr>
          </c:dPt>
          <c:dPt>
            <c:idx val="19"/>
            <c:bubble3D val="0"/>
            <c:spPr>
              <a:solidFill>
                <a:srgbClr val="D36511"/>
              </a:solidFill>
              <a:ln w="3175">
                <a:solidFill>
                  <a:srgbClr val="FFFFFF"/>
                </a:solidFill>
                <a:prstDash val="solid"/>
              </a:ln>
            </c:spPr>
          </c:dPt>
          <c:dPt>
            <c:idx val="20"/>
            <c:bubble3D val="0"/>
            <c:spPr>
              <a:solidFill>
                <a:srgbClr val="C29502"/>
              </a:solidFill>
              <a:ln w="3175">
                <a:solidFill>
                  <a:srgbClr val="FFFFFF"/>
                </a:solidFill>
                <a:prstDash val="solid"/>
              </a:ln>
            </c:spPr>
          </c:dPt>
          <c:dPt>
            <c:idx val="21"/>
            <c:bubble3D val="0"/>
            <c:spPr>
              <a:solidFill>
                <a:srgbClr val="5E9735"/>
              </a:solidFill>
              <a:ln w="3175">
                <a:solidFill>
                  <a:srgbClr val="FFFFFF"/>
                </a:solidFill>
                <a:prstDash val="solid"/>
              </a:ln>
            </c:spPr>
          </c:dPt>
          <c:dPt>
            <c:idx val="22"/>
            <c:bubble3D val="0"/>
            <c:spPr>
              <a:solidFill>
                <a:srgbClr val="269A90"/>
              </a:solidFill>
              <a:ln w="3175">
                <a:solidFill>
                  <a:srgbClr val="FFFFFF"/>
                </a:solidFill>
                <a:prstDash val="solid"/>
              </a:ln>
            </c:spPr>
          </c:dPt>
          <c:dPt>
            <c:idx val="23"/>
            <c:bubble3D val="0"/>
            <c:spPr>
              <a:solidFill>
                <a:srgbClr val="D51F34"/>
              </a:solidFill>
              <a:ln w="3175">
                <a:solidFill>
                  <a:srgbClr val="FFFFFF"/>
                </a:solidFill>
                <a:prstDash val="solid"/>
              </a:ln>
            </c:spPr>
          </c:dPt>
          <c:dPt>
            <c:idx val="24"/>
            <c:bubble3D val="0"/>
            <c:spPr>
              <a:solidFill>
                <a:srgbClr val="91ACE0"/>
              </a:solidFill>
              <a:ln w="3175">
                <a:solidFill>
                  <a:srgbClr val="FFFFFF"/>
                </a:solidFill>
                <a:prstDash val="solid"/>
              </a:ln>
            </c:spPr>
          </c:dPt>
          <c:dPt>
            <c:idx val="25"/>
            <c:bubble3D val="0"/>
            <c:spPr>
              <a:solidFill>
                <a:srgbClr val="F5B482"/>
              </a:solidFill>
              <a:ln w="3175">
                <a:solidFill>
                  <a:srgbClr val="FFFFFF"/>
                </a:solidFill>
                <a:prstDash val="solid"/>
              </a:ln>
            </c:spPr>
          </c:dPt>
          <c:dLbls>
            <c:txPr>
              <a:bodyPr/>
              <a:lstStyle/>
              <a:p>
                <a:pPr algn="ctr">
                  <a:defRPr sz="1000" b="0" i="0" u="none" strike="noStrike" baseline="0">
                    <a:solidFill>
                      <a:srgbClr val="000000"/>
                    </a:solidFill>
                    <a:latin typeface="Times New Roman"/>
                    <a:ea typeface="宋体"/>
                    <a:cs typeface="Arial"/>
                  </a:defRPr>
                </a:pPr>
                <a:endParaRPr lang="zh-CN"/>
              </a:p>
            </c:txPr>
            <c:showLegendKey val="0"/>
            <c:showVal val="0"/>
            <c:showCatName val="0"/>
            <c:showSerName val="0"/>
            <c:showPercent val="0"/>
            <c:showBubbleSize val="0"/>
            <c:showLeaderLines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211.93</c:v>
                </c:pt>
                <c:pt idx="1">
                  <c:v>0.0</c:v>
                </c:pt>
                <c:pt idx="2">
                  <c:v>0.0</c:v>
                </c:pt>
                <c:pt idx="3">
                  <c:v>0.0</c:v>
                </c:pt>
                <c:pt idx="4">
                  <c:v>0.0</c:v>
                </c:pt>
                <c:pt idx="5">
                  <c:v>0.0</c:v>
                </c:pt>
                <c:pt idx="6">
                  <c:v>0.0</c:v>
                </c:pt>
                <c:pt idx="7">
                  <c:v>23.41</c:v>
                </c:pt>
                <c:pt idx="8">
                  <c:v>8.98</c:v>
                </c:pt>
                <c:pt idx="9">
                  <c:v>0.0</c:v>
                </c:pt>
                <c:pt idx="10">
                  <c:v>0.0</c:v>
                </c:pt>
                <c:pt idx="11">
                  <c:v>0.0</c:v>
                </c:pt>
                <c:pt idx="12">
                  <c:v>0.0</c:v>
                </c:pt>
                <c:pt idx="13">
                  <c:v>0.0</c:v>
                </c:pt>
                <c:pt idx="14">
                  <c:v>0.0</c:v>
                </c:pt>
                <c:pt idx="15">
                  <c:v>0.0</c:v>
                </c:pt>
                <c:pt idx="16">
                  <c:v>0.0</c:v>
                </c:pt>
                <c:pt idx="17">
                  <c:v>0.0</c:v>
                </c:pt>
                <c:pt idx="18">
                  <c:v>9.01</c:v>
                </c:pt>
                <c:pt idx="19">
                  <c:v>0.0</c:v>
                </c:pt>
                <c:pt idx="20">
                  <c:v>0.0</c:v>
                </c:pt>
                <c:pt idx="21">
                  <c:v>10.0</c:v>
                </c:pt>
                <c:pt idx="22">
                  <c:v>6740.0</c:v>
                </c:pt>
                <c:pt idx="23">
                  <c:v>0.0</c:v>
                </c:pt>
                <c:pt idx="24">
                  <c:v>0.0</c:v>
                </c:pt>
                <c:pt idx="2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customProps>
</customData>
</file>

<file path=customXml/itemProps1.xml><?xml version="1.0" encoding="utf-8"?>
<ds:datastoreItem xmlns:ds="http://schemas.openxmlformats.org/officeDocument/2006/customXml" ds:itemID="{C3784C61-8547-49D8-AB1A-11BA485E163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WPS_Yozo_Office9.0.6292.102ZH.HE70</Application>
  <Pages>39</Pages>
  <Words>0</Words>
  <Characters>10698</Characters>
  <Lines>0</Lines>
  <Paragraphs>197</Paragraphs>
  <CharactersWithSpaces>14264</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王明新TIAD</dc:creator>
  <cp:lastModifiedBy>zwgkb</cp:lastModifiedBy>
  <cp:revision>16</cp:revision>
  <cp:lastPrinted>2023-08-04T01:00:00Z</cp:lastPrinted>
  <dcterms:created xsi:type="dcterms:W3CDTF">2023-08-04T07:55:00Z</dcterms:created>
  <dcterms:modified xsi:type="dcterms:W3CDTF">2025-10-29T09:25:06Z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0CBB8C81AF9C45149FF5F4AFE106BDCE_13</vt:lpwstr>
  </property>
  <property fmtid="{D5CDD505-2E9C-101B-9397-08002B2CF9AE}" pid="4" name="KSOTemplateUUID">
    <vt:lpwstr>v1.0_mb_S7ajbG3IpAnL1wSthNCxfw==</vt:lpwstr>
  </property>
  <property fmtid="{D5CDD505-2E9C-101B-9397-08002B2CF9AE}" pid="5" name="KSOTemplateDocerSaveRecord">
    <vt:lpwstr>eyJoZGlkIjoiMGYyMzUxMzVkNTY0MTNhNjllZGYyNDEyZWNkZmE2NGYiLCJ1c2VySWQiOiIyNzYzODQyNjQifQ==</vt:lpwstr>
  </property>
</Properties>
</file>