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xlsx" ContentType="application/vnd.openxmlformats-officedocument.spreadsheetml.sheet"/>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auto"/>
        <w:ind w:leftChars="-100" w:left="-240" w:rightChars="-220" w:right="-528" w:firstLine="0"/>
        <w:jc w:val="both"/>
        <w:rPr>
          <w:rFonts w:ascii="楷体_GB2312" w:eastAsia="楷体_GB2312" w:cs="楷体_GB2312" w:hAnsi="楷体_GB2312" w:hint="eastAsia"/>
          <w:color w:val="000000"/>
          <w:sz w:val="40"/>
          <w:szCs w:val="40"/>
        </w:rPr>
      </w:pPr>
      <w:r>
        <w:drawing>
          <wp:anchor distT="0" distB="0" distL="114300" distR="114300" simplePos="0" relativeHeight="2" behindDoc="1" locked="0" layoutInCell="1" hidden="0" allowOverlap="1">
            <wp:simplePos x="0" y="0"/>
            <wp:positionH relativeFrom="column">
              <wp:posOffset>-1692910</wp:posOffset>
            </wp:positionH>
            <wp:positionV relativeFrom="paragraph">
              <wp:posOffset>-1319530</wp:posOffset>
            </wp:positionV>
            <wp:extent cx="8646795" cy="11107419"/>
            <wp:effectExtent l="-9525" t="-9525" r="1905" b="5080"/>
            <wp:wrapNone/>
            <wp:docPr id="18" name="图片 18" descr="7b0a202020202266696c746572223a202230220a7d0a"/>
            <wp:cNvGraphicFramePr>
              <a:graphicFrameLocks noChangeAspect="1"/>
            </wp:cNvGraphicFramePr>
            <a:graphic>
              <a:graphicData uri="http://schemas.openxmlformats.org/drawingml/2006/picture">
                <pic:pic>
                  <pic:nvPicPr>
                    <pic:cNvPr id="4" name="图片 4"/>
                    <pic:cNvPicPr/>
                  </pic:nvPicPr>
                  <pic:blipFill>
                    <a:blip r:embed="rId3">
                      <a:lum bright="5999"/>
                    </a:blip>
                    <a:srcRect t="559" b="3637"/>
                    <a:stretch>
                      <a:fillRect/>
                    </a:stretch>
                  </pic:blipFill>
                  <pic:spPr>
                    <a:xfrm rot="0">
                      <a:off x="0" y="0"/>
                      <a:ext cx="8646795" cy="11107419"/>
                    </a:xfrm>
                    <a:prstGeom prst="rect"/>
                    <a:noFill/>
                    <a:ln w="9525" cmpd="sng" cap="flat">
                      <a:noFill/>
                      <a:prstDash val="solid"/>
                      <a:miter/>
                    </a:ln>
                  </pic:spPr>
                </pic:pic>
              </a:graphicData>
            </a:graphic>
          </wp:anchor>
        </w:drawing>
      </w:r>
      <w:r>
        <mc:AlternateContent>
          <mc:Choice Requires="wps">
            <w:drawing>
              <wp:anchor distT="0" distB="0" distL="114300" distR="114300" simplePos="0" relativeHeight="46" behindDoc="0" locked="0" layoutInCell="1" hidden="0" allowOverlap="1">
                <wp:simplePos x="0" y="0"/>
                <wp:positionH relativeFrom="column">
                  <wp:posOffset>-546735</wp:posOffset>
                </wp:positionH>
                <wp:positionV relativeFrom="paragraph">
                  <wp:posOffset>253365</wp:posOffset>
                </wp:positionV>
                <wp:extent cx="6431280" cy="2862579"/>
                <wp:wrapNone/>
                <wp:docPr id="1" name="文本框 1" descr="7b0a2020202022776f7264617274223a20227b5c2269645c223a32353030323136362c5c227469645c223a5c225c227d220a7d0a"/>
                <wp:cNvGraphicFramePr>
                  <a:graphicFrameLocks noChangeAspect="0"/>
                </wp:cNvGraphicFramePr>
                <a:graphic>
                  <a:graphicData uri="http://schemas.microsoft.com/office/word/2010/wordprocessingShape">
                    <wps:wsp>
                      <wps:cNvSpPr/>
                      <wps:spPr>
                        <a:xfrm rot="0">
                          <a:off x="0" y="0"/>
                          <a:ext cx="6431280" cy="2862579"/>
                        </a:xfrm>
                        <a:prstGeom prst="rect"/>
                        <a:noFill/>
                        <a:ln cmpd="sng" cap="flat">
                          <a:noFill/>
                          <a:prstDash val="solid"/>
                          <a:round/>
                        </a:ln>
                      </wps:spPr>
                      <wps:txbx id="5">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wps:txbx>
                      <wps:bodyPr vert="horz" wrap="square" lIns="91440" tIns="45720" rIns="91440" bIns="45720" anchor="t" anchorCtr="0" upright="1">
                        <a:noAutofit/>
                      </wps:bodyPr>
                    </wps:wsp>
                  </a:graphicData>
                </a:graphic>
              </wp:anchor>
            </w:drawing>
          </mc:Choice>
          <mc:Fallback>
            <w:pict>
              <v:rect type="#_x0000_t1" id="文本框 1" o:spid="_x0000_s6" filled="f" stroked="f" strokeweight="-1.0pt" alt="7b0a2020202022776f7264617274223a20227b5c2269645c223a32353030323136362c5c227469645c223a5c225c227d220a7d0a" style="position:absolute;margin-left:-43.05pt;margin-top:19.95pt;width:506.4pt;height:225.4pt;z-index:46;mso-position-horizontal:absolute;mso-position-vertical:absolute;mso-wrap-style:square;">
                <v:stroke/>
                <v:textbox id="849" inset="2.54mm,1.27mm,2.54mm,1.27mm" o:insetmode="custom" style="layout-flow:horizontal;v-text-anchor:top;">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v:textbox>
              </v:rect>
            </w:pict>
          </mc:Fallback>
        </mc:AlternateContent>
      </w: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left"/>
        <w:rPr>
          <w:rFonts w:ascii="楷体_GB2312" w:eastAsia="楷体_GB2312" w:cs="楷体_GB2312" w:hAnsi="楷体_GB2312" w:hint="eastAsia"/>
          <w:color w:val="000000"/>
          <w:sz w:val="40"/>
          <w:szCs w:val="40"/>
          <w:lang w:val="en-US" w:eastAsia="zh-CN"/>
        </w:rPr>
      </w:pPr>
      <w:r>
        <w:rPr>
          <w:rFonts w:ascii="黑体" w:eastAsia="黑体" w:cs="黑体" w:hAnsi="黑体" w:hint="eastAsia"/>
          <w:color w:val="000000"/>
          <w:sz w:val="40"/>
          <w:szCs w:val="40"/>
        </w:rPr>
        <w:t>预算代码</w:t>
      </w:r>
      <w:r>
        <w:rPr>
          <w:rFonts w:ascii="楷体_GB2312" w:eastAsia="楷体_GB2312" w:cs="楷体_GB2312" w:hAnsi="楷体_GB2312" w:hint="eastAsia"/>
          <w:color w:val="000000"/>
          <w:sz w:val="40"/>
          <w:szCs w:val="40"/>
        </w:rPr>
        <w:t>：</w:t>
      </w:r>
      <w:r>
        <w:rPr>
          <w:rFonts w:ascii="楷体_GB2312" w:eastAsia="楷体_GB2312" w:cs="楷体_GB2312" w:hAnsi="楷体_GB2312" w:hint="eastAsia"/>
          <w:color w:val="000000"/>
          <w:sz w:val="40"/>
          <w:szCs w:val="40"/>
          <w:lang w:val="en-US" w:eastAsia="zh-CN"/>
        </w:rPr>
        <w:t>201</w:t>
      </w:r>
    </w:p>
    <w:p>
      <w:pPr>
        <w:spacing w:line="600" w:lineRule="auto"/>
        <w:jc w:val="left"/>
        <w:rPr>
          <w:rFonts w:ascii="楷体_GB2312" w:eastAsia="楷体_GB2312" w:cs="楷体_GB2312" w:hAnsi="楷体_GB2312" w:hint="eastAsia"/>
          <w:color w:val="000000"/>
          <w:sz w:val="40"/>
          <w:szCs w:val="40"/>
        </w:rPr>
      </w:pPr>
      <w:r>
        <w:rPr>
          <w:rFonts w:ascii="黑体" w:eastAsia="黑体" w:cs="黑体" w:hAnsi="黑体" w:hint="eastAsia"/>
          <w:color w:val="000000"/>
          <w:sz w:val="40"/>
          <w:szCs w:val="40"/>
        </w:rPr>
        <w:t>单位名称</w:t>
      </w:r>
      <w:r>
        <w:rPr>
          <w:rFonts w:ascii="楷体_GB2312" w:eastAsia="楷体_GB2312" w:cs="楷体_GB2312" w:hAnsi="楷体_GB2312" w:hint="eastAsia"/>
          <w:color w:val="000000"/>
          <w:sz w:val="40"/>
          <w:szCs w:val="40"/>
        </w:rPr>
        <w:t>：中共昌黎县委员会办公室</w:t>
      </w:r>
    </w:p>
    <w:p>
      <w:pPr>
        <w:spacing w:line="600" w:lineRule="auto"/>
        <w:jc w:val="both"/>
        <w:rPr>
          <w:rFonts w:ascii="楷体_GB2312" w:eastAsia="楷体_GB2312" w:cs="楷体_GB2312" w:hAnsi="楷体_GB2312" w:hint="eastAsia"/>
          <w:color w:val="000000"/>
          <w:sz w:val="40"/>
          <w:szCs w:val="40"/>
        </w:rPr>
        <w:sectPr>
          <w:footerReference w:type="default" r:id="rId2"/>
          <w:pgSz w:w="11906" w:h="16838"/>
          <w:pgMar w:top="2098" w:right="1417" w:bottom="1871" w:left="1417" w:header="851" w:footer="992" w:gutter="0"/>
          <w:pgBorders>
            <w:top w:val="none" w:sz="0" w:space="0" w:color="auto"/>
            <w:left w:val="none" w:sz="0" w:space="0" w:color="auto"/>
            <w:bottom w:val="none" w:sz="0" w:space="0" w:color="auto"/>
            <w:right w:val="none" w:sz="0" w:space="0" w:color="auto"/>
          </w:pgBorders>
          <w:pgNumType w:start="1"/>
          <w:cols w:num="1" w:space="720"/>
          <w:docGrid w:type="lines" w:linePitch="312" w:charSpace="0"/>
        </w:sectPr>
      </w:pPr>
    </w:p>
    <w:p>
      <w:pPr>
        <w:spacing w:line="600" w:lineRule="auto"/>
        <w:ind w:leftChars="-500" w:left="-1200" w:firstLine="0"/>
        <w:jc w:val="center"/>
        <w:rPr>
          <w:rFonts w:ascii="楷体_GB2312" w:eastAsia="楷体_GB2312" w:cs="楷体_GB2312" w:hAnsi="楷体_GB2312" w:hint="eastAsia"/>
          <w:color w:val="000000"/>
          <w:sz w:val="40"/>
          <w:szCs w:val="40"/>
        </w:rPr>
      </w:pPr>
    </w:p>
    <w:p>
      <w:pPr>
        <w:widowControl/>
        <w:spacing w:before="0" w:beforeAutospacing="0" w:after="0" w:afterAutospacing="0" w:line="360" w:lineRule="auto"/>
        <w:ind w:leftChars="-500" w:left="-1200" w:rightChars="-440" w:right="-1056" w:firstLine="0"/>
        <w:jc w:val="center"/>
        <w:rPr>
          <w:rFonts w:ascii="方正小标宋简体" w:eastAsia="方正小标宋简体" w:cs="方正小标宋简体" w:hAnsi="方正小标宋简体" w:hint="eastAsia"/>
          <w:b w:val="0"/>
          <w:sz w:val="72"/>
          <w:szCs w:val="72"/>
        </w:rPr>
      </w:pPr>
      <w:r>
        <w:rPr>
          <w:rFonts w:ascii="方正小标宋简体" w:eastAsia="方正小标宋简体" w:cs="方正小标宋简体" w:hAnsi="方正小标宋简体" w:hint="eastAsia"/>
          <w:b w:val="0"/>
          <w:sz w:val="72"/>
          <w:szCs w:val="72"/>
        </w:rPr>
        <w:t>中共昌黎县委员会</w:t>
      </w:r>
      <w:r>
        <w:rPr>
          <w:rFonts w:ascii="方正小标宋简体" w:eastAsia="方正小标宋简体" w:cs="方正小标宋简体" w:hAnsi="方正小标宋简体"/>
          <w:b w:val="0"/>
          <w:sz w:val="72"/>
          <w:szCs w:val="72"/>
        </w:rPr>
        <w:t>办公室</w:t>
      </w:r>
      <w:bookmarkStart w:id="0" w:name="_GoBack"/>
      <w:bookmarkEnd w:id="0"/>
    </w:p>
    <w:p>
      <w:pPr>
        <w:widowControl/>
        <w:spacing w:before="0" w:beforeAutospacing="0" w:after="0" w:afterAutospacing="0" w:line="360" w:lineRule="auto"/>
        <w:ind w:leftChars="-500" w:left="-1200" w:rightChars="-440" w:right="-1056" w:firstLine="0"/>
        <w:jc w:val="center"/>
        <w:rPr>
          <w:rFonts w:ascii="方正小标宋简体" w:eastAsia="方正小标宋简体" w:cs="方正小标宋简体" w:hAnsi="方正小标宋简体" w:hint="eastAsia"/>
          <w:sz w:val="72"/>
          <w:szCs w:val="72"/>
        </w:rPr>
      </w:pPr>
      <w:r>
        <w:rPr>
          <w:rFonts w:ascii="方正小标宋简体" w:eastAsia="方正小标宋简体" w:cs="方正小标宋简体" w:hAnsi="方正小标宋简体" w:hint="eastAsia"/>
          <w:b w:val="0"/>
          <w:sz w:val="72"/>
          <w:szCs w:val="72"/>
        </w:rPr>
        <w:t>2024年度部门决算公</w:t>
      </w:r>
      <w:r>
        <w:rPr>
          <w:rFonts w:ascii="方正小标宋简体" w:eastAsia="方正小标宋简体" w:cs="方正小标宋简体" w:hAnsi="方正小标宋简体" w:hint="eastAsia"/>
          <w:b w:val="0"/>
          <w:sz w:val="72"/>
          <w:szCs w:val="72"/>
          <w:lang w:eastAsia="zh-CN"/>
        </w:rPr>
        <w:t>开</w:t>
      </w:r>
      <w:r>
        <w:rPr>
          <w:rFonts w:ascii="方正小标宋简体" w:eastAsia="方正小标宋简体" w:cs="方正小标宋简体" w:hAnsi="方正小标宋简体" w:hint="eastAsia"/>
          <w:b w:val="0"/>
          <w:sz w:val="72"/>
          <w:szCs w:val="72"/>
        </w:rPr>
        <w:t>文本</w:t>
      </w:r>
    </w:p>
    <w:p>
      <w:pPr>
        <w:spacing w:line="360" w:lineRule="auto"/>
        <w:ind w:leftChars="-500" w:left="-1200" w:firstLine="0"/>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480" w:lineRule="auto"/>
        <w:jc w:val="both"/>
        <w:rPr>
          <w:rFonts w:ascii="黑体" w:eastAsia="黑体" w:cs="黑体" w:hAnsi="黑体"/>
          <w:sz w:val="56"/>
          <w:szCs w:val="72"/>
        </w:rPr>
      </w:pPr>
    </w:p>
    <w:p>
      <w:pPr>
        <w:widowControl/>
        <w:spacing w:before="0" w:beforeAutospacing="0" w:after="0" w:afterAutospacing="0" w:line="360" w:lineRule="auto"/>
        <w:jc w:val="center"/>
        <w:rPr>
          <w:rFonts w:ascii="Times New Roman" w:eastAsia="楷体_GB2312" w:hAnsi="Times New Roman"/>
          <w:b w:val="0"/>
          <w:sz w:val="44"/>
          <w:szCs w:val="44"/>
        </w:rPr>
      </w:pPr>
    </w:p>
    <w:p>
      <w:pPr>
        <w:widowControl/>
        <w:spacing w:before="0" w:beforeAutospacing="0" w:after="0" w:afterAutospacing="0" w:line="360" w:lineRule="auto"/>
        <w:jc w:val="center"/>
        <w:rPr>
          <w:rFonts w:ascii="Times New Roman" w:eastAsia="楷体_GB2312" w:hAnsi="Times New Roman"/>
          <w:b w:val="0"/>
          <w:sz w:val="44"/>
          <w:szCs w:val="44"/>
        </w:rPr>
      </w:pPr>
    </w:p>
    <w:p>
      <w:pPr>
        <w:widowControl/>
        <w:spacing w:before="0" w:beforeAutospacing="0" w:after="0" w:afterAutospacing="0" w:line="360" w:lineRule="auto"/>
        <w:jc w:val="center"/>
        <w:rPr>
          <w:rFonts w:ascii="Times New Roman" w:eastAsia="楷体_GB2312" w:hAnsi="Times New Roman"/>
          <w:b w:val="0"/>
          <w:sz w:val="44"/>
          <w:szCs w:val="44"/>
        </w:rPr>
      </w:pPr>
      <w:r>
        <w:rPr>
          <w:rFonts w:ascii="Times New Roman" w:eastAsia="楷体_GB2312" w:hAnsi="Times New Roman"/>
          <w:b w:val="0"/>
          <w:sz w:val="44"/>
          <w:szCs w:val="44"/>
        </w:rPr>
        <w:t>中共昌黎县委员会办公室</w:t>
      </w: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二〇二五年八月</w:t>
      </w:r>
    </w:p>
    <w:p>
      <w:pPr>
        <w:snapToGrid w:val="0"/>
        <w:jc w:val="left"/>
        <w:rPr>
          <w:rFonts w:ascii="楷体_GB2312" w:eastAsia="楷体_GB2312" w:cs="楷体_GB2312" w:hAnsi="楷体_GB2312"/>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sectPr>
          <w:footerReference w:type="default" r:id="rId4"/>
          <w:pgSz w:w="11906" w:h="16838"/>
          <w:pgMar w:top="1531" w:right="1984" w:bottom="1531" w:left="2098"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pPr>
    </w:p>
    <w:p>
      <w:pPr>
        <w:tabs>
          <w:tab w:val="left" w:pos="2728"/>
        </w:tabs>
        <w:jc w:val="both"/>
        <w:rPr>
          <w:rFonts w:ascii="黑体" w:eastAsia="黑体" w:cs="Times New Roman" w:hAnsi="Times New Roman"/>
          <w:sz w:val="48"/>
          <w:szCs w:val="48"/>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目  录</w:t>
      </w:r>
    </w:p>
    <w:p>
      <w:pPr>
        <w:widowControl/>
        <w:spacing w:after="160" w:line="580" w:lineRule="exact"/>
        <w:ind w:firstLineChars="200" w:firstLine="640"/>
        <w:rPr>
          <w:rFonts w:ascii="Times New Roman" w:eastAsia="黑体" w:cs="Times New Roman" w:hAnsi="Times New Roman"/>
          <w:sz w:val="32"/>
          <w:szCs w:val="32"/>
        </w:rPr>
      </w:pP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第一部分部门概况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一、部门职责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二、机构设置</w:t>
      </w:r>
    </w:p>
    <w:p>
      <w:pPr>
        <w:widowControl/>
        <w:spacing w:before="0" w:beforeAutospacing="0" w:after="0" w:afterAutospacing="0" w:line="360" w:lineRule="auto"/>
        <w:jc w:val="left"/>
        <w:outlineLvl w:val="0"/>
        <w:rPr>
          <w:rFonts w:ascii="Times New Roman" w:eastAsia="黑体" w:hAnsi="Times New Roman"/>
          <w:sz w:val="32"/>
          <w:szCs w:val="32"/>
        </w:rPr>
      </w:pPr>
      <w:r>
        <w:rPr>
          <w:rFonts w:ascii="Times New Roman" w:eastAsia="黑体" w:hAnsi="Times New Roman"/>
          <w:b w:val="0"/>
          <w:sz w:val="32"/>
          <w:szCs w:val="32"/>
        </w:rPr>
        <w:t>第二部分 2024年度部门决算报表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五、一般公共预算财政拨款支出决算表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六、一般公共预算财政拨款基本支出决算明细表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七、政府性基金预算财政拨款收入支出决算表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八、国有资本经营预算财政拨款支出决算表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九、财政拨款“三公”经费支出决算表</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第三部分 2024年度部门决算情况说明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五、财政拨款“三公”经费支出决算情况说明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十、其他需要说明的情况</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第四部分 名词解释</w:t>
      </w:r>
    </w:p>
    <w:p>
      <w:pPr>
        <w:widowControl/>
        <w:spacing w:after="160" w:line="580" w:lineRule="exact"/>
        <w:rPr>
          <w:rFonts w:ascii="Times New Roman" w:eastAsia="黑体" w:cs="Times New Roman" w:hAnsi="Times New Roman" w:hint="eastAsia"/>
          <w:sz w:val="32"/>
          <w:szCs w:val="32"/>
          <w:lang w:val="en-US" w:eastAsia="zh-CN"/>
        </w:rPr>
        <w:sectPr>
          <w:headerReference w:type="default" r:id="rId5"/>
          <w:headerReference w:type="first" r:id="rId6"/>
          <w:footerReference w:type="default" r:id="rId7"/>
          <w:footerReference w:type="first" r:id="rId8"/>
          <w:pgSz w:w="11906" w:h="16838"/>
          <w:pgMar w:top="1474" w:right="1531" w:bottom="1474" w:left="1531" w:header="851" w:footer="992" w:gutter="0"/>
          <w:pgBorders>
            <w:top w:val="none" w:sz="0" w:space="0" w:color="auto"/>
            <w:left w:val="none" w:sz="0" w:space="0" w:color="auto"/>
            <w:bottom w:val="none" w:sz="0" w:space="0" w:color="auto"/>
            <w:right w:val="none" w:sz="0" w:space="0" w:color="auto"/>
          </w:pgBorders>
          <w:cols w:num="1" w:space="0"/>
          <w:titlePg/>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第一部分部门概况</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一、部门职责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涉密。</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二、机构设置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从决算编报单位构成看，纳入2024年度本部门决算汇编范围的独立核算单位（以下简称“单位”）共1个，具体情况如下：</w:t>
      </w:r>
    </w:p>
    <w:tbl>
      <w:tblPr>
        <w:tblpPr w:leftFromText="180" w:rightFromText="180" w:vertAnchor="text" w:horzAnchor="page" w:tblpXSpec="center" w:tblpY="10"/>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85"/>
        <w:gridCol w:w="3485"/>
        <w:gridCol w:w="2445"/>
        <w:gridCol w:w="2665"/>
      </w:tblGrid>
      <w:tr>
        <w:trPr>
          <w:trHeight w:val="811"/>
        </w:trPr>
        <w:tc>
          <w:tcPr>
            <w:tcW w:w="9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序号</w:t>
            </w:r>
          </w:p>
        </w:tc>
        <w:tc>
          <w:tcPr>
            <w:tcW w:w="34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单位名称</w:t>
            </w:r>
          </w:p>
        </w:tc>
        <w:tc>
          <w:tcPr>
            <w:tcW w:w="244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单位基本性质</w:t>
            </w:r>
          </w:p>
        </w:tc>
        <w:tc>
          <w:tcPr>
            <w:tcW w:w="266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经费形式</w:t>
            </w:r>
          </w:p>
        </w:tc>
      </w:tr>
      <w:tr>
        <w:trPr>
          <w:trHeight w:val="596"/>
        </w:trPr>
        <w:tc>
          <w:tcPr>
            <w:tcW w:w="9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1</w:t>
            </w:r>
          </w:p>
        </w:tc>
        <w:tc>
          <w:tcPr>
            <w:tcW w:w="34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中共昌黎县委员会办公室(本级)</w:t>
            </w:r>
          </w:p>
        </w:tc>
        <w:tc>
          <w:tcPr>
            <w:tcW w:w="2445" w:type="dxa"/>
          </w:tcPr>
          <w:p>
            <w:pPr>
              <w:spacing w:line="560" w:lineRule="exact"/>
              <w:jc w:val="center"/>
              <w:rPr>
                <w:rFonts w:ascii="仿宋_GB2312" w:eastAsia="仿宋_GB2312" w:cs="ArialUnicodeMS" w:hAnsi="Calibri" w:hint="eastAsia"/>
                <w:kern w:val="0"/>
                <w:sz w:val="28"/>
                <w:szCs w:val="28"/>
                <w:lang w:val="en-US" w:eastAsia="zh-CN"/>
              </w:rPr>
            </w:pPr>
            <w:r>
              <w:rPr>
                <w:rFonts w:ascii="仿宋_GB2312" w:eastAsia="仿宋_GB2312" w:cs="ArialUnicodeMS" w:hAnsi="Calibri" w:hint="eastAsia"/>
                <w:kern w:val="0"/>
                <w:sz w:val="28"/>
                <w:szCs w:val="28"/>
                <w:lang w:val="en-US" w:eastAsia="zh-CN"/>
              </w:rPr>
              <w:t>行政单位</w:t>
            </w:r>
          </w:p>
        </w:tc>
        <w:tc>
          <w:tcPr>
            <w:tcW w:w="266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全额</w:t>
            </w:r>
          </w:p>
        </w:tc>
      </w:tr>
    </w:tbl>
    <w:p>
      <w:pPr>
        <w:keepNext w:val="0"/>
        <w:keepLines w:val="0"/>
        <w:pageBreakBefore w:val="0"/>
        <w:widowControl w:val="0"/>
        <w:kinsoku/>
        <w:wordWrap/>
        <w:overflowPunct/>
        <w:topLinePunct w:val="0"/>
        <w:autoSpaceDE/>
        <w:autoSpaceDN/>
        <w:bidi w:val="0"/>
        <w:adjustRightInd/>
        <w:snapToGrid/>
        <w:ind w:firstLineChars="200" w:firstLine="640"/>
        <w:textAlignment w:val="auto"/>
        <w:rPr>
          <w:rFonts w:ascii="Times New Roman" w:eastAsia="黑体" w:cs="Times New Roman" w:hAnsi="Times New Roman" w:hint="eastAsia"/>
          <w:sz w:val="32"/>
          <w:szCs w:val="32"/>
          <w:highlight w:val="yellow"/>
        </w:rPr>
      </w:pPr>
      <w:r>
        <w:rPr>
          <w:rFonts w:ascii="仿宋_GB2312" w:eastAsia="仿宋_GB2312" w:cs="仿宋_GB2312" w:hAnsi="仿宋_GB2312" w:hint="eastAsia"/>
          <w:sz w:val="32"/>
          <w:szCs w:val="32"/>
          <w:lang w:eastAsia="zh-CN"/>
          <w:highlight w:val="none"/>
        </w:rPr>
        <w:t>我部门无二级预算单位，因此，中共昌黎县委员会办公室</w:t>
      </w:r>
      <w:r>
        <w:rPr>
          <w:rFonts w:ascii="仿宋_GB2312" w:eastAsia="仿宋_GB2312" w:cs="仿宋_GB2312" w:hAnsi="仿宋_GB2312" w:hint="eastAsia"/>
          <w:sz w:val="32"/>
          <w:szCs w:val="32"/>
          <w:lang w:val="en-US" w:eastAsia="zh-CN"/>
          <w:highlight w:val="none"/>
        </w:rPr>
        <w:t>2024年度部门决算即</w:t>
      </w:r>
      <w:r>
        <w:rPr>
          <w:rFonts w:ascii="仿宋_GB2312" w:eastAsia="仿宋_GB2312" w:cs="仿宋_GB2312" w:hAnsi="仿宋_GB2312" w:hint="eastAsia"/>
          <w:sz w:val="32"/>
          <w:szCs w:val="32"/>
          <w:lang w:eastAsia="zh-CN"/>
          <w:highlight w:val="none"/>
        </w:rPr>
        <w:t>中共昌黎县委员会办公室本级</w:t>
      </w:r>
      <w:r>
        <w:rPr>
          <w:rFonts w:ascii="仿宋_GB2312" w:eastAsia="仿宋_GB2312" w:cs="仿宋_GB2312" w:hAnsi="仿宋_GB2312" w:hint="eastAsia"/>
          <w:sz w:val="32"/>
          <w:szCs w:val="32"/>
          <w:lang w:val="en-US" w:eastAsia="zh-CN"/>
          <w:highlight w:val="none"/>
        </w:rPr>
        <w:t>2024年度决算。</w:t>
      </w:r>
      <w:r>
        <w:rPr>
          <w:rFonts w:ascii="Times New Roman" w:eastAsia="黑体" w:cs="Times New Roman" w:hAnsi="Times New Roman" w:hint="eastAsia"/>
          <w:sz w:val="32"/>
          <w:szCs w:val="32"/>
          <w:highlight w:val="yellow"/>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第二部分</w:t>
      </w:r>
      <w:r>
        <w:rPr>
          <w:rFonts w:ascii="Times New Roman" w:eastAsia="仿宋_GB2312" w:hAnsi="Times New Roman"/>
          <w:b w:val="0"/>
          <w:sz w:val="44"/>
          <w:szCs w:val="44"/>
        </w:rPr>
        <w:t>2024</w:t>
      </w:r>
      <w:r>
        <w:rPr>
          <w:rFonts w:ascii="Times New Roman" w:eastAsia="黑体" w:hAnsi="Times New Roman"/>
          <w:b w:val="0"/>
          <w:sz w:val="44"/>
          <w:szCs w:val="44"/>
        </w:rPr>
        <w:t>年度部门决算表</w:t>
      </w:r>
    </w:p>
    <w:tbl>
      <w:tblPr>
        <w:jc w:val="left"/>
        <w:tblInd w:w="-187" w:type="dxa"/>
        <w:tblW w:w="6236"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728"/>
        <w:gridCol w:w="221"/>
        <w:gridCol w:w="483"/>
        <w:gridCol w:w="835"/>
        <w:gridCol w:w="1627"/>
        <w:gridCol w:w="664"/>
        <w:gridCol w:w="839"/>
        <w:gridCol w:w="1348"/>
        <w:gridCol w:w="1286"/>
      </w:tblGrid>
      <w:tr>
        <w:trPr>
          <w:trHeight w:val="361"/>
          <w:gridAfter w:val="1"/>
          <w:wAfter w:w="1286" w:type="dxa"/>
        </w:trPr>
        <w:tc>
          <w:tcPr>
            <w:tcW w:w="4359" w:type="pct"/>
            <w:gridSpan w:val="8"/>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收入支出决算总表</w:t>
            </w:r>
          </w:p>
        </w:tc>
      </w:tr>
      <w:tr>
        <w:trPr>
          <w:trHeight w:val="357"/>
          <w:gridAfter w:val="1"/>
          <w:wAfter w:w="1286" w:type="dxa"/>
        </w:trPr>
        <w:tc>
          <w:tcPr>
            <w:tcW w:w="4359" w:type="pct"/>
            <w:gridSpan w:val="8"/>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公开</w:t>
            </w:r>
            <w:r>
              <w:rPr>
                <w:rFonts w:ascii="Times New Roman" w:eastAsia="宋体" w:cs="Times New Roman" w:hAnsi="Times New Roman" w:hint="eastAsia"/>
                <w:i w:val="0"/>
                <w:iCs w:val="0"/>
                <w:color w:val="000000"/>
                <w:sz w:val="20"/>
                <w:szCs w:val="20"/>
                <w:u w:val="none"/>
                <w:lang w:val="en-US" w:eastAsia="zh-CN"/>
                <w:highlight w:val="none"/>
              </w:rPr>
              <w:t>01</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51"/>
          <w:gridAfter w:val="1"/>
          <w:wAfter w:w="1286" w:type="dxa"/>
        </w:trPr>
        <w:tc>
          <w:tcPr>
            <w:tcW w:w="1470" w:type="pct"/>
            <w:gridSpan w:val="2"/>
            <w:tcBorders>
              <w:top w:val="nil"/>
              <w:left w:val="nil"/>
              <w:bottom w:val="single" w:sz="4" w:space="0" w:color="auto"/>
              <w:right w:val="nil"/>
            </w:tcBorders>
            <w:noWrap/>
            <w:vAlign w:val="bottom"/>
          </w:tcPr>
          <w:p>
            <w:pPr>
              <w:jc w:val="both"/>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部门（单位）：中共昌黎县委员会办公室（汇总）</w:t>
            </w:r>
          </w:p>
        </w:tc>
        <w:tc>
          <w:tcPr>
            <w:tcW w:w="1468" w:type="pct"/>
            <w:gridSpan w:val="3"/>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hint="eastAsia"/>
                <w:i w:val="0"/>
                <w:iCs w:val="0"/>
                <w:color w:val="000000"/>
                <w:sz w:val="20"/>
                <w:szCs w:val="20"/>
                <w:u w:val="none"/>
                <w:lang w:val="en-US" w:eastAsia="zh-CN"/>
                <w:highlight w:val="none"/>
              </w:rPr>
              <w:t>2024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420" w:type="pct"/>
            <w:gridSpan w:val="3"/>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44"/>
          <w:gridAfter w:val="1"/>
          <w:wAfter w:w="1286" w:type="dxa"/>
        </w:trPr>
        <w:tc>
          <w:tcPr>
            <w:tcW w:w="2127" w:type="pct"/>
            <w:gridSpan w:val="4"/>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收入</w:t>
            </w:r>
          </w:p>
        </w:tc>
        <w:tc>
          <w:tcPr>
            <w:tcW w:w="2232"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支出</w:t>
            </w:r>
          </w:p>
        </w:tc>
      </w:tr>
      <w:tr>
        <w:trPr>
          <w:trHeight w:val="308"/>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41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决算数</w:t>
            </w: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67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决算数</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351" w:type="pct"/>
            <w:gridSpan w:val="2"/>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41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Times New Roman" w:eastAsia="宋体" w:cs="Times New Roman" w:hAnsi="Times New Roman" w:hint="eastAsia"/>
                <w:i w:val="0"/>
                <w:iCs w:val="0"/>
                <w:color w:val="000000"/>
                <w:sz w:val="20"/>
                <w:szCs w:val="20"/>
                <w:u w:val="none"/>
                <w:lang w:val="en-US" w:eastAsia="zh-CN"/>
                <w:highlight w:val="none"/>
              </w:rPr>
              <w:t>1</w:t>
            </w: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418"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67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Times New Roman" w:eastAsia="宋体" w:cs="Times New Roman" w:hAnsi="Times New Roman" w:hint="eastAsia"/>
                <w:i w:val="0"/>
                <w:iCs w:val="0"/>
                <w:color w:val="000000"/>
                <w:sz w:val="20"/>
                <w:szCs w:val="20"/>
                <w:u w:val="none"/>
                <w:lang w:val="en-US" w:eastAsia="zh-CN"/>
                <w:highlight w:val="none"/>
              </w:rPr>
              <w:t>2</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宋体" w:eastAsia="宋体" w:cs="宋体" w:hAnsi="宋体"/>
                <w:i w:val="0"/>
                <w:iCs w:val="0"/>
                <w:color w:val="000000"/>
                <w:sz w:val="20"/>
                <w:szCs w:val="20"/>
                <w:u w:val="none"/>
                <w:lang w:val="en-US" w:eastAsia="zh-CN"/>
                <w:highlight w:val="none"/>
              </w:rPr>
              <w:t>1</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一、一般公共服务支出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32</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587.98</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二、外交支出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33</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三、国防支出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34</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四、上级补助收入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四、公共安全支出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35</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五、事业收入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五、教育支出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36</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六、经营收入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六、科学技术支出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37</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七、附属单位上缴收入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7</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七、文化旅游体育与传媒支出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38</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八、其他收入</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8</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八、社会保障和就业支出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39</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66.57</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9</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九、卫生健康支出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40</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32.95</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10</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十、节能环保支出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41</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11</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十一、城乡社区支出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42</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12</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十二、农林水支出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43</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13</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十三、交通运输支出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44</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14</w:t>
            </w:r>
          </w:p>
        </w:tc>
        <w:tc>
          <w:tcPr>
            <w:tcW w:w="416"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十四、资源勘探工业信息等支出</w:t>
            </w:r>
          </w:p>
        </w:tc>
        <w:tc>
          <w:tcPr>
            <w:tcW w:w="418"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45</w:t>
            </w:r>
          </w:p>
        </w:tc>
        <w:tc>
          <w:tcPr>
            <w:tcW w:w="671"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15</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十五、商业服务业等支出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46</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16</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十六、金融支出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47</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17</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十七、援助其他地区支出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48</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18</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十八、自然资源海洋气象等支出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49</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19</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十九、住房保障支出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50</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29.79</w:t>
            </w:r>
          </w:p>
        </w:tc>
      </w:tr>
      <w:tr>
        <w:trPr>
          <w:trHeight w:val="476"/>
          <w:gridAfter w:val="1"/>
          <w:wAfter w:w="1286" w:type="dxa"/>
        </w:trPr>
        <w:tc>
          <w:tcPr>
            <w:tcW w:w="136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20</w:t>
            </w:r>
          </w:p>
        </w:tc>
        <w:tc>
          <w:tcPr>
            <w:tcW w:w="41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二十、粮油物资储备支出</w:t>
            </w:r>
          </w:p>
        </w:tc>
        <w:tc>
          <w:tcPr>
            <w:tcW w:w="4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51</w:t>
            </w:r>
          </w:p>
        </w:tc>
        <w:tc>
          <w:tcPr>
            <w:tcW w:w="67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21</w:t>
            </w:r>
          </w:p>
        </w:tc>
        <w:tc>
          <w:tcPr>
            <w:tcW w:w="416"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二十一、国有资本经营预算支出</w:t>
            </w:r>
          </w:p>
        </w:tc>
        <w:tc>
          <w:tcPr>
            <w:tcW w:w="418"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52</w:t>
            </w:r>
          </w:p>
        </w:tc>
        <w:tc>
          <w:tcPr>
            <w:tcW w:w="671"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22</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二十二、灾害防治及应急管理支出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53</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23</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二十三、其他支出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54</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24</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二十四、债务还本支出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55</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25</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二十五、债务付息支出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56</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26</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二十六、抗疫特别国债安排的支出</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57</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本年收入合计</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27</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本年支出合计</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58</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使用非财政拨款结余（含专用结余）</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28</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结余分配</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59</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年初结转和结余</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29</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年末结转和结余</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宋体" w:cs="Times New Roman" w:hAnsi="Times New Roman"/>
                <w:i w:val="0"/>
                <w:iCs w:val="0"/>
                <w:color w:val="000000"/>
                <w:sz w:val="20"/>
                <w:szCs w:val="20"/>
                <w:u w:val="none"/>
                <w:lang w:val="en-US" w:eastAsia="zh-CN"/>
                <w:highlight w:val="none"/>
              </w:rPr>
              <w:t>60</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76"/>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pP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30</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pP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61</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gridAfter w:val="1"/>
          <w:wAfter w:w="1286" w:type="dxa"/>
        </w:trPr>
        <w:tc>
          <w:tcPr>
            <w:tcW w:w="1360"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35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31</w:t>
            </w:r>
          </w:p>
        </w:tc>
        <w:tc>
          <w:tcPr>
            <w:tcW w:w="41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114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41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none"/>
              </w:rPr>
            </w:pPr>
            <w:r>
              <w:rPr>
                <w:rFonts w:ascii="Times New Roman" w:eastAsia="宋体" w:cs="Times New Roman" w:hAnsi="Times New Roman"/>
                <w:i w:val="0"/>
                <w:iCs w:val="0"/>
                <w:color w:val="000000"/>
                <w:kern w:val="0"/>
                <w:sz w:val="20"/>
                <w:szCs w:val="20"/>
                <w:u w:val="none"/>
                <w:lang w:val="en-US" w:eastAsia="zh-CN"/>
                <w:highlight w:val="none"/>
              </w:rPr>
              <w:t>62</w:t>
            </w:r>
          </w:p>
        </w:tc>
        <w:tc>
          <w:tcPr>
            <w:tcW w:w="67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注：1.本表反映部门本年度的总收支和年末结转结余情况。</w:t>
            </w:r>
          </w:p>
          <w:p>
            <w:pPr>
              <w:keepNext w:val="0"/>
              <w:keepLines w:val="0"/>
              <w:widowControl/>
              <w:suppressLineNumbers w:val="0"/>
              <w:ind w:firstLineChars="200" w:firstLine="40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center"/>
        <w:tblW w:w="923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40"/>
        <w:gridCol w:w="1160"/>
        <w:gridCol w:w="1037"/>
        <w:gridCol w:w="1037"/>
        <w:gridCol w:w="1037"/>
        <w:gridCol w:w="964"/>
        <w:gridCol w:w="367"/>
        <w:gridCol w:w="597"/>
        <w:gridCol w:w="1027"/>
        <w:gridCol w:w="964"/>
      </w:tblGrid>
      <w:tr>
        <w:trPr>
          <w:trHeight w:val="550"/>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收入决算表</w:t>
            </w:r>
          </w:p>
        </w:tc>
      </w:tr>
      <w:tr>
        <w:trPr>
          <w:trHeight w:val="300"/>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hint="eastAsia"/>
                <w:i w:val="0"/>
                <w:iCs w:val="0"/>
                <w:color w:val="000000"/>
                <w:sz w:val="20"/>
                <w:szCs w:val="20"/>
                <w:u w:val="none"/>
                <w:lang w:val="en-US" w:eastAsia="zh-CN"/>
                <w:highlight w:val="none"/>
              </w:rPr>
              <w:t>02</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3237" w:type="dxa"/>
            <w:gridSpan w:val="3"/>
            <w:tcBorders>
              <w:top w:val="nil"/>
              <w:left w:val="nil"/>
              <w:bottom w:val="single" w:sz="4" w:space="0" w:color="auto"/>
              <w:right w:val="nil"/>
            </w:tcBorders>
            <w:noWrap/>
            <w:vAlign w:val="bottom"/>
          </w:tcPr>
          <w:p>
            <w:pP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部门（单位）：中共昌黎县委员会办公室（汇总）                                                                                                         </w:t>
            </w:r>
          </w:p>
        </w:tc>
        <w:tc>
          <w:tcPr>
            <w:tcW w:w="3405" w:type="dxa"/>
            <w:gridSpan w:val="4"/>
            <w:tcBorders>
              <w:top w:val="nil"/>
              <w:left w:val="nil"/>
              <w:bottom w:val="single" w:sz="4" w:space="0" w:color="auto"/>
              <w:right w:val="nil"/>
            </w:tcBorders>
            <w:noWrap/>
            <w:vAlign w:val="bottom"/>
          </w:tcPr>
          <w:p>
            <w:pPr>
              <w:jc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Times New Roman" w:eastAsia="方正仿宋_GB2312" w:cs="Times New Roman" w:hAnsi="Times New Roman"/>
                <w:i w:val="0"/>
                <w:iCs w:val="0"/>
                <w:color w:val="000000"/>
                <w:sz w:val="20"/>
                <w:szCs w:val="20"/>
                <w:u w:val="none"/>
                <w:lang w:val="en-US" w:eastAsia="zh-CN"/>
                <w:highlight w:val="none"/>
              </w:rPr>
              <w:t>202</w:t>
            </w:r>
            <w:r>
              <w:rPr>
                <w:rFonts w:ascii="Times New Roman" w:eastAsia="方正仿宋_GB2312" w:cs="Times New Roman" w:hAnsi="Times New Roman" w:hint="eastAsia"/>
                <w:i w:val="0"/>
                <w:iCs w:val="0"/>
                <w:color w:val="00000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2588" w:type="dxa"/>
            <w:gridSpan w:val="3"/>
            <w:tcBorders>
              <w:top w:val="nil"/>
              <w:left w:val="nil"/>
              <w:bottom w:val="single" w:sz="4" w:space="0" w:color="auto"/>
              <w:right w:val="nil"/>
            </w:tcBorders>
            <w:noWrap/>
            <w:vAlign w:val="bottom"/>
          </w:tcPr>
          <w:p>
            <w:pPr>
              <w:jc w:val="right"/>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10"/>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上级补助收入</w:t>
            </w:r>
          </w:p>
        </w:tc>
        <w:tc>
          <w:tcPr>
            <w:tcW w:w="964" w:type="dxa"/>
            <w:vMerge w:val="restart"/>
            <w:tcBorders>
              <w:top w:val="single" w:sz="4" w:space="0" w:color="auto"/>
              <w:left w:val="nil"/>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经营收入</w:t>
            </w:r>
          </w:p>
        </w:tc>
        <w:tc>
          <w:tcPr>
            <w:tcW w:w="1027"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其他收入</w:t>
            </w:r>
          </w:p>
        </w:tc>
      </w:tr>
      <w:tr>
        <w:trPr>
          <w:trHeight w:val="312"/>
        </w:trPr>
        <w:tc>
          <w:tcPr>
            <w:tcW w:w="1040" w:type="dxa"/>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1160" w:type="dxa"/>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bottom w:val="single" w:sz="4" w:space="0" w:color="000000"/>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454"/>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1</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2</w:t>
            </w:r>
          </w:p>
        </w:tc>
        <w:tc>
          <w:tcPr>
            <w:tcW w:w="103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3</w:t>
            </w:r>
          </w:p>
        </w:tc>
        <w:tc>
          <w:tcPr>
            <w:tcW w:w="964"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4</w:t>
            </w:r>
          </w:p>
        </w:tc>
        <w:tc>
          <w:tcPr>
            <w:tcW w:w="964" w:type="dxa"/>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5</w:t>
            </w:r>
          </w:p>
        </w:tc>
        <w:tc>
          <w:tcPr>
            <w:tcW w:w="1027"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6</w:t>
            </w:r>
          </w:p>
        </w:tc>
        <w:tc>
          <w:tcPr>
            <w:tcW w:w="964" w:type="dxa"/>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7</w:t>
            </w:r>
          </w:p>
        </w:tc>
      </w:tr>
      <w:tr>
        <w:trPr>
          <w:trHeight w:val="567"/>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717.29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highlight w:val="none"/>
              </w:rPr>
              <w:t>717.29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一般公共服务支出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587.98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587.98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20131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党委办公厅（室）及相关机构事务</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587.98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587.98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2013101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行政运行</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390.81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390.81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2013102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一般行政管理事务</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99.50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99.50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2013150</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事业运行</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97.67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97.67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社会保障和就业支出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20805</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行政事业单位养老支出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2080505</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机关事业单位基本养老保险缴费支出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66.57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卫生健康支出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32.95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32.95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行政事业单位医疗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32.95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32.95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行政单位医疗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22.05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22.05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2101102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事业单位医疗</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10.90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10.90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住房保障支出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住房改革支出</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2210201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none"/>
              </w:rPr>
            </w:pPr>
            <w:r>
              <w:rPr>
                <w:rFonts w:ascii="方正仿宋_GB2312" w:eastAsia="方正仿宋_GB2312" w:cs="方正仿宋_GB2312" w:hAnsi="方正仿宋_GB2312" w:hint="eastAsia"/>
                <w:spacing w:val="-2"/>
                <w:sz w:val="20"/>
                <w:szCs w:val="20"/>
                <w:lang w:val="en-US" w:eastAsia="zh-CN"/>
              </w:rPr>
              <w:t>住房公积金</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r>
              <w:rPr>
                <w:rFonts w:ascii="Times New Roman" w:eastAsia="宋体" w:cs="Times New Roman" w:hAnsi="Times New Roman"/>
                <w:spacing w:val="-2"/>
                <w:sz w:val="20"/>
                <w:szCs w:val="20"/>
                <w:lang w:val="en-US" w:eastAsia="zh-CN"/>
              </w:rPr>
              <w:t>29.79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none"/>
              </w:rPr>
            </w:pPr>
          </w:p>
        </w:tc>
      </w:tr>
      <w:tr>
        <w:trPr>
          <w:trHeight w:val="308"/>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黑体" w:eastAsia="黑体" w:cs="宋体" w:hAnsi="黑体" w:hint="eastAsia"/>
          <w:bCs/>
          <w:kern w:val="0"/>
          <w:sz w:val="32"/>
          <w:szCs w:val="32"/>
          <w:highlight w:val="none"/>
        </w:rPr>
      </w:pPr>
      <w:r>
        <w:rPr>
          <w:rFonts w:ascii="仿宋_GB2312" w:eastAsia="仿宋_GB2312" w:hAnsi="宋体" w:hint="eastAsia"/>
          <w:b/>
          <w:color w:val="auto"/>
          <w:kern w:val="0"/>
          <w:sz w:val="32"/>
          <w:szCs w:val="32"/>
          <w:highlight w:val="none"/>
        </w:rPr>
        <w:br w:type="page"/>
      </w:r>
    </w:p>
    <w:tbl>
      <w:tblPr>
        <w:jc w:val="center"/>
        <w:tblW w:w="5812"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39"/>
        <w:gridCol w:w="1187"/>
        <w:gridCol w:w="1127"/>
        <w:gridCol w:w="127"/>
        <w:gridCol w:w="998"/>
        <w:gridCol w:w="1125"/>
        <w:gridCol w:w="499"/>
        <w:gridCol w:w="626"/>
        <w:gridCol w:w="1125"/>
        <w:gridCol w:w="1492"/>
      </w:tblGrid>
      <w:tr>
        <w:trPr>
          <w:trHeight w:val="550"/>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br w:type="page"/>
              <w:t>支出决算表</w:t>
            </w:r>
          </w:p>
        </w:tc>
      </w:tr>
      <w:tr>
        <w:trPr>
          <w:trHeight w:val="300"/>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i w:val="0"/>
                <w:iCs w:val="0"/>
                <w:color w:val="000000"/>
                <w:kern w:val="0"/>
                <w:sz w:val="20"/>
                <w:szCs w:val="20"/>
                <w:u w:val="none"/>
                <w:lang w:val="en-US" w:eastAsia="zh-CN"/>
                <w:highlight w:val="none"/>
              </w:rPr>
              <w:t>03</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862" w:type="pct"/>
            <w:gridSpan w:val="4"/>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部门（单位）：中共昌黎县委员会办公室（汇总）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140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734"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金额单位：万元</w:t>
            </w:r>
          </w:p>
        </w:tc>
      </w:tr>
      <w:tr>
        <w:trPr>
          <w:trHeight w:val="510"/>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603"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602"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经营支出</w:t>
            </w:r>
          </w:p>
        </w:tc>
        <w:tc>
          <w:tcPr>
            <w:tcW w:w="795"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对附属单位补助支出</w:t>
            </w:r>
          </w:p>
        </w:tc>
      </w:tr>
      <w:tr>
        <w:trPr>
          <w:trHeight w:val="308"/>
        </w:trPr>
        <w:tc>
          <w:tcPr>
            <w:tcW w:w="556"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635"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08"/>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08"/>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454"/>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603"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w:t>
            </w:r>
          </w:p>
        </w:tc>
        <w:tc>
          <w:tcPr>
            <w:tcW w:w="602" w:type="pct"/>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602"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602" w:type="pct"/>
            <w:gridSpan w:val="2"/>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602"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795" w:type="pc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r>
      <w:tr>
        <w:trPr>
          <w:trHeight w:val="308"/>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617.79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99.50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一般公共服务支出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587.98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488.48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党委办公厅（室）及相关机构事务</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587.98</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488.48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行政运行</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390.81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390.81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一般行政管理事务</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2013150</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事业运行</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97.67</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97.67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社会保障和就业支出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行政事业单位养老支出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2080505</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机关事业单位基本养老保险缴费支出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卫生健康支出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22.05</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22.05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事业单位医疗</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10.90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10.90</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住房保障支出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707"/>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住房改革支出</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住房公积金</w:t>
            </w:r>
          </w:p>
        </w:tc>
        <w:tc>
          <w:tcPr>
            <w:tcW w:w="60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95"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644" w:type="dxa"/>
        <w:tblW w:w="5852"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346"/>
        <w:gridCol w:w="593"/>
        <w:gridCol w:w="883"/>
        <w:gridCol w:w="1658"/>
        <w:gridCol w:w="199"/>
        <w:gridCol w:w="642"/>
        <w:gridCol w:w="679"/>
        <w:gridCol w:w="258"/>
        <w:gridCol w:w="999"/>
        <w:gridCol w:w="1024"/>
        <w:gridCol w:w="1129"/>
      </w:tblGrid>
      <w:tr>
        <w:trPr>
          <w:trHeight w:val="550"/>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财政拨款收入支出决算总表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公开04表</w:t>
            </w:r>
          </w:p>
        </w:tc>
      </w:tr>
      <w:tr>
        <w:trPr>
          <w:trHeight w:val="300"/>
        </w:trPr>
        <w:tc>
          <w:tcPr>
            <w:tcW w:w="2380" w:type="pct"/>
            <w:gridSpan w:val="4"/>
            <w:tcBorders>
              <w:top w:val="nil"/>
              <w:left w:val="nil"/>
              <w:bottom w:val="single" w:sz="4" w:space="0" w:color="auto"/>
              <w:right w:val="nil"/>
            </w:tcBorders>
            <w:noWrap/>
            <w:vAlign w:val="bottom"/>
          </w:tcPr>
          <w:p>
            <w:pPr>
              <w:rPr>
                <w:rFonts w:ascii="仿宋" w:eastAsia="仿宋" w:cs="仿宋" w:hAnsi="仿宋"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部门（单位）：中共昌黎县委员会办公室（汇总）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808" w:type="pct"/>
            <w:gridSpan w:val="3"/>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none"/>
              </w:rPr>
            </w:pPr>
            <w:r>
              <w:rPr>
                <w:rFonts w:ascii="Times New Roman"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811"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08"/>
        </w:trPr>
        <w:tc>
          <w:tcPr>
            <w:tcW w:w="1499" w:type="pct"/>
            <w:gridSpan w:val="3"/>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收入</w:t>
            </w:r>
          </w:p>
        </w:tc>
        <w:tc>
          <w:tcPr>
            <w:tcW w:w="3500" w:type="pct"/>
            <w:gridSpan w:val="8"/>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支出</w:t>
            </w:r>
          </w:p>
        </w:tc>
      </w:tr>
      <w:tr>
        <w:trPr>
          <w:trHeight w:val="312"/>
        </w:trPr>
        <w:tc>
          <w:tcPr>
            <w:tcW w:w="715"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    目</w:t>
            </w:r>
          </w:p>
        </w:tc>
        <w:tc>
          <w:tcPr>
            <w:tcW w:w="315"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469"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金额</w:t>
            </w:r>
          </w:p>
        </w:tc>
        <w:tc>
          <w:tcPr>
            <w:tcW w:w="987" w:type="pct"/>
            <w:gridSpan w:val="2"/>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341"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行次</w:t>
            </w:r>
          </w:p>
        </w:tc>
        <w:tc>
          <w:tcPr>
            <w:tcW w:w="498" w:type="pct"/>
            <w:gridSpan w:val="2"/>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合计</w:t>
            </w:r>
          </w:p>
        </w:tc>
        <w:tc>
          <w:tcPr>
            <w:tcW w:w="531"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一般公共预算财政拨款</w:t>
            </w:r>
          </w:p>
        </w:tc>
        <w:tc>
          <w:tcPr>
            <w:tcW w:w="544"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政府性基金预算财政拨款</w:t>
            </w:r>
          </w:p>
        </w:tc>
        <w:tc>
          <w:tcPr>
            <w:tcW w:w="597"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highlight w:val="none"/>
              </w:rPr>
              <w:t>国有资本经营预算财政拨款</w:t>
            </w:r>
          </w:p>
        </w:tc>
      </w:tr>
      <w:tr>
        <w:trPr>
          <w:trHeight w:val="312"/>
        </w:trPr>
        <w:tc>
          <w:tcPr>
            <w:tcW w:w="715" w:type="pct"/>
            <w:vMerge/>
            <w:tcBorders>
              <w:top w:val="nil"/>
              <w:left w:val="single" w:sz="4" w:space="0" w:color="000000"/>
              <w:bottom w:val="single" w:sz="4" w:space="0" w:color="000000"/>
              <w:right w:val="single" w:sz="4" w:space="0" w:color="000000"/>
            </w:tcBorders>
            <w:vAlign w:val="center"/>
          </w:tcPr>
          <w:p/>
        </w:tc>
        <w:tc>
          <w:tcPr>
            <w:tcW w:w="315" w:type="pct"/>
            <w:vMerge/>
            <w:tcBorders>
              <w:top w:val="nil"/>
              <w:left w:val="nil"/>
              <w:bottom w:val="single" w:sz="4" w:space="0" w:color="000000"/>
              <w:right w:val="single" w:sz="4" w:space="0" w:color="000000"/>
            </w:tcBorders>
            <w:vAlign w:val="center"/>
          </w:tcPr>
          <w:p/>
        </w:tc>
        <w:tc>
          <w:tcPr>
            <w:tcW w:w="469" w:type="pct"/>
            <w:vMerge/>
            <w:tcBorders>
              <w:top w:val="nil"/>
              <w:left w:val="nil"/>
              <w:bottom w:val="single" w:sz="4" w:space="0" w:color="000000"/>
              <w:right w:val="single" w:sz="4" w:space="0" w:color="000000"/>
            </w:tcBorders>
            <w:vAlign w:val="center"/>
          </w:tcPr>
          <w:p/>
        </w:tc>
        <w:tc>
          <w:tcPr>
            <w:tcW w:w="987" w:type="pct"/>
            <w:gridSpan w:val="2"/>
            <w:vMerge/>
            <w:tcBorders>
              <w:top w:val="nil"/>
              <w:left w:val="nil"/>
              <w:bottom w:val="single" w:sz="4" w:space="0" w:color="000000"/>
              <w:right w:val="single" w:sz="4" w:space="0" w:color="000000"/>
            </w:tcBorders>
            <w:vAlign w:val="center"/>
          </w:tcPr>
          <w:p/>
        </w:tc>
        <w:tc>
          <w:tcPr>
            <w:tcW w:w="341" w:type="pct"/>
            <w:vMerge/>
            <w:tcBorders>
              <w:top w:val="nil"/>
              <w:left w:val="nil"/>
              <w:bottom w:val="single" w:sz="4" w:space="0" w:color="000000"/>
              <w:right w:val="single" w:sz="4" w:space="0" w:color="000000"/>
            </w:tcBorders>
            <w:vAlign w:val="center"/>
          </w:tcPr>
          <w:p/>
        </w:tc>
        <w:tc>
          <w:tcPr>
            <w:tcW w:w="498" w:type="pct"/>
            <w:gridSpan w:val="2"/>
            <w:vMerge/>
            <w:tcBorders>
              <w:left w:val="nil"/>
              <w:bottom w:val="single" w:sz="4" w:space="0" w:color="000000"/>
              <w:right w:val="single" w:sz="8" w:space="0" w:color="000000"/>
            </w:tcBorders>
            <w:vAlign w:val="center"/>
          </w:tcPr>
          <w:p/>
        </w:tc>
        <w:tc>
          <w:tcPr>
            <w:tcW w:w="531" w:type="pct"/>
            <w:vMerge/>
            <w:tcBorders>
              <w:left w:val="nil"/>
              <w:bottom w:val="single" w:sz="4" w:space="0" w:color="000000"/>
              <w:right w:val="single" w:sz="8" w:space="0" w:color="000000"/>
            </w:tcBorders>
            <w:vAlign w:val="center"/>
          </w:tcPr>
          <w:p/>
        </w:tc>
        <w:tc>
          <w:tcPr>
            <w:tcW w:w="544" w:type="pct"/>
            <w:vMerge/>
            <w:tcBorders>
              <w:left w:val="nil"/>
              <w:bottom w:val="single" w:sz="4" w:space="0" w:color="000000"/>
              <w:right w:val="single" w:sz="8" w:space="0" w:color="000000"/>
            </w:tcBorders>
            <w:vAlign w:val="center"/>
          </w:tcPr>
          <w:p/>
        </w:tc>
        <w:tc>
          <w:tcPr>
            <w:tcW w:w="597" w:type="pct"/>
            <w:vMerge/>
            <w:tcBorders>
              <w:left w:val="nil"/>
              <w:bottom w:val="single" w:sz="4" w:space="0" w:color="000000"/>
              <w:right w:val="single" w:sz="8" w:space="0" w:color="000000"/>
            </w:tcBorders>
            <w:vAlign w:val="center"/>
          </w:tc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    次</w:t>
            </w:r>
          </w:p>
        </w:tc>
        <w:tc>
          <w:tcPr>
            <w:tcW w:w="315"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46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1</w:t>
            </w: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    次</w:t>
            </w:r>
          </w:p>
        </w:tc>
        <w:tc>
          <w:tcPr>
            <w:tcW w:w="341"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49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2</w:t>
            </w:r>
          </w:p>
        </w:tc>
        <w:tc>
          <w:tcPr>
            <w:tcW w:w="53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3</w:t>
            </w:r>
          </w:p>
        </w:tc>
        <w:tc>
          <w:tcPr>
            <w:tcW w:w="544"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4</w:t>
            </w:r>
          </w:p>
        </w:tc>
        <w:tc>
          <w:tcPr>
            <w:tcW w:w="597" w:type="pct"/>
            <w:tcBorders>
              <w:top w:val="nil"/>
              <w:left w:val="nil"/>
              <w:bottom w:val="single" w:sz="4" w:space="0" w:color="000000"/>
              <w:right w:val="single" w:sz="8"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none"/>
              </w:rPr>
            </w:pPr>
            <w:r>
              <w:rPr>
                <w:rFonts w:ascii="宋体" w:eastAsia="宋体" w:cs="宋体" w:hAnsi="宋体" w:hint="eastAsia"/>
                <w:i w:val="0"/>
                <w:iCs w:val="0"/>
                <w:color w:val="000000"/>
                <w:kern w:val="0"/>
                <w:sz w:val="20"/>
                <w:szCs w:val="20"/>
                <w:u w:val="none"/>
                <w:lang w:val="en-US" w:eastAsia="zh-CN"/>
                <w:highlight w:val="none"/>
              </w:rPr>
              <w:t>5</w:t>
            </w: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一、一般公共服务支出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33</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587.98</w:t>
            </w: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587.98</w:t>
            </w: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二、外交支出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34</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三、国防支出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35</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四、公共安全支出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36</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五、教育支出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37</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六、科学技术支出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38</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7</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七、文化旅游体育与传媒支出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39</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8</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八、社会保障和就业支出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40</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66.57</w:t>
            </w: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66.57</w:t>
            </w: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9</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九、卫生健康支出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41</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32.95</w:t>
            </w: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32.95</w:t>
            </w: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10</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十、节能环保支出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42</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11</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十一、城乡社区支出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43</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12</w:t>
            </w:r>
          </w:p>
        </w:tc>
        <w:tc>
          <w:tcPr>
            <w:tcW w:w="469"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十二、农林水支出</w:t>
            </w:r>
          </w:p>
        </w:tc>
        <w:tc>
          <w:tcPr>
            <w:tcW w:w="341"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44</w:t>
            </w:r>
          </w:p>
        </w:tc>
        <w:tc>
          <w:tcPr>
            <w:tcW w:w="498"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auto"/>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13</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十三、交通运输支出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45</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14</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十四、资源勘探工业信息等支出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46</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15</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十五、商业服务业等支出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47</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16</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十六、金融支出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48</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17</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十七、援助其他地区支出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49</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18</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十八、自然资源海洋气象等支出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50</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86"/>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19</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十九、住房保障支出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51</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29.79</w:t>
            </w: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29.79</w:t>
            </w: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20</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二十、粮油物资储备支出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52</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21</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二十一、国有资本经营预算支出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53</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22</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二十二、灾害防治及应急管理支出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54</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23</w:t>
            </w:r>
          </w:p>
        </w:tc>
        <w:tc>
          <w:tcPr>
            <w:tcW w:w="46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二十三、其他支出</w:t>
            </w:r>
          </w:p>
        </w:tc>
        <w:tc>
          <w:tcPr>
            <w:tcW w:w="341"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55</w:t>
            </w:r>
          </w:p>
        </w:tc>
        <w:tc>
          <w:tcPr>
            <w:tcW w:w="49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none"/>
              </w:rPr>
            </w:pPr>
          </w:p>
        </w:tc>
        <w:tc>
          <w:tcPr>
            <w:tcW w:w="315"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24</w:t>
            </w:r>
          </w:p>
        </w:tc>
        <w:tc>
          <w:tcPr>
            <w:tcW w:w="469"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二十四、债务还本支出</w:t>
            </w:r>
          </w:p>
        </w:tc>
        <w:tc>
          <w:tcPr>
            <w:tcW w:w="341"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56</w:t>
            </w:r>
          </w:p>
        </w:tc>
        <w:tc>
          <w:tcPr>
            <w:tcW w:w="498"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single" w:sz="4" w:space="0" w:color="auto"/>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b/>
                <w:bCs/>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25</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二十五、债务付息支出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57</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none"/>
              </w:rPr>
            </w:pP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26</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二十六、抗疫特别国债安排的支出</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58</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本年收入合计</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27</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本年支出合计</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59</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年初财政拨款结转和结余</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28</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年末财政拨款结转和结余</w:t>
            </w: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60</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both"/>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both"/>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一、一般公共预算财政拨款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29</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61</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二、政府性基金预算财政拨款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30</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62</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三、国有资本经营预算财政拨款</w:t>
            </w:r>
          </w:p>
        </w:tc>
        <w:tc>
          <w:tcPr>
            <w:tcW w:w="31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31</w:t>
            </w:r>
          </w:p>
        </w:tc>
        <w:tc>
          <w:tcPr>
            <w:tcW w:w="46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87"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p>
        </w:tc>
        <w:tc>
          <w:tcPr>
            <w:tcW w:w="34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63</w:t>
            </w:r>
          </w:p>
        </w:tc>
        <w:tc>
          <w:tcPr>
            <w:tcW w:w="498"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31"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none"/>
              </w:rPr>
            </w:pPr>
          </w:p>
        </w:tc>
      </w:tr>
      <w:tr>
        <w:trPr>
          <w:trHeight w:val="308"/>
        </w:trPr>
        <w:tc>
          <w:tcPr>
            <w:tcW w:w="715" w:type="pct"/>
            <w:tcBorders>
              <w:top w:val="nil"/>
              <w:left w:val="single" w:sz="4" w:space="0" w:color="000000"/>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315"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32</w:t>
            </w:r>
          </w:p>
        </w:tc>
        <w:tc>
          <w:tcPr>
            <w:tcW w:w="469"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987" w:type="pct"/>
            <w:gridSpan w:val="2"/>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none"/>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none"/>
              </w:rPr>
              <w:t>总计</w:t>
            </w:r>
          </w:p>
        </w:tc>
        <w:tc>
          <w:tcPr>
            <w:tcW w:w="341"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kern w:val="0"/>
                <w:sz w:val="20"/>
                <w:szCs w:val="20"/>
                <w:u w:val="none"/>
                <w:lang w:val="en-US" w:eastAsia="zh-CN"/>
                <w:highlight w:val="none"/>
              </w:rPr>
              <w:t>64</w:t>
            </w:r>
          </w:p>
        </w:tc>
        <w:tc>
          <w:tcPr>
            <w:tcW w:w="498" w:type="pct"/>
            <w:gridSpan w:val="2"/>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531"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sz w:val="20"/>
                <w:szCs w:val="20"/>
                <w:highlight w:val="none"/>
              </w:rPr>
            </w:pPr>
          </w:p>
          <w:p>
            <w:pPr>
              <w:jc w:val="right"/>
              <w:rPr>
                <w:rFonts w:ascii="Times New Roman" w:cs="Times New Roman" w:hAnsi="Times New Roman"/>
                <w:sz w:val="20"/>
                <w:szCs w:val="20"/>
                <w:highlight w:val="none"/>
              </w:rPr>
            </w:pPr>
            <w:r>
              <w:rPr>
                <w:rFonts w:ascii="Times New Roman" w:cs="Times New Roman" w:hAnsi="Times New Roman"/>
                <w:sz w:val="20"/>
                <w:szCs w:val="20"/>
                <w:highlight w:val="none"/>
              </w:rPr>
              <w:t>717.29</w:t>
            </w:r>
          </w:p>
          <w:p>
            <w:pPr>
              <w:jc w:val="right"/>
              <w:rPr>
                <w:rFonts w:ascii="Times New Roman" w:eastAsia="宋体" w:cs="Times New Roman" w:hAnsi="Times New Roman"/>
                <w:i w:val="0"/>
                <w:iCs w:val="0"/>
                <w:color w:val="000000"/>
                <w:sz w:val="20"/>
                <w:szCs w:val="20"/>
                <w:u w:val="none"/>
                <w:highlight w:val="none"/>
              </w:rPr>
            </w:pPr>
          </w:p>
        </w:tc>
        <w:tc>
          <w:tcPr>
            <w:tcW w:w="544"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97" w:type="pct"/>
            <w:tcBorders>
              <w:top w:val="nil"/>
              <w:left w:val="nil"/>
              <w:bottom w:val="single" w:sz="8"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657" w:type="dxa"/>
        <w:tblW w:w="534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1211"/>
        <w:gridCol w:w="1302"/>
        <w:gridCol w:w="700"/>
        <w:gridCol w:w="1295"/>
        <w:gridCol w:w="1355"/>
        <w:gridCol w:w="640"/>
        <w:gridCol w:w="2097"/>
      </w:tblGrid>
      <w:tr>
        <w:trPr>
          <w:trHeight w:val="657"/>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一般公共预算财政拨款支出决算表</w:t>
            </w:r>
          </w:p>
        </w:tc>
      </w:tr>
      <w:tr>
        <w:trPr>
          <w:trHeight w:val="329"/>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方正仿宋_GB2312" w:cs="Times New Roman" w:hAnsi="Times New Roman"/>
                <w:i w:val="0"/>
                <w:iCs w:val="0"/>
                <w:color w:val="000000"/>
                <w:kern w:val="0"/>
                <w:sz w:val="20"/>
                <w:szCs w:val="20"/>
                <w:u w:val="none"/>
                <w:lang w:val="en-US" w:eastAsia="zh-CN"/>
                <w:highlight w:val="none"/>
              </w:rPr>
              <w:t>05</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29"/>
        </w:trPr>
        <w:tc>
          <w:tcPr>
            <w:tcW w:w="1868"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编制部门（单位）：中共昌黎县委员会办公室（汇总）</w:t>
            </w:r>
          </w:p>
        </w:tc>
        <w:tc>
          <w:tcPr>
            <w:tcW w:w="1541" w:type="pct"/>
            <w:gridSpan w:val="2"/>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cs="Times New Roman" w:hAnsi="Times New Roman"/>
                <w:i w:val="0"/>
                <w:iCs w:val="0"/>
                <w:color w:val="000000"/>
                <w:kern w:val="0"/>
                <w:sz w:val="20"/>
                <w:szCs w:val="20"/>
                <w:u w:val="none"/>
                <w:lang w:val="en-US" w:eastAsia="zh-CN"/>
                <w:highlight w:val="none"/>
              </w:rPr>
              <w:t>202</w:t>
            </w:r>
            <w:r>
              <w:rPr>
                <w:rFonts w:ascii="Times New Roman"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590" w:type="pct"/>
            <w:gridSpan w:val="2"/>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w:t>
            </w:r>
          </w:p>
        </w:tc>
      </w:tr>
      <w:tr>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r>
      <w:tr>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2</w:t>
            </w:r>
          </w:p>
        </w:tc>
        <w:tc>
          <w:tcPr>
            <w:tcW w:w="121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none"/>
              </w:rPr>
            </w:pPr>
            <w:r>
              <w:rPr>
                <w:rFonts w:ascii="宋体" w:eastAsia="宋体" w:cs="宋体" w:hAnsi="宋体" w:hint="eastAsia"/>
                <w:i w:val="0"/>
                <w:iCs w:val="0"/>
                <w:color w:val="000000"/>
                <w:sz w:val="20"/>
                <w:szCs w:val="20"/>
                <w:u w:val="none"/>
                <w:lang w:val="en-US" w:eastAsia="zh-CN"/>
                <w:highlight w:val="none"/>
              </w:rPr>
              <w:t>3</w:t>
            </w: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717.29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617.79</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cs="Times New Roman" w:hAnsi="Times New Roman"/>
                <w:sz w:val="20"/>
                <w:szCs w:val="20"/>
                <w:highlight w:val="none"/>
              </w:rPr>
              <w:t>99.50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一般公共服务支出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587.98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488.48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r>
      <w:tr>
        <w:trPr>
          <w:trHeight w:val="552"/>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党委办公厅（室）及相关机构事务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587.98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488.48</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r>
      <w:tr>
        <w:trPr>
          <w:trHeight w:val="469"/>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390.81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390.81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05"/>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99.50</w:t>
            </w:r>
          </w:p>
        </w:tc>
      </w:tr>
      <w:tr>
        <w:trPr>
          <w:trHeight w:val="456"/>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2013150</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97.67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97.67</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77"/>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39"/>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66.57</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9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493"/>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32.95</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65"/>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行政单位医疗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22.05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22.05</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05"/>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2101102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10.90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10.90</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77"/>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40"/>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540"/>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r>
              <w:rPr>
                <w:rFonts w:ascii="Times New Roman" w:eastAsia="宋体" w:cs="Times New Roman" w:hAnsi="Times New Roman"/>
                <w:i w:val="0"/>
                <w:iCs w:val="0"/>
                <w:color w:val="000000"/>
                <w:sz w:val="20"/>
                <w:szCs w:val="20"/>
                <w:u w:val="none"/>
                <w:lang w:val="en-US" w:eastAsia="zh-CN"/>
                <w:highlight w:val="none"/>
              </w:rPr>
              <w:t>29.79</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661"/>
        </w:trPr>
        <w:tc>
          <w:tcPr>
            <w:tcW w:w="5000" w:type="pct"/>
            <w:gridSpan w:val="7"/>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注：本表反映部门本年度一般公共预算财政拨款支出情况。</w:t>
            </w:r>
          </w:p>
        </w:tc>
      </w:tr>
    </w:tbl>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1064" w:type="dxa"/>
        <w:tblW w:w="6259"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753"/>
        <w:gridCol w:w="1471"/>
        <w:gridCol w:w="1021"/>
        <w:gridCol w:w="962"/>
        <w:gridCol w:w="439"/>
        <w:gridCol w:w="958"/>
        <w:gridCol w:w="1004"/>
        <w:gridCol w:w="68"/>
        <w:gridCol w:w="801"/>
        <w:gridCol w:w="1610"/>
        <w:gridCol w:w="976"/>
      </w:tblGrid>
      <w:tr>
        <w:trPr>
          <w:trHeight w:val="624"/>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一般公共预算财政拨款基本支出决算明细表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公开</w:t>
            </w:r>
            <w:r>
              <w:rPr>
                <w:rFonts w:ascii="Times New Roman" w:eastAsia="方正仿宋_GB2312" w:cs="Times New Roman" w:hAnsi="Times New Roman"/>
                <w:i w:val="0"/>
                <w:iCs w:val="0"/>
                <w:color w:val="000000"/>
                <w:kern w:val="0"/>
                <w:sz w:val="18"/>
                <w:szCs w:val="18"/>
                <w:u w:val="none"/>
                <w:lang w:val="en-US" w:eastAsia="zh-CN"/>
                <w:highlight w:val="none"/>
              </w:rPr>
              <w:t>06</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表</w:t>
            </w:r>
          </w:p>
        </w:tc>
      </w:tr>
      <w:tr>
        <w:trPr>
          <w:trHeight w:val="90"/>
        </w:trPr>
        <w:tc>
          <w:tcPr>
            <w:tcW w:w="2308" w:type="pct"/>
            <w:gridSpan w:val="5"/>
            <w:tcBorders>
              <w:top w:val="nil"/>
              <w:left w:val="nil"/>
              <w:bottom w:val="single" w:sz="4" w:space="0" w:color="auto"/>
              <w:right w:val="nil"/>
            </w:tcBorders>
            <w:noWrap/>
            <w:vAlign w:val="bottom"/>
          </w:tcPr>
          <w:p>
            <w:pP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部门（单位）：中共昌黎县委员会办公室（汇总） </w:t>
            </w:r>
            <w:r>
              <w:rPr>
                <w:rFonts w:ascii="宋体" w:cs="宋体" w:hAnsi="宋体" w:hint="eastAsia"/>
                <w:i w:val="0"/>
                <w:iCs w:val="0"/>
                <w:color w:val="000000"/>
                <w:kern w:val="0"/>
                <w:sz w:val="18"/>
                <w:szCs w:val="18"/>
                <w:u w:val="none"/>
                <w:lang w:val="en-US" w:eastAsia="zh-CN"/>
                <w:highlight w:val="none"/>
              </w:rPr>
              <w:t xml:space="preserve">                                                                   </w:t>
            </w:r>
          </w:p>
        </w:tc>
        <w:tc>
          <w:tcPr>
            <w:tcW w:w="975"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18"/>
                <w:szCs w:val="18"/>
                <w:u w:val="none"/>
                <w:lang w:val="en-US" w:eastAsia="zh-CN"/>
                <w:highlight w:val="none"/>
              </w:rPr>
            </w:pPr>
            <w:r>
              <w:rPr>
                <w:rFonts w:ascii="宋体" w:cs="宋体" w:hAnsi="宋体" w:hint="eastAsia"/>
                <w:i w:val="0"/>
                <w:iCs w:val="0"/>
                <w:color w:val="000000"/>
                <w:kern w:val="0"/>
                <w:sz w:val="18"/>
                <w:szCs w:val="18"/>
                <w:u w:val="none"/>
                <w:lang w:val="en-US" w:eastAsia="zh-CN"/>
                <w:highlight w:val="none"/>
              </w:rPr>
              <w:t>2024</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年度</w:t>
            </w:r>
          </w:p>
        </w:tc>
        <w:tc>
          <w:tcPr>
            <w:tcW w:w="1716"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18"/>
                <w:szCs w:val="18"/>
                <w:u w:val="none"/>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金额单位：万元</w:t>
            </w:r>
          </w:p>
        </w:tc>
      </w:tr>
      <w:tr>
        <w:trPr>
          <w:trHeight w:val="510"/>
        </w:trPr>
        <w:tc>
          <w:tcPr>
            <w:tcW w:w="1612"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人员经费</w:t>
            </w:r>
          </w:p>
        </w:tc>
        <w:tc>
          <w:tcPr>
            <w:tcW w:w="3387" w:type="pct"/>
            <w:gridSpan w:val="8"/>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公用经费</w:t>
            </w:r>
          </w:p>
        </w:tc>
      </w:tr>
      <w:tr>
        <w:trPr>
          <w:trHeight w:val="510"/>
        </w:trPr>
        <w:tc>
          <w:tcPr>
            <w:tcW w:w="37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科目代码</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50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c>
          <w:tcPr>
            <w:tcW w:w="47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none"/>
              </w:rPr>
            </w:pPr>
            <w:r>
              <w:rPr>
                <w:rFonts w:ascii="方正仿宋_GB2312" w:eastAsia="方正仿宋_GB2312" w:cs="方正仿宋_GB2312" w:hAnsi="方正仿宋_GB2312" w:hint="eastAsia"/>
                <w:i w:val="0"/>
                <w:iCs w:val="0"/>
                <w:color w:val="000000"/>
                <w:sz w:val="18"/>
                <w:szCs w:val="18"/>
                <w:u w:val="none"/>
                <w:lang w:val="en-US" w:eastAsia="zh-CN"/>
                <w:highlight w:val="none"/>
              </w:rPr>
              <w:t>科目代码</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c>
          <w:tcPr>
            <w:tcW w:w="39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none"/>
              </w:rPr>
            </w:pPr>
            <w:r>
              <w:rPr>
                <w:rFonts w:ascii="方正仿宋_GB2312" w:eastAsia="方正仿宋_GB2312" w:cs="方正仿宋_GB2312" w:hAnsi="方正仿宋_GB2312" w:hint="eastAsia"/>
                <w:i w:val="0"/>
                <w:iCs w:val="0"/>
                <w:color w:val="000000"/>
                <w:sz w:val="18"/>
                <w:szCs w:val="18"/>
                <w:u w:val="none"/>
                <w:lang w:val="en-US" w:eastAsia="zh-CN"/>
                <w:highlight w:val="none"/>
              </w:rPr>
              <w:t>科目代码</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科目名称</w:t>
            </w:r>
          </w:p>
        </w:tc>
        <w:tc>
          <w:tcPr>
            <w:tcW w:w="48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w:t>
            </w: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工资福利支出</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525.01</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商品和服务支出</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66.10</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债务利息及费用支出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30101</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基本工资</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232.92</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30201</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办公费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12.11</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30701</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国内债务付息</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30102</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津贴补贴</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84.90</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30202</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印刷费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0.25</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30702</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国外债务付息</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30103</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奖金</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41.38</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30203</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咨询费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资本性支出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30106</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伙食补助费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30204</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手续费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31001</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房屋建筑物购建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30107</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绩效工资</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cs="Times New Roman" w:hAnsi="Times New Roman" w:hint="eastAsia"/>
                <w:sz w:val="18"/>
                <w:szCs w:val="18"/>
                <w:lang w:eastAsia="zh-CN"/>
                <w:highlight w:val="none"/>
              </w:rPr>
              <w:t>34.24</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30205</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水费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31002</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办公设备购置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30108</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机关事业单位基本养老保险缴费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r>
              <w:rPr>
                <w:rFonts w:ascii="Times New Roman" w:cs="Times New Roman" w:hAnsi="Times New Roman" w:hint="eastAsia"/>
                <w:sz w:val="18"/>
                <w:szCs w:val="18"/>
                <w:lang w:eastAsia="zh-CN"/>
                <w:highlight w:val="none"/>
              </w:rPr>
              <w:t>66.57</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30206</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电费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31003</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专用设备购置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30109</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职业年金缴费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30207</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邮电费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31005</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基础设施建设</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30110</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职工基本医疗保险缴费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32.95</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30208</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取暖费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31006</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大型修缮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30111</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公务员医疗补助缴费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30209</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物业管理费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31007</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信息网络及软件购置更新</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30112</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其他社会保障缴费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2.26</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30211</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差旅费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0.09</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31008</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物资储备</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30113</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住房公积金</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29.79</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30212</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因公出国（境）费用</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31009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土地补偿</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30114</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医疗费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30213</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维修（护）费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31010</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安置补助</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30199</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其他工资福利支出</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30214</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 xml:space="preserve">  租赁费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31011</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地上附着物和青苗补偿</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对个人和家庭的补助</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26.69</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30215</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会议费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31012</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拆迁补偿</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30301</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离休费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30216</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培训费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31013</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30302</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退休费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24.06</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30217</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31019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其他交通工具购置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30303</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退职（役）费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30218</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专用材料费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31021</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文物和陈列品购置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30304</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抚恤金</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30224</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被装购置费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31022</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无形资产购置</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30305</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生活补助</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2.49</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30225</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专用燃料费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31099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其他资本性支出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30306</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救济费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30226</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劳务费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对企业补助</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30307</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医疗费补助</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30227</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委托业务费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31201</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资本金注入</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30308</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助学金</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30228</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工会经费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5.49</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31203</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政府投资基金股权投资</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30309</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奖励金</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0.13</w:t>
            </w: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30229</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福利费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31204</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费用补贴</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30310</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个人农业生产补贴</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30231</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16.03</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31205</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利息补贴</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30311</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代缴社会保险费</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30239</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其他交通费用</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25.95</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31299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其他对企业补助</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30399</w:t>
            </w:r>
          </w:p>
        </w:tc>
        <w:tc>
          <w:tcPr>
            <w:tcW w:w="730"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其他对个人和家庭的补助</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30240</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税金及附加费用</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3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06" w:type="pct"/>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30299</w:t>
            </w: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其他商品和服务支出</w:t>
            </w: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sz w:val="18"/>
                <w:szCs w:val="18"/>
                <w:highlight w:val="none"/>
              </w:rPr>
              <w:t>6.18</w:t>
            </w: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39907</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国家赔偿费用支出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3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06"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39908</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对民间非营利组织和群众性自治组织补贴</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3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06"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39909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经常性赠与</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3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06"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39910</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资本性赠与</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374"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p>
        </w:tc>
        <w:tc>
          <w:tcPr>
            <w:tcW w:w="730"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06"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478"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69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none"/>
              </w:rPr>
            </w:pPr>
          </w:p>
        </w:tc>
        <w:tc>
          <w:tcPr>
            <w:tcW w:w="533"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none"/>
              </w:rPr>
            </w:pPr>
            <w:r>
              <w:rPr>
                <w:rFonts w:ascii="Times New Roman" w:eastAsia="宋体" w:cs="Times New Roman" w:hAnsi="Times New Roman"/>
                <w:i w:val="0"/>
                <w:iCs w:val="0"/>
                <w:color w:val="000000"/>
                <w:kern w:val="0"/>
                <w:sz w:val="18"/>
                <w:szCs w:val="18"/>
                <w:u w:val="none"/>
                <w:lang w:val="en-US" w:eastAsia="zh-CN"/>
                <w:highlight w:val="none"/>
              </w:rPr>
              <w:t>39999</w:t>
            </w:r>
          </w:p>
        </w:tc>
        <w:tc>
          <w:tcPr>
            <w:tcW w:w="79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其他支出</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none"/>
              </w:rPr>
            </w:pPr>
          </w:p>
        </w:tc>
      </w:tr>
      <w:tr>
        <w:trPr>
          <w:trHeight w:val="510"/>
        </w:trPr>
        <w:tc>
          <w:tcPr>
            <w:tcW w:w="110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宋体" w:cs="Times New Roman" w:hAnsi="Times New Roman"/>
                <w:sz w:val="18"/>
                <w:szCs w:val="18"/>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人员经费合计</w:t>
            </w:r>
          </w:p>
        </w:tc>
        <w:tc>
          <w:tcPr>
            <w:tcW w:w="50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sz w:val="18"/>
                <w:szCs w:val="18"/>
                <w:highlight w:val="none"/>
              </w:rPr>
            </w:pPr>
            <w:r>
              <w:rPr>
                <w:rFonts w:ascii="Times New Roman" w:eastAsia="宋体" w:cs="Times New Roman" w:hAnsi="Times New Roman"/>
                <w:sz w:val="18"/>
                <w:szCs w:val="18"/>
                <w:highlight w:val="none"/>
              </w:rPr>
              <w:t>551.69</w:t>
            </w:r>
          </w:p>
        </w:tc>
        <w:tc>
          <w:tcPr>
            <w:tcW w:w="2903" w:type="pct"/>
            <w:gridSpan w:val="7"/>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公用经费合计</w:t>
            </w:r>
          </w:p>
        </w:tc>
        <w:tc>
          <w:tcPr>
            <w:tcW w:w="484"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none"/>
              </w:rPr>
            </w:pPr>
            <w:r>
              <w:rPr>
                <w:rFonts w:ascii="Times New Roman" w:eastAsia="宋体" w:cs="Times New Roman" w:hAnsi="Times New Roman"/>
                <w:sz w:val="18"/>
                <w:szCs w:val="18"/>
                <w:highlight w:val="none"/>
              </w:rPr>
              <w:t>66.10</w:t>
            </w:r>
          </w:p>
        </w:tc>
      </w:tr>
      <w:tr>
        <w:trPr>
          <w:trHeight w:val="510"/>
        </w:trPr>
        <w:tc>
          <w:tcPr>
            <w:tcW w:w="5000" w:type="pct"/>
            <w:gridSpan w:val="11"/>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1039" w:type="dxa"/>
        <w:tblW w:w="6167"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894"/>
        <w:gridCol w:w="1474"/>
        <w:gridCol w:w="1305"/>
        <w:gridCol w:w="1025"/>
        <w:gridCol w:w="1107"/>
        <w:gridCol w:w="418"/>
        <w:gridCol w:w="700"/>
        <w:gridCol w:w="1146"/>
        <w:gridCol w:w="1846"/>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政府性基金预算财政拨款收入支出决算表</w:t>
            </w:r>
          </w:p>
        </w:tc>
      </w:tr>
      <w:tr>
        <w:trPr>
          <w:trHeight w:val="9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宋体" w:cs="Times New Roman" w:hAnsi="Times New Roman"/>
                <w:i w:val="0"/>
                <w:iCs w:val="0"/>
                <w:color w:val="000000"/>
                <w:kern w:val="0"/>
                <w:sz w:val="20"/>
                <w:szCs w:val="20"/>
                <w:u w:val="none"/>
                <w:lang w:val="en-US" w:eastAsia="zh-CN"/>
                <w:highlight w:val="none"/>
              </w:rPr>
              <w:t>07</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852"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部门（单位）：中共昌黎县委员会办公室（汇总） </w:t>
            </w:r>
            <w:r>
              <w:rPr>
                <w:rFonts w:ascii="宋体" w:eastAsia="宋体" w:cs="宋体" w:hAnsi="宋体" w:hint="eastAsia"/>
                <w:i w:val="0"/>
                <w:iCs w:val="0"/>
                <w:color w:val="000000"/>
                <w:kern w:val="0"/>
                <w:sz w:val="20"/>
                <w:szCs w:val="20"/>
                <w:u w:val="none"/>
                <w:lang w:val="en-US" w:eastAsia="zh-CN"/>
                <w:highlight w:val="none"/>
              </w:rPr>
              <w:t xml:space="preserve">                                                                                     </w:t>
            </w:r>
          </w:p>
        </w:tc>
        <w:tc>
          <w:tcPr>
            <w:tcW w:w="1286"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eastAsia="宋体"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860"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08"/>
        </w:trPr>
        <w:tc>
          <w:tcPr>
            <w:tcW w:w="1194" w:type="pct"/>
            <w:gridSpan w:val="2"/>
            <w:tcBorders>
              <w:top w:val="single" w:sz="4" w:space="0" w:color="auto"/>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w:t>
            </w:r>
          </w:p>
        </w:tc>
        <w:tc>
          <w:tcPr>
            <w:tcW w:w="658"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年初结转和结余</w:t>
            </w:r>
          </w:p>
        </w:tc>
        <w:tc>
          <w:tcPr>
            <w:tcW w:w="517" w:type="pct"/>
            <w:vMerge w:val="restart"/>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本年收入</w:t>
            </w:r>
          </w:p>
        </w:tc>
        <w:tc>
          <w:tcPr>
            <w:tcW w:w="1700" w:type="pct"/>
            <w:gridSpan w:val="4"/>
            <w:tcBorders>
              <w:top w:val="single" w:sz="4" w:space="0" w:color="auto"/>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本年支出</w:t>
            </w:r>
          </w:p>
        </w:tc>
        <w:tc>
          <w:tcPr>
            <w:tcW w:w="928" w:type="pct"/>
            <w:vMerge w:val="restart"/>
            <w:tcBorders>
              <w:top w:val="single" w:sz="4" w:space="0" w:color="auto"/>
              <w:left w:val="nil"/>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年末结转和结余</w:t>
            </w:r>
          </w:p>
        </w:tc>
      </w:tr>
      <w:tr>
        <w:trPr>
          <w:trHeight w:val="312"/>
        </w:trPr>
        <w:tc>
          <w:tcPr>
            <w:tcW w:w="451" w:type="pct"/>
            <w:vMerge w:val="restart"/>
            <w:tcBorders>
              <w:top w:val="nil"/>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743"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科目名称</w:t>
            </w:r>
          </w:p>
        </w:tc>
        <w:tc>
          <w:tcPr>
            <w:tcW w:w="658" w:type="pct"/>
            <w:vMerge/>
            <w:tcBorders>
              <w:top w:val="single" w:sz="4" w:space="0" w:color="000000"/>
              <w:left w:val="nil"/>
              <w:bottom w:val="single" w:sz="4" w:space="0" w:color="000000"/>
              <w:right w:val="single" w:sz="4" w:space="0" w:color="000000"/>
            </w:tcBorders>
            <w:vAlign w:val="center"/>
          </w:tcPr>
          <w:p/>
        </w:tc>
        <w:tc>
          <w:tcPr>
            <w:tcW w:w="517" w:type="pct"/>
            <w:vMerge/>
            <w:tcBorders>
              <w:top w:val="single" w:sz="4" w:space="0" w:color="000000"/>
              <w:left w:val="nil"/>
              <w:bottom w:val="single" w:sz="4" w:space="0" w:color="000000"/>
              <w:right w:val="single" w:sz="4" w:space="0" w:color="000000"/>
            </w:tcBorders>
            <w:vAlign w:val="center"/>
          </w:tcPr>
          <w:p/>
        </w:tc>
        <w:tc>
          <w:tcPr>
            <w:tcW w:w="558"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小计</w:t>
            </w:r>
          </w:p>
        </w:tc>
        <w:tc>
          <w:tcPr>
            <w:tcW w:w="564" w:type="pct"/>
            <w:gridSpan w:val="2"/>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基本支出</w:t>
            </w:r>
          </w:p>
        </w:tc>
        <w:tc>
          <w:tcPr>
            <w:tcW w:w="577" w:type="pct"/>
            <w:vMerge w:val="restart"/>
            <w:tcBorders>
              <w:top w:val="nil"/>
              <w:left w:val="nil"/>
              <w:bottom w:val="single" w:sz="4" w:space="0" w:color="000000"/>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项目支出</w:t>
            </w:r>
          </w:p>
        </w:tc>
        <w:tc>
          <w:tcPr>
            <w:tcW w:w="928" w:type="pct"/>
            <w:vMerge/>
            <w:tcBorders>
              <w:left w:val="nil"/>
              <w:right w:val="single" w:sz="4" w:space="0" w:color="000000"/>
            </w:tcBorders>
            <w:vAlign w:val="center"/>
          </w:tcPr>
          <w:p/>
        </w:tc>
      </w:tr>
      <w:tr>
        <w:trPr>
          <w:trHeight w:val="312"/>
        </w:trPr>
        <w:tc>
          <w:tcPr>
            <w:tcW w:w="451" w:type="pct"/>
            <w:vMerge/>
            <w:tcBorders>
              <w:top w:val="nil"/>
              <w:left w:val="single" w:sz="4" w:space="0" w:color="000000"/>
              <w:bottom w:val="single" w:sz="4" w:space="0" w:color="000000"/>
              <w:right w:val="single" w:sz="4" w:space="0" w:color="000000"/>
            </w:tcBorders>
            <w:vAlign w:val="center"/>
          </w:tcPr>
          <w:p/>
        </w:tc>
        <w:tc>
          <w:tcPr>
            <w:tcW w:w="743" w:type="pct"/>
            <w:vMerge/>
            <w:tcBorders>
              <w:top w:val="nil"/>
              <w:left w:val="nil"/>
              <w:bottom w:val="single" w:sz="4" w:space="0" w:color="000000"/>
              <w:right w:val="single" w:sz="4" w:space="0" w:color="000000"/>
            </w:tcBorders>
            <w:vAlign w:val="center"/>
          </w:tcPr>
          <w:p/>
        </w:tc>
        <w:tc>
          <w:tcPr>
            <w:tcW w:w="658" w:type="pct"/>
            <w:vMerge/>
            <w:tcBorders>
              <w:top w:val="single" w:sz="4" w:space="0" w:color="000000"/>
              <w:left w:val="nil"/>
              <w:bottom w:val="single" w:sz="4" w:space="0" w:color="000000"/>
              <w:right w:val="single" w:sz="4" w:space="0" w:color="000000"/>
            </w:tcBorders>
            <w:vAlign w:val="center"/>
          </w:tcPr>
          <w:p/>
        </w:tc>
        <w:tc>
          <w:tcPr>
            <w:tcW w:w="517" w:type="pct"/>
            <w:vMerge/>
            <w:tcBorders>
              <w:top w:val="single" w:sz="4" w:space="0" w:color="000000"/>
              <w:left w:val="nil"/>
              <w:bottom w:val="single" w:sz="4" w:space="0" w:color="000000"/>
              <w:right w:val="single" w:sz="4" w:space="0" w:color="000000"/>
            </w:tcBorders>
            <w:vAlign w:val="center"/>
          </w:tcPr>
          <w:p/>
        </w:tc>
        <w:tc>
          <w:tcPr>
            <w:tcW w:w="558" w:type="pct"/>
            <w:vMerge/>
            <w:tcBorders>
              <w:top w:val="nil"/>
              <w:left w:val="nil"/>
              <w:bottom w:val="single" w:sz="4" w:space="0" w:color="000000"/>
              <w:right w:val="single" w:sz="4" w:space="0" w:color="000000"/>
            </w:tcBorders>
            <w:vAlign w:val="center"/>
          </w:tcPr>
          <w:p/>
        </w:tc>
        <w:tc>
          <w:tcPr>
            <w:tcW w:w="564" w:type="pct"/>
            <w:gridSpan w:val="2"/>
            <w:vMerge/>
            <w:tcBorders>
              <w:top w:val="nil"/>
              <w:left w:val="nil"/>
              <w:bottom w:val="single" w:sz="4" w:space="0" w:color="000000"/>
              <w:right w:val="single" w:sz="4" w:space="0" w:color="000000"/>
            </w:tcBorders>
            <w:vAlign w:val="center"/>
          </w:tcPr>
          <w:p/>
        </w:tc>
        <w:tc>
          <w:tcPr>
            <w:tcW w:w="577" w:type="pct"/>
            <w:vMerge/>
            <w:tcBorders>
              <w:top w:val="nil"/>
              <w:left w:val="nil"/>
              <w:bottom w:val="single" w:sz="4" w:space="0" w:color="000000"/>
              <w:right w:val="single" w:sz="4" w:space="0" w:color="000000"/>
            </w:tcBorders>
            <w:vAlign w:val="center"/>
          </w:tcPr>
          <w:p/>
        </w:tc>
        <w:tc>
          <w:tcPr>
            <w:tcW w:w="928" w:type="pct"/>
            <w:vMerge/>
            <w:tcBorders>
              <w:left w:val="nil"/>
              <w:right w:val="single" w:sz="4" w:space="0" w:color="000000"/>
            </w:tcBorders>
            <w:vAlign w:val="center"/>
          </w:tcPr>
          <w:p/>
        </w:tc>
      </w:tr>
      <w:tr>
        <w:trPr>
          <w:trHeight w:val="312"/>
        </w:trPr>
        <w:tc>
          <w:tcPr>
            <w:tcW w:w="451" w:type="pct"/>
            <w:vMerge/>
            <w:tcBorders>
              <w:top w:val="nil"/>
              <w:left w:val="single" w:sz="4" w:space="0" w:color="000000"/>
              <w:bottom w:val="single" w:sz="4" w:space="0" w:color="auto"/>
              <w:right w:val="single" w:sz="4" w:space="0" w:color="000000"/>
            </w:tcBorders>
            <w:vAlign w:val="center"/>
          </w:tcPr>
          <w:p/>
        </w:tc>
        <w:tc>
          <w:tcPr>
            <w:tcW w:w="743" w:type="pct"/>
            <w:vMerge/>
            <w:tcBorders>
              <w:top w:val="nil"/>
              <w:left w:val="nil"/>
              <w:bottom w:val="single" w:sz="4" w:space="0" w:color="auto"/>
              <w:right w:val="single" w:sz="4" w:space="0" w:color="000000"/>
            </w:tcBorders>
            <w:vAlign w:val="center"/>
          </w:tcPr>
          <w:p/>
        </w:tc>
        <w:tc>
          <w:tcPr>
            <w:tcW w:w="658" w:type="pct"/>
            <w:vMerge/>
            <w:tcBorders>
              <w:top w:val="single" w:sz="4" w:space="0" w:color="000000"/>
              <w:left w:val="nil"/>
              <w:bottom w:val="single" w:sz="4" w:space="0" w:color="000000"/>
              <w:right w:val="single" w:sz="4" w:space="0" w:color="000000"/>
            </w:tcBorders>
            <w:vAlign w:val="center"/>
          </w:tcPr>
          <w:p/>
        </w:tc>
        <w:tc>
          <w:tcPr>
            <w:tcW w:w="517" w:type="pct"/>
            <w:vMerge/>
            <w:tcBorders>
              <w:top w:val="single" w:sz="4" w:space="0" w:color="000000"/>
              <w:left w:val="nil"/>
              <w:bottom w:val="single" w:sz="4" w:space="0" w:color="000000"/>
              <w:right w:val="single" w:sz="4" w:space="0" w:color="000000"/>
            </w:tcBorders>
            <w:vAlign w:val="center"/>
          </w:tcPr>
          <w:p/>
        </w:tc>
        <w:tc>
          <w:tcPr>
            <w:tcW w:w="558" w:type="pct"/>
            <w:vMerge/>
            <w:tcBorders>
              <w:top w:val="nil"/>
              <w:left w:val="nil"/>
              <w:bottom w:val="single" w:sz="4" w:space="0" w:color="000000"/>
              <w:right w:val="single" w:sz="4" w:space="0" w:color="000000"/>
            </w:tcBorders>
            <w:vAlign w:val="center"/>
          </w:tcPr>
          <w:p/>
        </w:tc>
        <w:tc>
          <w:tcPr>
            <w:tcW w:w="564" w:type="pct"/>
            <w:gridSpan w:val="2"/>
            <w:vMerge/>
            <w:tcBorders>
              <w:top w:val="nil"/>
              <w:left w:val="nil"/>
              <w:bottom w:val="single" w:sz="4" w:space="0" w:color="000000"/>
              <w:right w:val="single" w:sz="4" w:space="0" w:color="000000"/>
            </w:tcBorders>
            <w:vAlign w:val="center"/>
          </w:tcPr>
          <w:p/>
        </w:tc>
        <w:tc>
          <w:tcPr>
            <w:tcW w:w="577" w:type="pct"/>
            <w:vMerge/>
            <w:tcBorders>
              <w:top w:val="nil"/>
              <w:left w:val="nil"/>
              <w:bottom w:val="single" w:sz="4" w:space="0" w:color="000000"/>
              <w:right w:val="single" w:sz="4" w:space="0" w:color="000000"/>
            </w:tcBorders>
            <w:vAlign w:val="center"/>
          </w:tcPr>
          <w:p/>
        </w:tc>
        <w:tc>
          <w:tcPr>
            <w:tcW w:w="928" w:type="pct"/>
            <w:vMerge/>
            <w:tcBorders>
              <w:left w:val="nil"/>
              <w:bottom w:val="single" w:sz="4" w:space="0" w:color="000000"/>
              <w:right w:val="single" w:sz="4" w:space="0" w:color="000000"/>
            </w:tcBorders>
            <w:vAlign w:val="center"/>
          </w:tcPr>
          <w:p/>
        </w:tc>
      </w:tr>
      <w:tr>
        <w:trPr>
          <w:trHeight w:val="308"/>
        </w:trPr>
        <w:tc>
          <w:tcPr>
            <w:tcW w:w="1194"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栏次</w:t>
            </w:r>
          </w:p>
        </w:tc>
        <w:tc>
          <w:tcPr>
            <w:tcW w:w="658"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1</w:t>
            </w:r>
          </w:p>
        </w:tc>
        <w:tc>
          <w:tcPr>
            <w:tcW w:w="51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2</w:t>
            </w:r>
          </w:p>
        </w:tc>
        <w:tc>
          <w:tcPr>
            <w:tcW w:w="55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3</w:t>
            </w:r>
          </w:p>
        </w:tc>
        <w:tc>
          <w:tcPr>
            <w:tcW w:w="56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4</w:t>
            </w:r>
          </w:p>
        </w:tc>
        <w:tc>
          <w:tcPr>
            <w:tcW w:w="57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none"/>
              </w:rPr>
            </w:pPr>
            <w:r>
              <w:rPr>
                <w:rFonts w:ascii="Times New Roman" w:eastAsia="方正仿宋_GB2312" w:cs="Times New Roman" w:hAnsi="Times New Roman"/>
                <w:i w:val="0"/>
                <w:iCs w:val="0"/>
                <w:color w:val="000000"/>
                <w:kern w:val="0"/>
                <w:sz w:val="20"/>
                <w:szCs w:val="20"/>
                <w:u w:val="none"/>
                <w:lang w:val="en-US" w:eastAsia="zh-CN"/>
                <w:highlight w:val="none"/>
              </w:rPr>
              <w:t>5</w:t>
            </w:r>
          </w:p>
        </w:tc>
        <w:tc>
          <w:tcPr>
            <w:tcW w:w="9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lang w:val="en-US" w:eastAsia="zh-CN"/>
                <w:highlight w:val="none"/>
              </w:rPr>
            </w:pPr>
            <w:r>
              <w:rPr>
                <w:rFonts w:ascii="Times New Roman" w:eastAsia="方正仿宋_GB2312" w:cs="Times New Roman" w:hAnsi="Times New Roman"/>
                <w:i w:val="0"/>
                <w:iCs w:val="0"/>
                <w:color w:val="000000"/>
                <w:sz w:val="20"/>
                <w:szCs w:val="20"/>
                <w:u w:val="none"/>
                <w:lang w:val="en-US" w:eastAsia="zh-CN"/>
                <w:highlight w:val="none"/>
              </w:rPr>
              <w:t>6</w:t>
            </w:r>
          </w:p>
        </w:tc>
      </w:tr>
      <w:tr>
        <w:trPr>
          <w:trHeight w:val="869"/>
        </w:trPr>
        <w:tc>
          <w:tcPr>
            <w:tcW w:w="1194" w:type="pct"/>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合计</w:t>
            </w:r>
          </w:p>
        </w:tc>
        <w:tc>
          <w:tcPr>
            <w:tcW w:w="658" w:type="pct"/>
            <w:tcBorders>
              <w:top w:val="nil"/>
              <w:left w:val="single" w:sz="4" w:space="0" w:color="auto"/>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17"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5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6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577"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9"/>
            <w:tcBorders>
              <w:top w:val="nil"/>
              <w:left w:val="nil"/>
              <w:bottom w:val="nil"/>
              <w:right w:val="nil"/>
            </w:tcBorders>
            <w:noWrap/>
            <w:vAlign w:val="center"/>
          </w:tcPr>
          <w:p>
            <w:pP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注：本表反映部门本年度政府性基金预算财政拨款收入、支出及结转和结余情况。（如无相关数据，则需注明空表列示）</w:t>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jc w:val="left"/>
        <w:tblInd w:w="-976" w:type="dxa"/>
        <w:tblW w:w="586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992"/>
        <w:gridCol w:w="730"/>
        <w:gridCol w:w="1297"/>
        <w:gridCol w:w="1331"/>
        <w:gridCol w:w="6"/>
        <w:gridCol w:w="45"/>
        <w:gridCol w:w="1280"/>
        <w:gridCol w:w="11"/>
        <w:gridCol w:w="1735"/>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国有资本经营预算财政拨款支出决算表</w:t>
            </w:r>
          </w:p>
        </w:tc>
      </w:tr>
      <w:tr>
        <w:trPr>
          <w:trHeight w:val="30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公开</w:t>
            </w:r>
            <w:r>
              <w:rPr>
                <w:rFonts w:ascii="Times New Roman" w:eastAsia="方正仿宋_GB2312" w:cs="Times New Roman" w:hAnsi="Times New Roman"/>
                <w:i w:val="0"/>
                <w:iCs w:val="0"/>
                <w:color w:val="000000"/>
                <w:kern w:val="0"/>
                <w:sz w:val="20"/>
                <w:szCs w:val="20"/>
                <w:u w:val="none"/>
                <w:lang w:val="en-US" w:eastAsia="zh-CN"/>
                <w:highlight w:val="none"/>
              </w:rPr>
              <w:t>08</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表</w:t>
            </w:r>
          </w:p>
        </w:tc>
      </w:tr>
      <w:tr>
        <w:trPr>
          <w:trHeight w:val="300"/>
        </w:trPr>
        <w:tc>
          <w:tcPr>
            <w:tcW w:w="1974" w:type="pct"/>
            <w:gridSpan w:val="2"/>
            <w:tcBorders>
              <w:top w:val="nil"/>
              <w:left w:val="nil"/>
              <w:bottom w:val="single" w:sz="4" w:space="0" w:color="auto"/>
              <w:right w:val="nil"/>
            </w:tcBorders>
            <w:noWrap/>
            <w:vAlign w:val="bottom"/>
          </w:tcPr>
          <w:p>
            <w:pPr>
              <w:keepNext w:val="0"/>
              <w:keepLines w:val="0"/>
              <w:widowControl/>
              <w:suppressLineNumbers w:val="0"/>
              <w:jc w:val="both"/>
              <w:textAlignment w:val="bottom"/>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部门（单位）：中共昌黎县委员会办公室（汇总）</w:t>
            </w:r>
          </w:p>
        </w:tc>
        <w:tc>
          <w:tcPr>
            <w:tcW w:w="1421" w:type="pct"/>
            <w:gridSpan w:val="4"/>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none"/>
              </w:rPr>
            </w:pPr>
            <w:r>
              <w:rPr>
                <w:rFonts w:ascii="Times New Roman" w:eastAsia="宋体" w:cs="Times New Roman" w:hAnsi="Times New Roman"/>
                <w:i w:val="0"/>
                <w:iCs w:val="0"/>
                <w:color w:val="000000"/>
                <w:kern w:val="0"/>
                <w:sz w:val="20"/>
                <w:szCs w:val="20"/>
                <w:u w:val="none"/>
                <w:lang w:val="en-US" w:eastAsia="zh-CN"/>
                <w:highlight w:val="none"/>
              </w:rPr>
              <w:t>202</w:t>
            </w:r>
            <w:r>
              <w:rPr>
                <w:rFonts w:ascii="Times New Roman" w:eastAsia="宋体" w:cs="Times New Roman" w:hAnsi="Times New Roman" w:hint="eastAsia"/>
                <w:i w:val="0"/>
                <w:iCs w:val="0"/>
                <w:color w:val="000000"/>
                <w:kern w:val="0"/>
                <w:sz w:val="20"/>
                <w:szCs w:val="20"/>
                <w:u w:val="none"/>
                <w:lang w:val="en-US" w:eastAsia="zh-CN"/>
                <w:highlight w:val="none"/>
              </w:rPr>
              <w:t>4</w:t>
            </w:r>
            <w:r>
              <w:rPr>
                <w:rFonts w:ascii="方正仿宋_GB2312" w:eastAsia="方正仿宋_GB2312" w:cs="方正仿宋_GB2312" w:hAnsi="方正仿宋_GB2312" w:hint="eastAsia"/>
                <w:i w:val="0"/>
                <w:iCs w:val="0"/>
                <w:color w:val="000000"/>
                <w:kern w:val="0"/>
                <w:sz w:val="20"/>
                <w:szCs w:val="20"/>
                <w:u w:val="none"/>
                <w:lang w:val="en-US" w:eastAsia="zh-CN"/>
                <w:highlight w:val="none"/>
              </w:rPr>
              <w:t>年度</w:t>
            </w:r>
          </w:p>
        </w:tc>
        <w:tc>
          <w:tcPr>
            <w:tcW w:w="1603"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金额单位：万元</w:t>
            </w:r>
          </w:p>
        </w:tc>
      </w:tr>
      <w:tr>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 xml:space="preserve"> 项目</w:t>
            </w:r>
          </w:p>
        </w:tc>
        <w:tc>
          <w:tcPr>
            <w:tcW w:w="2337" w:type="pct"/>
            <w:gridSpan w:val="6"/>
            <w:vMerge w:val="restart"/>
            <w:tcBorders>
              <w:top w:val="single" w:sz="4" w:space="0" w:color="auto"/>
              <w:left w:val="single" w:sz="4" w:space="0" w:color="auto"/>
              <w:right w:val="single" w:sz="4" w:space="0" w:color="000000"/>
            </w:tcBorders>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本年支出</w:t>
            </w:r>
          </w:p>
        </w:tc>
      </w:tr>
      <w:tr>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tc>
        <w:tc>
          <w:tcPr>
            <w:tcW w:w="2337" w:type="pct"/>
            <w:gridSpan w:val="6"/>
            <w:vMerge/>
            <w:tcBorders>
              <w:left w:val="single" w:sz="4" w:space="0" w:color="auto"/>
              <w:bottom w:val="single" w:sz="4" w:space="0" w:color="000000"/>
              <w:right w:val="single" w:sz="4" w:space="0" w:color="000000"/>
            </w:tcBorders>
            <w:vAlign w:val="center"/>
          </w:tcPr>
          <w:p/>
        </w:tc>
      </w:tr>
      <w:tr>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科目名称</w:t>
            </w:r>
          </w:p>
        </w:tc>
        <w:tc>
          <w:tcPr>
            <w:tcW w:w="709" w:type="pct"/>
            <w:gridSpan w:val="2"/>
            <w:vMerge w:val="restart"/>
            <w:tcBorders>
              <w:top w:val="nil"/>
              <w:left w:val="single" w:sz="4" w:space="0" w:color="auto"/>
              <w:right w:val="single" w:sz="4" w:space="0" w:color="000000"/>
            </w:tcBorders>
            <w:vAlign w:val="center"/>
          </w:tcPr>
          <w:p>
            <w:pPr>
              <w:jc w:val="center"/>
              <w:rPr>
                <w:rFonts w:ascii="方正仿宋_GB2312" w:eastAsia="方正仿宋_GB2312" w:cs="方正仿宋_GB2312" w:hAnsi="方正仿宋_GB2312" w:hint="eastAsia"/>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合计</w:t>
            </w:r>
          </w:p>
        </w:tc>
        <w:tc>
          <w:tcPr>
            <w:tcW w:w="709" w:type="pct"/>
            <w:gridSpan w:val="3"/>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基本支出</w:t>
            </w:r>
          </w:p>
        </w:tc>
        <w:tc>
          <w:tcPr>
            <w:tcW w:w="919" w:type="pct"/>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none"/>
              </w:rPr>
            </w:pPr>
            <w:r>
              <w:rPr>
                <w:rFonts w:ascii="方正仿宋_GB2312" w:eastAsia="方正仿宋_GB2312" w:cs="方正仿宋_GB2312" w:hAnsi="方正仿宋_GB2312" w:hint="eastAsia"/>
                <w:i w:val="0"/>
                <w:iCs w:val="0"/>
                <w:color w:val="000000"/>
                <w:sz w:val="20"/>
                <w:szCs w:val="20"/>
                <w:u w:val="none"/>
                <w:lang w:val="en-US" w:eastAsia="zh-CN"/>
                <w:highlight w:val="none"/>
              </w:rPr>
              <w:t>项目支出</w:t>
            </w:r>
          </w:p>
        </w:tc>
      </w:tr>
      <w:tr>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tc>
        <w:tc>
          <w:tcPr>
            <w:tcW w:w="1074" w:type="pct"/>
            <w:gridSpan w:val="2"/>
            <w:vMerge/>
            <w:tcBorders>
              <w:top w:val="single" w:sz="4" w:space="0" w:color="auto"/>
              <w:left w:val="nil"/>
              <w:bottom w:val="single" w:sz="4" w:space="0" w:color="auto"/>
              <w:right w:val="single" w:sz="4" w:space="0" w:color="auto"/>
            </w:tcBorders>
            <w:vAlign w:val="center"/>
          </w:tcPr>
          <w:p/>
        </w:tc>
        <w:tc>
          <w:tcPr>
            <w:tcW w:w="709" w:type="pct"/>
            <w:gridSpan w:val="2"/>
            <w:vMerge/>
            <w:tcBorders>
              <w:left w:val="single" w:sz="4" w:space="0" w:color="auto"/>
              <w:bottom w:val="single" w:sz="4" w:space="0" w:color="000000"/>
              <w:right w:val="single" w:sz="4" w:space="0" w:color="000000"/>
            </w:tcBorders>
            <w:vAlign w:val="center"/>
          </w:tcPr>
          <w:p/>
        </w:tc>
        <w:tc>
          <w:tcPr>
            <w:tcW w:w="709" w:type="pct"/>
            <w:gridSpan w:val="3"/>
            <w:vMerge/>
            <w:tcBorders>
              <w:left w:val="nil"/>
              <w:bottom w:val="single" w:sz="4" w:space="0" w:color="000000"/>
              <w:right w:val="single" w:sz="4" w:space="0" w:color="000000"/>
            </w:tcBorders>
            <w:vAlign w:val="center"/>
          </w:tcPr>
          <w:p/>
        </w:tc>
        <w:tc>
          <w:tcPr>
            <w:tcW w:w="919" w:type="pct"/>
            <w:vMerge/>
            <w:tcBorders>
              <w:left w:val="nil"/>
              <w:bottom w:val="single" w:sz="4" w:space="0" w:color="000000"/>
              <w:right w:val="single" w:sz="4" w:space="0" w:color="000000"/>
            </w:tcBorders>
            <w:vAlign w:val="center"/>
          </w:tcPr>
          <w:p/>
        </w:tc>
      </w:tr>
      <w:tr>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栏次</w:t>
            </w:r>
          </w:p>
        </w:tc>
        <w:tc>
          <w:tcPr>
            <w:tcW w:w="706"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1</w:t>
            </w:r>
          </w:p>
        </w:tc>
        <w:tc>
          <w:tcPr>
            <w:tcW w:w="70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2</w:t>
            </w:r>
          </w:p>
        </w:tc>
        <w:tc>
          <w:tcPr>
            <w:tcW w:w="92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3</w:t>
            </w:r>
          </w:p>
        </w:tc>
      </w:tr>
      <w:tr>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i w:val="0"/>
                <w:iCs w:val="0"/>
                <w:color w:val="000000"/>
                <w:sz w:val="20"/>
                <w:szCs w:val="20"/>
                <w:u w:val="none"/>
                <w:lang w:val="en-US" w:eastAsia="zh-CN"/>
                <w:highlight w:val="none"/>
              </w:rPr>
            </w:pPr>
            <w:r>
              <w:rPr>
                <w:rFonts w:ascii="Times New Roman" w:eastAsia="方正仿宋_GB2312" w:cs="Times New Roman" w:hAnsi="Times New Roman" w:hint="eastAsia"/>
                <w:i w:val="0"/>
                <w:iCs w:val="0"/>
                <w:color w:val="000000"/>
                <w:sz w:val="20"/>
                <w:szCs w:val="20"/>
                <w:u w:val="none"/>
                <w:lang w:val="en-US" w:eastAsia="zh-CN"/>
                <w:highlight w:val="none"/>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706" w:type="pct"/>
            <w:gridSpan w:val="3"/>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none"/>
              </w:rPr>
            </w:pP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none"/>
              </w:rPr>
            </w:pPr>
            <w:r>
              <w:rPr>
                <w:rFonts w:ascii="方正仿宋_GB2312" w:eastAsia="方正仿宋_GB2312" w:cs="方正仿宋_GB2312" w:hAnsi="方正仿宋_GB2312" w:hint="eastAsia"/>
                <w:i w:val="0"/>
                <w:iCs w:val="0"/>
                <w:color w:val="000000"/>
                <w:kern w:val="0"/>
                <w:sz w:val="20"/>
                <w:szCs w:val="20"/>
                <w:u w:val="none"/>
                <w:lang w:val="en-US" w:eastAsia="zh-CN"/>
                <w:highlight w:val="none"/>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none"/>
        </w:rPr>
      </w:pPr>
    </w:p>
    <w:p>
      <w:pPr>
        <w:rPr>
          <w:rFonts w:ascii="仿宋_GB2312" w:eastAsia="仿宋_GB2312" w:hAnsi="宋体" w:hint="eastAsia"/>
          <w:b/>
          <w:color w:val="auto"/>
          <w:kern w:val="0"/>
          <w:sz w:val="32"/>
          <w:szCs w:val="32"/>
          <w:highlight w:val="none"/>
        </w:rPr>
      </w:pPr>
      <w:r>
        <w:rPr>
          <w:rFonts w:ascii="仿宋_GB2312" w:eastAsia="仿宋_GB2312" w:hAnsi="宋体" w:hint="eastAsia"/>
          <w:b/>
          <w:color w:val="auto"/>
          <w:kern w:val="0"/>
          <w:sz w:val="32"/>
          <w:szCs w:val="32"/>
          <w:highlight w:val="none"/>
        </w:rPr>
        <w:br w:type="page"/>
      </w:r>
    </w:p>
    <w:tbl>
      <w:tblPr>
        <w:tblpPr w:leftFromText="180" w:rightFromText="180" w:vertAnchor="text" w:horzAnchor="page" w:tblpX="726" w:tblpY="39"/>
        <w:tblOverlap w:val="never"/>
        <w:tblW w:w="664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38"/>
        <w:gridCol w:w="829"/>
        <w:gridCol w:w="812"/>
        <w:gridCol w:w="944"/>
        <w:gridCol w:w="523"/>
        <w:gridCol w:w="543"/>
        <w:gridCol w:w="778"/>
        <w:gridCol w:w="844"/>
        <w:gridCol w:w="4"/>
        <w:gridCol w:w="1132"/>
        <w:gridCol w:w="639"/>
        <w:gridCol w:w="1025"/>
        <w:gridCol w:w="946"/>
        <w:gridCol w:w="724"/>
      </w:tblGrid>
      <w:tr>
        <w:trPr>
          <w:trHeight w:val="550"/>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b w:val="0"/>
                <w:bCs/>
                <w:color w:val="auto"/>
                <w:kern w:val="0"/>
                <w:sz w:val="32"/>
                <w:szCs w:val="32"/>
                <w:lang w:val="en-US" w:eastAsia="zh-CN"/>
                <w:highlight w:val="none"/>
              </w:rPr>
              <w:t>财政拨款“三公”经费支出决算表</w:t>
            </w:r>
          </w:p>
        </w:tc>
      </w:tr>
      <w:tr>
        <w:trPr>
          <w:trHeight w:val="260"/>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公开</w:t>
            </w:r>
            <w:r>
              <w:rPr>
                <w:rFonts w:ascii="Times New Roman" w:eastAsia="方正仿宋_GB2312" w:cs="Times New Roman" w:hAnsi="Times New Roman"/>
                <w:i w:val="0"/>
                <w:iCs w:val="0"/>
                <w:color w:val="000000"/>
                <w:kern w:val="0"/>
                <w:sz w:val="18"/>
                <w:szCs w:val="18"/>
                <w:u w:val="none"/>
                <w:lang w:val="en-US" w:eastAsia="zh-CN"/>
                <w:highlight w:val="none"/>
              </w:rPr>
              <w:t>09</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表</w:t>
            </w:r>
          </w:p>
        </w:tc>
      </w:tr>
      <w:tr>
        <w:trPr>
          <w:trHeight w:val="260"/>
        </w:trPr>
        <w:tc>
          <w:tcPr>
            <w:tcW w:w="1894" w:type="pct"/>
            <w:gridSpan w:val="5"/>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部门（单位）：中共昌黎县委员会办公室（汇总）</w:t>
            </w:r>
          </w:p>
        </w:tc>
        <w:tc>
          <w:tcPr>
            <w:tcW w:w="101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18"/>
                <w:szCs w:val="18"/>
                <w:u w:val="none"/>
                <w:lang w:val="en-US" w:eastAsia="zh-CN"/>
                <w:highlight w:val="none"/>
              </w:rPr>
            </w:pPr>
            <w:r>
              <w:rPr>
                <w:rFonts w:ascii="Times New Roman" w:eastAsia="宋体" w:cs="Times New Roman" w:hAnsi="Times New Roman"/>
                <w:i w:val="0"/>
                <w:iCs w:val="0"/>
                <w:color w:val="000000"/>
                <w:kern w:val="0"/>
                <w:sz w:val="18"/>
                <w:szCs w:val="18"/>
                <w:u w:val="none"/>
                <w:lang w:val="en-US" w:eastAsia="zh-CN"/>
                <w:highlight w:val="none"/>
              </w:rPr>
              <w:t>202</w:t>
            </w:r>
            <w:r>
              <w:rPr>
                <w:rFonts w:ascii="Times New Roman" w:eastAsia="宋体" w:cs="Times New Roman" w:hAnsi="Times New Roman" w:hint="eastAsia"/>
                <w:i w:val="0"/>
                <w:iCs w:val="0"/>
                <w:color w:val="000000"/>
                <w:kern w:val="0"/>
                <w:sz w:val="18"/>
                <w:szCs w:val="18"/>
                <w:u w:val="none"/>
                <w:lang w:val="en-US" w:eastAsia="zh-CN"/>
                <w:highlight w:val="none"/>
              </w:rPr>
              <w:t>4</w:t>
            </w:r>
            <w:r>
              <w:rPr>
                <w:rFonts w:ascii="方正仿宋_GB2312" w:eastAsia="方正仿宋_GB2312" w:cs="方正仿宋_GB2312" w:hAnsi="方正仿宋_GB2312" w:hint="eastAsia"/>
                <w:i w:val="0"/>
                <w:iCs w:val="0"/>
                <w:color w:val="000000"/>
                <w:kern w:val="0"/>
                <w:sz w:val="18"/>
                <w:szCs w:val="18"/>
                <w:u w:val="none"/>
                <w:lang w:val="en-US" w:eastAsia="zh-CN"/>
                <w:highlight w:val="none"/>
              </w:rPr>
              <w:t>年度</w:t>
            </w:r>
          </w:p>
        </w:tc>
        <w:tc>
          <w:tcPr>
            <w:tcW w:w="2091" w:type="pct"/>
            <w:gridSpan w:val="6"/>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18"/>
                <w:szCs w:val="18"/>
                <w:u w:val="none"/>
                <w:lang w:val="en-US" w:eastAsia="zh-CN"/>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金额单位：万元</w:t>
            </w:r>
          </w:p>
        </w:tc>
      </w:tr>
      <w:tr>
        <w:trPr>
          <w:trHeight w:val="431"/>
        </w:trPr>
        <w:tc>
          <w:tcPr>
            <w:tcW w:w="2512" w:type="pct"/>
            <w:gridSpan w:val="7"/>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预算数</w:t>
            </w:r>
          </w:p>
        </w:tc>
        <w:tc>
          <w:tcPr>
            <w:tcW w:w="2487" w:type="pct"/>
            <w:gridSpan w:val="7"/>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决算数</w:t>
            </w:r>
          </w:p>
        </w:tc>
      </w:tr>
      <w:tr>
        <w:trPr>
          <w:trHeight w:val="431"/>
        </w:trPr>
        <w:tc>
          <w:tcPr>
            <w:tcW w:w="439"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合计</w:t>
            </w:r>
          </w:p>
        </w:tc>
        <w:tc>
          <w:tcPr>
            <w:tcW w:w="38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w:t>
            </w:r>
          </w:p>
        </w:tc>
        <w:tc>
          <w:tcPr>
            <w:tcW w:w="1321" w:type="pct"/>
            <w:gridSpan w:val="4"/>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公务用车购置及运行维护费</w:t>
            </w:r>
          </w:p>
        </w:tc>
        <w:tc>
          <w:tcPr>
            <w:tcW w:w="363"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c>
          <w:tcPr>
            <w:tcW w:w="397"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合计</w:t>
            </w:r>
          </w:p>
        </w:tc>
        <w:tc>
          <w:tcPr>
            <w:tcW w:w="530"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因公出国（境）费</w:t>
            </w:r>
          </w:p>
        </w:tc>
        <w:tc>
          <w:tcPr>
            <w:tcW w:w="1222"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公务用车购置及运行维护费</w:t>
            </w:r>
          </w:p>
        </w:tc>
        <w:tc>
          <w:tcPr>
            <w:tcW w:w="33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公务接待费</w:t>
            </w:r>
          </w:p>
        </w:tc>
      </w:tr>
      <w:tr>
        <w:trPr>
          <w:trHeight w:val="431"/>
        </w:trPr>
        <w:tc>
          <w:tcPr>
            <w:tcW w:w="439" w:type="pct"/>
            <w:vMerge/>
            <w:tcBorders>
              <w:top w:val="nil"/>
              <w:left w:val="single" w:sz="4" w:space="0" w:color="000000"/>
              <w:bottom w:val="single" w:sz="4" w:space="0" w:color="000000"/>
              <w:right w:val="single" w:sz="4" w:space="0" w:color="000000"/>
            </w:tcBorders>
            <w:noWrap/>
            <w:vAlign w:val="center"/>
          </w:tcPr>
          <w:p/>
        </w:tc>
        <w:tc>
          <w:tcPr>
            <w:tcW w:w="388" w:type="pct"/>
            <w:vMerge/>
            <w:tcBorders>
              <w:top w:val="nil"/>
              <w:left w:val="nil"/>
              <w:bottom w:val="single" w:sz="4" w:space="0" w:color="000000"/>
              <w:right w:val="single" w:sz="4" w:space="0" w:color="000000"/>
            </w:tcBorders>
            <w:noWrap/>
            <w:vAlign w:val="center"/>
          </w:tcPr>
          <w:p/>
        </w:tc>
        <w:tc>
          <w:tcPr>
            <w:tcW w:w="38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小计</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公务用车购置费</w:t>
            </w:r>
          </w:p>
        </w:tc>
        <w:tc>
          <w:tcPr>
            <w:tcW w:w="49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363" w:type="pct"/>
            <w:vMerge/>
            <w:tcBorders>
              <w:top w:val="nil"/>
              <w:left w:val="nil"/>
              <w:bottom w:val="single" w:sz="4" w:space="0" w:color="000000"/>
              <w:right w:val="single" w:sz="4" w:space="0" w:color="000000"/>
            </w:tcBorders>
            <w:noWrap/>
            <w:vAlign w:val="center"/>
          </w:tcPr>
          <w:p/>
        </w:tc>
        <w:tc>
          <w:tcPr>
            <w:tcW w:w="397" w:type="pct"/>
            <w:gridSpan w:val="2"/>
            <w:vMerge/>
            <w:tcBorders>
              <w:top w:val="nil"/>
              <w:left w:val="nil"/>
              <w:bottom w:val="single" w:sz="4" w:space="0" w:color="000000"/>
              <w:right w:val="single" w:sz="4" w:space="0" w:color="000000"/>
            </w:tcBorders>
            <w:noWrap/>
            <w:vAlign w:val="center"/>
          </w:tcPr>
          <w:p/>
        </w:tc>
        <w:tc>
          <w:tcPr>
            <w:tcW w:w="530" w:type="pct"/>
            <w:vMerge/>
            <w:tcBorders>
              <w:top w:val="nil"/>
              <w:left w:val="nil"/>
              <w:bottom w:val="single" w:sz="4" w:space="0" w:color="000000"/>
              <w:right w:val="single" w:sz="4" w:space="0" w:color="000000"/>
            </w:tcBorders>
            <w:noWrap/>
            <w:vAlign w:val="center"/>
          </w:tcPr>
          <w:p/>
        </w:tc>
        <w:tc>
          <w:tcPr>
            <w:tcW w:w="29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小计</w:t>
            </w:r>
          </w:p>
        </w:tc>
        <w:tc>
          <w:tcPr>
            <w:tcW w:w="48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公务用车购置费</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公务用车运行维护费</w:t>
            </w:r>
          </w:p>
        </w:tc>
        <w:tc>
          <w:tcPr>
            <w:tcW w:w="336" w:type="pct"/>
            <w:vMerge/>
            <w:tcBorders>
              <w:top w:val="nil"/>
              <w:left w:val="nil"/>
              <w:bottom w:val="single" w:sz="4" w:space="0" w:color="000000"/>
              <w:right w:val="single" w:sz="4" w:space="0" w:color="000000"/>
            </w:tcBorders>
            <w:noWrap/>
            <w:vAlign w:val="center"/>
          </w:tcPr>
          <w:p/>
        </w:tc>
      </w:tr>
      <w:tr>
        <w:trPr>
          <w:trHeight w:val="431"/>
        </w:trPr>
        <w:tc>
          <w:tcPr>
            <w:tcW w:w="439"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w:t>
            </w:r>
          </w:p>
        </w:tc>
        <w:tc>
          <w:tcPr>
            <w:tcW w:w="38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2</w:t>
            </w:r>
          </w:p>
        </w:tc>
        <w:tc>
          <w:tcPr>
            <w:tcW w:w="38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3</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4</w:t>
            </w:r>
          </w:p>
        </w:tc>
        <w:tc>
          <w:tcPr>
            <w:tcW w:w="49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5</w:t>
            </w:r>
          </w:p>
        </w:tc>
        <w:tc>
          <w:tcPr>
            <w:tcW w:w="363"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6</w:t>
            </w:r>
          </w:p>
        </w:tc>
        <w:tc>
          <w:tcPr>
            <w:tcW w:w="397"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7</w:t>
            </w:r>
          </w:p>
        </w:tc>
        <w:tc>
          <w:tcPr>
            <w:tcW w:w="53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8</w:t>
            </w:r>
          </w:p>
        </w:tc>
        <w:tc>
          <w:tcPr>
            <w:tcW w:w="29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9</w:t>
            </w:r>
          </w:p>
        </w:tc>
        <w:tc>
          <w:tcPr>
            <w:tcW w:w="48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10</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11</w:t>
            </w:r>
          </w:p>
        </w:tc>
        <w:tc>
          <w:tcPr>
            <w:tcW w:w="33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kern w:val="0"/>
                <w:sz w:val="18"/>
                <w:szCs w:val="18"/>
                <w:u w:val="none"/>
                <w:lang w:val="en-US" w:eastAsia="zh-CN"/>
                <w:highlight w:val="none"/>
              </w:rPr>
              <w:t>12</w:t>
            </w:r>
          </w:p>
        </w:tc>
      </w:tr>
      <w:tr>
        <w:trPr>
          <w:trHeight w:val="431"/>
        </w:trPr>
        <w:tc>
          <w:tcPr>
            <w:tcW w:w="439" w:type="pct"/>
            <w:tcBorders>
              <w:top w:val="nil"/>
              <w:left w:val="single" w:sz="4" w:space="0" w:color="000000"/>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38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38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497"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363"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397"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53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299"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48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r>
              <w:rPr>
                <w:rFonts w:ascii="Times New Roman" w:eastAsia="方正仿宋_GB2312" w:cs="Times New Roman" w:hAnsi="Times New Roman"/>
                <w:i w:val="0"/>
                <w:iCs w:val="0"/>
                <w:color w:val="000000"/>
                <w:sz w:val="18"/>
                <w:szCs w:val="18"/>
                <w:u w:val="none"/>
                <w:highlight w:val="none"/>
              </w:rPr>
              <w:t>16.03</w:t>
            </w:r>
          </w:p>
        </w:tc>
        <w:tc>
          <w:tcPr>
            <w:tcW w:w="336"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none"/>
              </w:rPr>
            </w:pPr>
          </w:p>
        </w:tc>
      </w:tr>
      <w:tr>
        <w:trPr>
          <w:trHeight w:val="431"/>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none"/>
              </w:rPr>
            </w:pPr>
            <w:r>
              <w:rPr>
                <w:rFonts w:ascii="方正仿宋_GB2312" w:eastAsia="方正仿宋_GB2312" w:cs="方正仿宋_GB2312" w:hAnsi="方正仿宋_GB2312" w:hint="eastAsia"/>
                <w:i w:val="0"/>
                <w:iCs w:val="0"/>
                <w:color w:val="000000"/>
                <w:kern w:val="0"/>
                <w:sz w:val="18"/>
                <w:szCs w:val="18"/>
                <w:u w:val="none"/>
                <w:lang w:val="en-US" w:eastAsia="zh-CN"/>
                <w:highlight w:val="none"/>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_GB2312" w:eastAsia="仿宋_GB2312" w:hAnsi="宋体" w:hint="eastAsia"/>
          <w:b/>
          <w:color w:val="auto"/>
          <w:kern w:val="0"/>
          <w:sz w:val="32"/>
          <w:szCs w:val="32"/>
          <w:highlight w:val="none"/>
        </w:rPr>
        <w:sectPr>
          <w:headerReference w:type="default" r:id="rId9"/>
          <w:footerReference w:type="default" r:id="rId10"/>
          <w:pgSz w:w="11906" w:h="16838"/>
          <w:pgMar w:top="1531" w:right="1984" w:bottom="1531" w:left="2098"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第三部分</w:t>
      </w:r>
      <w:r>
        <w:rPr>
          <w:rFonts w:ascii="Times New Roman" w:eastAsia="仿宋_GB2312" w:hAnsi="Times New Roman"/>
          <w:b w:val="0"/>
          <w:sz w:val="44"/>
          <w:szCs w:val="44"/>
        </w:rPr>
        <w:t>2024</w:t>
      </w:r>
      <w:r>
        <w:rPr>
          <w:rFonts w:ascii="Times New Roman" w:eastAsia="黑体" w:hAnsi="Times New Roman"/>
          <w:b w:val="0"/>
          <w:sz w:val="44"/>
          <w:szCs w:val="44"/>
        </w:rPr>
        <w:t>年度部门决算情况说明</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收、支总计（含结转和结余）均为717.29万元。与2023年度决算相比，收支各减少14.61万元，下降2.0%，主要原因是认真贯彻落实中央八项规定精神和厉行节约要求，合理规划项目经费收入和支出，做到资金节流。</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Arial" w:cs="Times New Roman" w:hAnsi="Times New Roman"/>
          <w:highlight w:val="none"/>
        </w:rPr>
      </w:pPr>
      <w:r>
        <w:rPr>
          <w:rFonts w:ascii="Times New Roman" w:eastAsia="宋体" w:hAnsi="Times New Roman" w:hint="eastAsia"/>
        </w:rPr>
        <w:drawing>
          <wp:inline distT="0" distB="0" distL="114300" distR="114300">
            <wp:extent cx="5256530" cy="2988310"/>
            <wp:effectExtent l="5080" t="4444" r="8889" b="17145"/>
            <wp:docPr id="5" name="图表 5"/>
            <wp:cNvGraphicFramePr>
              <a:graphicFrameLocks noChangeAspect="0"/>
            </wp:cNvGraphicFramePr>
            <a:graphic>
              <a:graphicData uri="http://schemas.openxmlformats.org/drawingml/2006/chart">
                <c:chart xmlns:c="http://schemas.openxmlformats.org/drawingml/2006/chart" r:id="rId12"/>
              </a:graphicData>
            </a:graphic>
          </wp:inline>
        </w:drawing>
      </w:r>
      <w:r>
        <w:rPr>
          <w:rFonts w:ascii="Times New Roman" w:eastAsia="Arial" w:cs="Times New Roman" w:hAnsi="Times New Roman"/>
          <w:i w:val="0"/>
          <w:iCs w:val="0"/>
          <w:caps w:val="0"/>
          <w:smallCaps w:val="0"/>
          <w:color w:val="000000"/>
          <w:spacing w:val="0"/>
          <w:sz w:val="18"/>
          <w:szCs w:val="18"/>
          <w:shd w:val="clear" w:color="auto" w:fill="FFFFFF"/>
          <w:highlight w:val="none"/>
        </w:rPr>
        <w:t> </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本部门2024年度本年收入合计717.29万元，其中：财政拨款收入717.29万元，占100%；上级补助收入0万元，占0%；事业收入0万元，占0%；经营收入0万元，占0%；附属单位上缴收入0万元，占0%；其他收入0万元，占0%。</w:t>
      </w:r>
    </w:p>
    <w:p>
      <w:pPr>
        <w:adjustRightInd w:val="0"/>
        <w:snapToGrid w:val="0"/>
        <w:spacing w:line="580" w:lineRule="exact"/>
        <w:jc w:val="both"/>
        <w:rPr>
          <w:rFonts w:ascii="Times New Roman" w:eastAsia="仿宋_GB2312" w:cs="Times New Roman" w:hAnsi="Times New Roman"/>
          <w:kern w:val="2"/>
          <w:sz w:val="32"/>
          <w:szCs w:val="32"/>
          <w:lang w:val="zh-CN"/>
          <w:highlight w:val="yellow"/>
        </w:rPr>
      </w:pPr>
      <w:r>
        <w:rPr>
          <w:rFonts w:ascii="Times New Roman" w:eastAsia="仿宋_GB2312" w:hAnsi="Times New Roman"/>
          <w:kern w:val="2"/>
          <w:sz w:val="32"/>
          <w:szCs w:val="32"/>
          <w:lang w:val="zh-CN"/>
          <w:highlight w:val="yellow"/>
        </w:rPr>
        <w:drawing>
          <wp:anchor distT="0" distB="0" distL="114300" distR="114300" simplePos="0" relativeHeight="50" behindDoc="0" locked="0" layoutInCell="1" hidden="0" allowOverlap="1">
            <wp:simplePos x="0" y="0"/>
            <wp:positionH relativeFrom="column">
              <wp:posOffset>-16510</wp:posOffset>
            </wp:positionH>
            <wp:positionV relativeFrom="paragraph">
              <wp:posOffset>201930</wp:posOffset>
            </wp:positionV>
            <wp:extent cx="5256530" cy="2988310"/>
            <wp:effectExtent l="5080" t="4444" r="8889" b="17145"/>
            <wp:wrapTopAndBottom/>
            <wp:docPr id="9" name="图表 9"/>
            <wp:cNvGraphicFramePr>
              <a:graphicFrameLocks noChangeAspect="0"/>
            </wp:cNvGraphicFramePr>
            <a:graphic>
              <a:graphicData uri="http://schemas.openxmlformats.org/drawingml/2006/chart">
                <c:chart xmlns:c="http://schemas.openxmlformats.org/drawingml/2006/chart" r:id="rId13"/>
              </a:graphicData>
            </a:graphic>
          </wp:anchor>
        </w:drawing>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本部门2024年度本年支出合计717.29万元，其中：基本支出617.79万元，占86.1%；项目支出99.5万元，占13.9%；上缴上级支出0万元，占0%；经营支出0万元，占0%；对附属单位补助支出0万元，占0%。</w:t>
      </w:r>
    </w:p>
    <w:p>
      <w:pPr>
        <w:autoSpaceDE w:val="0"/>
        <w:autoSpaceDN w:val="0"/>
        <w:adjustRightInd w:val="0"/>
        <w:jc w:val="center"/>
        <w:rPr>
          <w:rFonts w:ascii="Times New Roman" w:eastAsia="仿宋_GB2312" w:cs="Times New Roman" w:hAnsi="Times New Roman"/>
          <w:color w:val="auto"/>
          <w:kern w:val="0"/>
          <w:sz w:val="32"/>
          <w:szCs w:val="32"/>
          <w:lang w:val="en-US" w:eastAsia="zh-CN" w:bidi="ar-SA"/>
          <w:highlight w:val="none"/>
        </w:rPr>
      </w:pPr>
      <w:r>
        <w:rPr>
          <w:rFonts w:ascii="Times New Roman" w:eastAsia="仿宋_GB2312" w:cs="Times New Roman" w:hAnsi="Times New Roman"/>
          <w:sz w:val="32"/>
          <w:szCs w:val="32"/>
          <w:highlight w:val="none"/>
        </w:rPr>
        <w:drawing>
          <wp:inline distT="0" distB="0" distL="114300" distR="114300">
            <wp:extent cx="5256530" cy="2988310"/>
            <wp:effectExtent l="5080" t="4444" r="11430" b="9525"/>
            <wp:docPr id="7" name="图表 7"/>
            <wp:cNvGraphicFramePr>
              <a:graphicFrameLocks noChangeAspect="0"/>
            </wp:cNvGraphicFramePr>
            <a:graphic>
              <a:graphicData uri="http://schemas.openxmlformats.org/drawingml/2006/chart">
                <c:chart xmlns:c="http://schemas.openxmlformats.org/drawingml/2006/chart" r:id="rId14"/>
              </a:graphicData>
            </a:graphic>
          </wp:inline>
        </w:drawing>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（一）财政拨款收支与</w:t>
      </w:r>
      <w:r>
        <w:rPr>
          <w:rFonts w:ascii="Times New Roman" w:eastAsia="仿宋_GB2312" w:hAnsi="Times New Roman"/>
          <w:b/>
          <w:sz w:val="32"/>
          <w:szCs w:val="32"/>
        </w:rPr>
        <w:t>2023</w:t>
      </w:r>
      <w:r>
        <w:rPr>
          <w:rFonts w:ascii="Times New Roman" w:eastAsia="楷体_GB2312" w:hAnsi="Times New Roman"/>
          <w:b/>
          <w:sz w:val="32"/>
          <w:szCs w:val="32"/>
        </w:rPr>
        <w:t>年度决算对比情况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收、支总计（含结转和结余）均为717.29万元。与2023年度相比，财政拨款收支各减少14.61万元，降低2%，主要原因是认真贯彻落实中央八项规定精神和厉行节约要求，合理规划项目经费收入和支出，做到资金节流。</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本年收入717.29万元,比上年减少14.61万元，降低2%，主要原因是认真贯彻落实中央八项规定精神和厉行节约要求，合理规划项目经费的收入，做到资金节流；本年支出717.29万元，比上年减少14.61万元，降低2%，主要原因是认真贯彻落实中央八项规定精神和厉行节约要求，合理规划项目经费支出，做到资金节流。具体情况如下：</w:t>
      </w:r>
    </w:p>
    <w:p>
      <w:pPr>
        <w:widowControl/>
        <w:spacing w:before="0" w:beforeAutospacing="0" w:after="0" w:afterAutospacing="0" w:line="360" w:lineRule="auto"/>
        <w:ind w:firstLineChars="200" w:firstLine="640"/>
        <w:jc w:val="left"/>
        <w:outlineLvl w:val="1"/>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717.29万元,比上年减少14.61万元，降低2%，主要原因是认真贯彻落实中央八项规定精神和厉行节约要求，合理规划项目经费收入，做到资金节流；本年支出717.29万元，比上年减少14.61万元，降低2%，主要原因是认真贯彻落实中央八项规定精神和厉行节约要求，合理规划项目经费支出，做到资金节流。</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政府性基金预算财政拨款本年收入0万元，比上年增加0万元，增长0%，主要原因是我单位无政府性基金预算财政拨款，收入为0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元，与上年持平；本年支出0万元，比上年增加0万元，增长0%，主要原因是我单位无政府性基金预算财政拨款，支出为0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3. 国有资本经营预算财政拨款本年收入0万元，比上年增加0万元，增长0%，主要原因是我单位无国有资本经营预算财政拨款，收入为0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元，与上年持平；本年支出0万元，比上年增加0万元，增长0%，主要原因是我单位无国有资本经营预算财政拨款，支出为0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sz w:val="32"/>
          <w:szCs w:val="32"/>
          <w:lang w:val="en-US" w:eastAsia="zh-CN"/>
          <w:highlight w:val="none"/>
        </w:rPr>
      </w:pPr>
      <w:r>
        <w:rPr>
          <w:rFonts w:ascii="Times New Roman" w:eastAsia="仿宋_GB2312" w:hAnsi="Times New Roman"/>
          <w:sz w:val="32"/>
          <w:szCs w:val="32"/>
        </w:rPr>
        <w:drawing>
          <wp:inline distT="0" distB="0" distL="114300" distR="114300">
            <wp:extent cx="5256530" cy="2988310"/>
            <wp:effectExtent l="5080" t="4444" r="8889" b="17145"/>
            <wp:docPr id="3" name="图表 3"/>
            <wp:cNvGraphicFramePr>
              <a:graphicFrameLocks noChangeAspect="0"/>
            </wp:cNvGraphicFramePr>
            <a:graphic>
              <a:graphicData uri="http://schemas.openxmlformats.org/drawingml/2006/chart">
                <c:chart xmlns:c="http://schemas.openxmlformats.org/drawingml/2006/chart" r:id="rId15"/>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（二）财政拨款收支与年初预算数对比情况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财政拨款本年收入717.29万元，完成年初预算的95.2%，比年初预算减少36.16万元，决算数小于预算数主要原因是认真贯彻落实中央八项规定精神和厉行节约要求，合理规划项目经费收入，做到资金节流；本年支出717.29万元，完成年初预算的95.2%，比年初预算减少36.16万元，决算数小于预算数主要原因是认真贯彻落实中央八项规定精神和厉行节约要求，合理规划项目经费支出，做到资金节流。具体情况如下：</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完成年初预算的95.2%，比年初预算减少36.16万元，主要原因是认真贯彻落实中央八项规定精神和厉行节约要求，合理规划项目经费收入，做到资金节流；支出完成年初预算的95.2%，比年初预算减少36.16万元，主要原因是认真贯彻落实中央八项规定精神和厉行节约要求，合理规划项目经费支出，做到资金节流。</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政府性基金预算财政拨款本年收入完成年初预算的0%，比年初预算增加0万元，主要原因是我单位无政府性基金预算财政拨款，收入为0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元，与上年持平；支出完成年初预算的0%，比年初预算增加0万元，主要原因是我单位无政府性基金预算财政拨款，支出为0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3. 国有资本经营预算财政拨款本年收入完成年初预算的0%，比年初预算增加0万元，主要原因是我单位无国有资本经营预算财政拨款，收入为0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元，与上年持平；支出完成年初预算的0%，比年初预算增加0万元，主要原因是我单位无国有资本经营预算财政拨款，支出为0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Arial" w:cs="Times New Roman" w:hAnsi="Times New Roman"/>
          <w:highlight w:val="none"/>
        </w:rPr>
      </w:pP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color w:val="auto"/>
          <w:kern w:val="0"/>
          <w:sz w:val="32"/>
          <w:szCs w:val="32"/>
          <w:lang w:val="en-US" w:eastAsia="zh-CN" w:bidi="ar-SA"/>
          <w:highlight w:val="none"/>
        </w:rPr>
      </w:pPr>
      <w:r>
        <w:rPr>
          <w:rFonts w:ascii="Times New Roman" w:eastAsia="仿宋_GB2312" w:hAnsi="Times New Roman"/>
          <w:sz w:val="32"/>
          <w:szCs w:val="32"/>
          <w:highlight w:val="none"/>
        </w:rPr>
        <w:drawing>
          <wp:inline distT="0" distB="0" distL="114300" distR="114300">
            <wp:extent cx="5256530" cy="2988310"/>
            <wp:effectExtent l="5080" t="4444" r="8889" b="17145"/>
            <wp:docPr id="11" name="图表 11"/>
            <wp:cNvGraphicFramePr>
              <a:graphicFrameLocks noChangeAspect="0"/>
            </wp:cNvGraphicFramePr>
            <a:graphic>
              <a:graphicData uri="http://schemas.openxmlformats.org/drawingml/2006/chart">
                <c:chart xmlns:c="http://schemas.openxmlformats.org/drawingml/2006/chart" r:id="rId16"/>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（三）财政拨款支出决算结构情况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2024年度财政拨款支出717.29万元，主要用于以下方面：</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一般公共预算财政拨款支出：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般公共服务（类）支出587.98万元，占82%，主要用于人员工资、办公经费等支出；外交（类）支出0万元，占0%，主要用于外交（类）费用等支出；国防（类）支出0万元，占0%，主要用于国防（类）费用等支出；公共安全类（类）支出0万元，占0%，主要用于公共安全类（类）费用等支出；教育（类）支出0万元，占0%，主要用于教育（类）</w:t>
      </w:r>
      <w:r>
        <w:rPr>
          <w:rFonts w:ascii="Times New Roman" w:eastAsia="仿宋_GB2312" w:hAnsi="Times New Roman" w:hint="eastAsia"/>
          <w:b w:val="0"/>
          <w:sz w:val="32"/>
          <w:szCs w:val="32"/>
          <w:lang w:eastAsia="zh-CN"/>
        </w:rPr>
        <w:t>费用</w:t>
      </w:r>
      <w:r>
        <w:rPr>
          <w:rFonts w:ascii="Times New Roman" w:eastAsia="仿宋_GB2312" w:hAnsi="Times New Roman"/>
          <w:b w:val="0"/>
          <w:sz w:val="32"/>
          <w:szCs w:val="32"/>
        </w:rPr>
        <w:t>等支出；科学技术（类）支出0万元，占0%，主要用于科学技术（类）费用等支出；文化旅游体育与传媒（类）支出0万元，占0%，主要用于文化旅游体育与传媒（类）费用等支出；社会保障和就业 （类）支出66.57万元，占9.3%，主要用于养老保险费用等支出；卫生健康（类）支出32.95万元，占4.6%，主要用于医疗保险、大病保险等支出；节能环保（类）支出0万元，占0%，主要用于节能环保（类）费用等支出；城乡社区（类）支出0万元，占0%，主要用于城乡社区（类）费用等支出；农林水（类）支出0万元，占0%，主要用于农林水（类）费用等支出；交通运输（类）支出0万元，占0%，主要用于交通运输（类）费用等支出；资源勘探信息等（类）支出0万元，占0%，主要用于资源勘探信息等（类）费用等支出；商业服务业等（类）支出0万元，占0%，主要用于商业服务业等（类）费用等支出；金融（类）支出0万元，占0%，主要用于金融（类）费用等支出；援助其他地区（类）支出0万元，占0%，主要用于援助其他地区（类）费用等支出；自然资源海洋气象等（类）支出0万元，占0%，主要用于自然资源海洋气象等（类）费用等支出；住房保障（类）支出29.79万元，占4.2%，主要用于住房公积金等支出；粮油物资储备（类）支出0万元，占0%，主要用于粮油物资储备（类）费用等支出；国有资本经营预算支出0万元，占0%，主要用于国有资本经营预算费用等支出；害防治及应急管理（类）支出0万元，占0%，主要用于害防治及应急管理（类）费用等支出；其他（类）支出0万元，占0%，主要用于其他（类）费用等支出；债务还本（类）支出0万元，占0%，主要用于债务还本（类）费用等支出；债务付息（类）支出0万元，占0%，主要用于债务付息（类）费用等支出；抗疫特别国债安排的支出0万元，占0%，主要用于抗疫特别国债费用等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政府性基金预算财政拨款支出：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般公共服务（类）支出0万元，占0%，主要用于政府性基金预算一般公共服务（类）费用等支出；外交（类）支出0万元，占0%，主要用于政府性基金预算外交（类）费用等支出；国防（类）支出0万元，占0%，主要用于政府性基金预算国防（类）费用等支出；公共安全类（类）支出0万元，占0%，主要用于政府性基金预算公共安全类（类）费用等支出；教育（类）支出0万元，占0%，主要用于政府性基金预算教育（类）费用等支出；科学技术（类）支出0万元，占0%，主要用于政府性基金预算科学技术（类）费用等支出；文化旅游体育与传媒（类）支出0万元，占0%，主要用于政府性基金预算文化旅游体育与传媒（类）费用等支出；社会保障和就业 （类）支出0万元，占0%，主要用于政府性基金预算社会保障和就业 （类）费用等支出；卫生健康（类）支出0万元，占0%，主要用于政府性基金预算卫生健康（类）费用等支出；节能环保（类）支出0万元，占0%，主要用于政府性基金预算节能环保（类）费用等支出；城乡社区（类）支出0万元，占0%，主要用于政府性基金预算城乡社区（类）费用等支出；农林水（类）支出0万元，占0%，主要用于政府性基金预算农林水（类）费用等支出；交通运输（类）支出0万元，占0%，主要用于政府性基金预算交通运输（类）费用等支出；资源勘探信息等（类）支出0万元，占0%，主要用于政府性基金预算资源勘探信息等（类）费用等支出；商业服务业等（类）支出0万元，占0%，主要用于政府性基金预算商业服务业等（类）费用等支出；金融（类）支出0万元，占0%，主要用于政府性基金预算金融（类）费用等支出；援助其他地区（类）支出0万元，占0%，主要用于政府性基金预算援助其他地区（类）费用等支出；自然资源海洋气象等（类）支出0万元，占0%，主要用于政府性基金预算自然资源海洋气象等（类）费用等支出；住房保障（类）支出0万元，占0%，主要用于政府性基金预算住房保障（类）费用等支出；粮油物资储备（类）支出0万元，占0%，主要用于政府性基金预算粮油物资储备（类）费用等支出；国有资本经营预算支出0万元，占0%，主要用于政府性基金预算国有资本经营费用等支出；害防治及应急管理（类）支出0万元，占0%，主要用于政府性基金预算害防治及应急管理（类）费用等支出；其他（类）支出0万元，占0%，主要用于政府性基金预算其他（类）费用等支出；债务还本（类）支出0万元，占0%，主要用于政府性基金预算债务还本（类）费用等支出；债务付息（类）支出0万元，占0%，主要用于政府性基金预算债务付息（类）费用等支出；抗疫特别国债安排的支出0万元，占0%，主要用于政府性基金预算抗疫特别国债安排的费用等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国有资本经营预算财政拨款支出：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般公共服务（类）支出0万元，占0%，主要用于国有资本经营预算一般公共服务（类）费用等支出；外交（类）支出0万元，占0%，主要用于国有资本经营预算外交（类）费用等支出；国防（类）支出0万元，占0%，主要用于国有资本经营预算国防（类）费用等支出；公共安全（类）支出0万元，占0%，主要用于国有资本经营预算公共安全（类）费用等支出；教育（类）支出0万元，占0%，主要用于国有资本经营预算教育（类）费用等支出；科学技术（类）支出0万元，占0%，主要用于国有资本经营预算科学技术（类）费用等支出；文化旅游体育与传媒（类）支出0万元，占0%，主要用于国有资本经营预算文化旅游体育与传媒（类）费用等支出；社会保障和就业 （类）支出0万元，占0%，主要用于国有资本经营预算社会保障和就业 （类）费用等支出；卫生健康（类）支出0万元，占0%，主要用于国有资本经营预算卫生健康（类）费用等支出；节能环保（类）支出0万元，占0%，主要用于国有资本经营预算节能环保（类）费用等支出；城乡社区（类）支出0万元，占0%，主要用于国有资本经营预算城乡社区（类）费用等支出；农林水（类）支出0万元，占0%，主要用于国有资本经营预算农林水（类）费用等支出；交通运输（类）支出0万元，占0%，主要用于国有资本经营预算交通运输（类）费用等支出；资源勘探信息等（类）支出0万元，占0%，主要用于国有资本经营预算资源勘探信息等（类）费用等支出；商业服务业等（类）支出0万元，占0%，主要用于国有资本经营预算商业服务业等（类）费用等支出；金融（类）支出0万元，占0%，主要用于国有资本经营预算金融（类）费用等支出；援助其他地区（类）支出0万元，占0%，主要用于国有资本经营预算援助其他地区（类）费用等支出；自然资源海洋气象等（类）支出0万元，占0%，主要用于国有资本经营预算自然资源海洋气象等（类）费用等支出；住房保障（类）支出0万元，占0%，主要用于国有资本经营预算住房保障（类）费用等支出；粮油物资储备（类）支出0万元，占0%，主要用于国有资本经营预算粮油物资储备（类）费用等支出；国有资本经营预算支出0万元，占0%，主要用于国有资本经营预算方面的国有资本经营费用等支出；害防治及应急管理（类）支出0万元，占0%，主要用于国有资本经营预算害防治及应急管理（类）费用等支出；其他（类）支出0万元，占0%，主要用于狗有资本经营预算其他（类）费用等支出；债务还本（类）支出0万元，占0%，主要用于国有资本经营预算债务还本（类）费用等支出；债务付息（类）支出0万元，占0%，主要用于国有资本经营预算债务付息（类）费用等支出；抗疫特别国债安排的支出0万元，占0%，主要用于国有资本经营预算抗疫特别国债安排的费用等支出。</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spacing w:before="0" w:beforeAutospacing="0" w:after="0" w:afterAutospacing="0"/>
        <w:ind w:left="0" w:right="0"/>
        <w:jc w:val="left"/>
        <w:textAlignment w:val="auto"/>
        <w:rPr>
          <w:rFonts w:ascii="Times New Roman" w:eastAsia="仿宋_GB2312" w:cs="Times New Roman" w:hAnsi="Times New Roman"/>
          <w:color w:val="auto"/>
          <w:kern w:val="2"/>
          <w:sz w:val="32"/>
          <w:szCs w:val="32"/>
          <w:lang w:val="zh-CN" w:eastAsia="zh-CN" w:bidi="ar-SA"/>
        </w:rPr>
      </w:pPr>
      <w:r>
        <w:rPr>
          <w:rFonts w:ascii="Times New Roman" w:eastAsia="仿宋_GB2312" w:hAnsi="Times New Roman"/>
          <w:kern w:val="2"/>
          <w:sz w:val="32"/>
          <w:szCs w:val="32"/>
          <w:lang w:val="zh-CN"/>
        </w:rPr>
        <w:drawing>
          <wp:inline distT="0" distB="0" distL="114300" distR="114300">
            <wp:extent cx="5859145" cy="2988310"/>
            <wp:effectExtent l="5080" t="4444" r="15875" b="17145"/>
            <wp:docPr id="13" name="图表 13"/>
            <wp:cNvGraphicFramePr>
              <a:graphicFrameLocks noChangeAspect="0"/>
            </wp:cNvGraphicFramePr>
            <a:graphic>
              <a:graphicData uri="http://schemas.openxmlformats.org/drawingml/2006/chart">
                <c:chart xmlns:c="http://schemas.openxmlformats.org/drawingml/2006/chart" r:id="rId17"/>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（四）一般公共预算基本支出决算情况说明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2024年度财政拨款基本支出617.79万元，其中：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人员经费551.69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公用经费66.10万元，主要包括办公费、印刷费、咨询费、手续费、水费、电费、邮电费、取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五、财政拨款“三公” 经费支出决算情况说明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（一）“三公”经费财政拨款支出决算总体情况说明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三公</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经费财政拨款支出预算为16.03万元，支出决算为16.03万元，完成预算的100%，较预算增加0万元，增长0%，主要原因是认真贯彻落实中央八项规定精神和厉行节约要求，合理规划</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三公</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经费收支情况，支出与预算持平；较2023年度决算减少0.16万元，降低1%，主要原因是认真贯彻落实中央八项规定精神和厉行节约要求，严格控制</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三公</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经费支出，做到资金节流。</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w:t>
      </w:r>
      <w:r>
        <w:rPr>
          <w:rFonts w:ascii="Times New Roman" w:eastAsia="楷体_GB2312" w:hAnsi="Times New Roman" w:hint="eastAsia"/>
          <w:b/>
          <w:sz w:val="32"/>
          <w:szCs w:val="32"/>
          <w:lang w:eastAsia="zh-CN"/>
        </w:rPr>
        <w:t>“</w:t>
      </w:r>
      <w:r>
        <w:rPr>
          <w:rFonts w:ascii="Times New Roman" w:eastAsia="楷体_GB2312" w:hAnsi="Times New Roman"/>
          <w:b/>
          <w:sz w:val="32"/>
          <w:szCs w:val="32"/>
        </w:rPr>
        <w:t>三公</w:t>
      </w:r>
      <w:r>
        <w:rPr>
          <w:rFonts w:ascii="Times New Roman" w:eastAsia="楷体_GB2312" w:hAnsi="Times New Roman" w:hint="eastAsia"/>
          <w:b/>
          <w:sz w:val="32"/>
          <w:szCs w:val="32"/>
          <w:lang w:eastAsia="zh-CN"/>
        </w:rPr>
        <w:t>”</w:t>
      </w:r>
      <w:r>
        <w:rPr>
          <w:rFonts w:ascii="Times New Roman" w:eastAsia="楷体_GB2312" w:hAnsi="Times New Roman"/>
          <w:b/>
          <w:sz w:val="32"/>
          <w:szCs w:val="32"/>
        </w:rPr>
        <w:t>经费财政拨款支出决算具体情况说明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1.因公出国（境）费支出情况。</w:t>
      </w:r>
      <w:r>
        <w:rPr>
          <w:rFonts w:ascii="Times New Roman" w:eastAsia="仿宋_GB2312" w:hAnsi="Times New Roman"/>
          <w:b w:val="0"/>
          <w:sz w:val="32"/>
          <w:szCs w:val="32"/>
        </w:rPr>
        <w:t>本部门2024年度因公出国（境）费支出预算为0万元,支出决算0万元。完成预算的0%。因公出国（境）费支出较预算增加0万元，增长0%,主要原因是我单位无因公出国（境）费用预算和支出，收支为0</w:t>
      </w:r>
      <w:r>
        <w:rPr>
          <w:rFonts w:ascii="Times New Roman" w:eastAsia="仿宋_GB2312" w:hAnsi="Times New Roman" w:hint="eastAsia"/>
          <w:b w:val="0"/>
          <w:sz w:val="32"/>
          <w:szCs w:val="32"/>
          <w:lang w:eastAsia="zh-CN"/>
        </w:rPr>
        <w:t>万元</w:t>
      </w:r>
      <w:r>
        <w:rPr>
          <w:rFonts w:ascii="Times New Roman" w:eastAsia="仿宋_GB2312" w:hAnsi="Times New Roman"/>
          <w:b w:val="0"/>
          <w:sz w:val="32"/>
          <w:szCs w:val="32"/>
        </w:rPr>
        <w:t>，收支持平；较上年增加0万元，增长0%,主要原因是我单位无因公出国（境）费用预算和支出，收支为0</w:t>
      </w:r>
      <w:r>
        <w:rPr>
          <w:rFonts w:ascii="Times New Roman" w:eastAsia="仿宋_GB2312" w:hAnsi="Times New Roman" w:hint="eastAsia"/>
          <w:b w:val="0"/>
          <w:sz w:val="32"/>
          <w:szCs w:val="32"/>
          <w:lang w:eastAsia="zh-CN"/>
        </w:rPr>
        <w:t>万</w:t>
      </w:r>
      <w:r>
        <w:rPr>
          <w:rFonts w:ascii="Times New Roman" w:eastAsia="仿宋_GB2312" w:hAnsi="Times New Roman"/>
          <w:b w:val="0"/>
          <w:sz w:val="32"/>
          <w:szCs w:val="32"/>
        </w:rPr>
        <w:t>元，与上年持平。因公出国（境）团组0个、共0人、参加其他单位组织的因公出国（境）团组0个、共0人/无本部门组织的出国（境）团组。</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2.公务用车购置及运行维护费支出情况。</w:t>
      </w:r>
      <w:r>
        <w:rPr>
          <w:rFonts w:ascii="Times New Roman" w:eastAsia="仿宋_GB2312" w:hAnsi="Times New Roman"/>
          <w:b w:val="0"/>
          <w:sz w:val="32"/>
          <w:szCs w:val="32"/>
        </w:rPr>
        <w:t>本部门2024年度公务用车购置及运行维护费预算为16.03万元，支出决算16.03万元，完成预算的100%,较预算增加0万元，增长0%,主要原因是认真贯彻落实中央八项规定精神和厉行节约要求，合理规划公务用车购置及运行维护经费收支情况，支出与预算持平；较上年减少0.16万元，降低1%,主要原因是认真贯彻落实中央八项规定精神和厉行节约要求，严格控制公务用车购置及运行维护经费支出，做到资金节流。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公务用车购置费支出0万元：</w:t>
      </w:r>
      <w:r>
        <w:rPr>
          <w:rFonts w:ascii="Times New Roman" w:eastAsia="仿宋_GB2312" w:hAnsi="Times New Roman"/>
          <w:b w:val="0"/>
          <w:sz w:val="32"/>
          <w:szCs w:val="32"/>
        </w:rPr>
        <w:t>本部门2024年度公务用车购置量0辆，发生</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公务用车购置</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经费支出0万元。公务用车购置费支出较预算增加0万元，增长0%,主要原因是认真贯彻落实中央八项规定精神和厉行节约要求，合理规划公务用车购置经费收支情况，支出与预算持平；较上年增加0万元，增长0%,主要原因是认真贯彻落实中央八项规定精神和厉行节约要求，合理规划公务用车购置经费收支情况，与上年持平。</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公务用车运行维护费支出16.03万元：</w:t>
      </w:r>
      <w:r>
        <w:rPr>
          <w:rFonts w:ascii="Times New Roman" w:eastAsia="仿宋_GB2312" w:hAnsi="Times New Roman"/>
          <w:b w:val="0"/>
          <w:sz w:val="32"/>
          <w:szCs w:val="32"/>
        </w:rPr>
        <w:t>本部门2024年度单位公务用车保有量</w:t>
      </w:r>
      <w:r>
        <w:rPr>
          <w:rFonts w:ascii="Times New Roman" w:eastAsia="仿宋_GB2312" w:hAnsi="Times New Roman" w:hint="eastAsia"/>
          <w:b w:val="0"/>
          <w:sz w:val="32"/>
          <w:szCs w:val="32"/>
          <w:lang w:val="en-US" w:eastAsia="zh-CN"/>
        </w:rPr>
        <w:t>10</w:t>
      </w:r>
      <w:r>
        <w:rPr>
          <w:rFonts w:ascii="Times New Roman" w:eastAsia="仿宋_GB2312" w:hAnsi="Times New Roman"/>
          <w:b w:val="0"/>
          <w:sz w:val="32"/>
          <w:szCs w:val="32"/>
        </w:rPr>
        <w:t>辆，发生运行维护费支出16.03万元。公车运行维护费支出较预算增加0万元，增长0%,主要原因是认真贯彻落实中央八项规定精神和厉行节约要求，合理规划公务用车运行维护经费收支情况，支出与预算持平；较上年减少0.16万元，降低1%，主要原因是认真贯彻落实中央八项规定精神和厉行节约要求，严格控制公务用车运行维护经费支出，做到资金节流。</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3.公务接待费支出情况。</w:t>
      </w:r>
      <w:r>
        <w:rPr>
          <w:rFonts w:ascii="Times New Roman" w:eastAsia="仿宋_GB2312" w:hAnsi="Times New Roman"/>
          <w:b w:val="0"/>
          <w:sz w:val="32"/>
          <w:szCs w:val="32"/>
        </w:rPr>
        <w:t>本部门2024年度公务接待费支出预算为0万元，支出决算0万元，完成预算的0%。公务接待费支出较预算增加0万元，增长0%,主要原因是认真贯彻落实中央八项规定精神和厉行节约要求，合理规划公务接待费收支情况，支出与预算持平；较上年度增加0万元，增长0%,主要原因是认真贯彻落实中央八项规定精神和厉行节约要求，合理规划公务接待费收支情况，与上年持平。本年度共发生公务接待0批次、0人次。</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本部门2024年度机关运行经费支出66.10万元，较2023年度增加4.32万元，增长7%。主要原因是我单位有人员调入，相应增加了工会经费、公务交通补贴等费用的支出。</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截至2024年12月31日，本部门共有车辆8辆，比上年减少2辆，主要是我部门车辆编制为10辆，未减少，有2辆应急保障用车未完成划转手续。其中，副部（省）级及以上领导用车0辆，主要负责人用车0辆，机要通信用车1辆，应急保障用车3辆，执法执勤用车0辆，特种专业技术用车1辆，离退休干部用车0辆，其他用车3辆，其他用车主要是救灾应急用车。单位价值100万元（含）以上设备（不含车辆）0台（套）。</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（一）绩效评价工作开展情况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根据预算绩效管理要求，本部门组织对2024年度本级预算项目支出全面开展绩效自评，共涉及资金99.5万元（决算金额）。其中，一般公共预算项目4个，涉及资金99.5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Autospacing="0" w:after="0" w:afterAutospacing="0" w:line="360" w:lineRule="auto"/>
        <w:ind w:firstLineChars="200" w:firstLine="640"/>
        <w:jc w:val="left"/>
        <w:rPr>
          <w:rFonts w:ascii="Times New Roman" w:eastAsia="仿宋_GB2312" w:hAnsi="Times New Roman"/>
          <w:b w:val="0"/>
          <w:sz w:val="32"/>
          <w:szCs w:val="32"/>
        </w:rPr>
      </w:pPr>
      <w:r>
        <w:rPr>
          <w:rFonts w:ascii="Times New Roman" w:eastAsia="仿宋_GB2312" w:hAnsi="Times New Roman"/>
          <w:b w:val="0"/>
          <w:sz w:val="32"/>
          <w:szCs w:val="32"/>
        </w:rPr>
        <w:t>组织对机关运行保障经费等4个项目开展了部门重点评价，涉及一般公共预算支出99.5万元，政府性基金预算支出0万元，国有资本经营预算支出0万元</w:t>
      </w:r>
      <w:r>
        <w:rPr>
          <w:rFonts w:ascii="Times New Roman" w:eastAsia="仿宋_GB2312" w:hAnsi="Times New Roman" w:hint="eastAsia"/>
          <w:b w:val="0"/>
          <w:sz w:val="32"/>
          <w:szCs w:val="32"/>
          <w:lang w:eastAsia="zh-CN"/>
        </w:rPr>
        <w:t>。除机关运行保障经费项目外，其余项目内容涉密，不予公开。</w:t>
      </w:r>
      <w:r>
        <w:rPr>
          <w:rFonts w:ascii="Times New Roman" w:eastAsia="仿宋_GB2312" w:hAnsi="Times New Roman"/>
          <w:b w:val="0"/>
          <w:sz w:val="32"/>
          <w:szCs w:val="32"/>
        </w:rPr>
        <w:t>从评价情况来看，项目支出评价等级为</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优</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项目4个，</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良</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项目0个，</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中</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项目0个，</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差</w:t>
      </w:r>
      <w:r>
        <w:rPr>
          <w:rFonts w:ascii="Times New Roman" w:eastAsia="仿宋_GB2312" w:hAnsi="Times New Roman" w:hint="eastAsia"/>
          <w:b w:val="0"/>
          <w:sz w:val="32"/>
          <w:szCs w:val="32"/>
          <w:lang w:eastAsia="zh-CN"/>
        </w:rPr>
        <w:t>”</w:t>
      </w:r>
      <w:r>
        <w:rPr>
          <w:rFonts w:ascii="Times New Roman" w:eastAsia="仿宋_GB2312" w:hAnsi="Times New Roman"/>
          <w:b w:val="0"/>
          <w:sz w:val="32"/>
          <w:szCs w:val="32"/>
        </w:rPr>
        <w:t>项目0个，评优率为100%。</w:t>
      </w:r>
    </w:p>
    <w:p>
      <w:pPr>
        <w:widowControl/>
        <w:spacing w:before="0" w:beforeAutospacing="0" w:after="0" w:afterAutospacing="0" w:line="360" w:lineRule="auto"/>
        <w:ind w:firstLineChars="200" w:firstLine="640"/>
        <w:jc w:val="left"/>
        <w:rPr>
          <w:rFonts w:ascii="Times New Roman" w:eastAsia="仿宋_GB2312" w:hAnsi="Times New Roman"/>
          <w:b w:val="0"/>
          <w:sz w:val="32"/>
          <w:szCs w:val="32"/>
          <w:lang w:val="en-US" w:eastAsia="zh-CN"/>
        </w:rPr>
      </w:pPr>
      <w:r>
        <w:rPr>
          <w:rFonts w:ascii="Times New Roman" w:eastAsia="仿宋_GB2312" w:hAnsi="Times New Roman" w:hint="eastAsia"/>
          <w:b w:val="0"/>
          <w:sz w:val="32"/>
          <w:szCs w:val="32"/>
          <w:lang w:eastAsia="zh-CN"/>
        </w:rPr>
        <w:t>部门整体绩效自评结果得分</w:t>
      </w:r>
      <w:r>
        <w:rPr>
          <w:rFonts w:ascii="Times New Roman" w:eastAsia="仿宋_GB2312" w:hAnsi="Times New Roman" w:hint="eastAsia"/>
          <w:b w:val="0"/>
          <w:sz w:val="32"/>
          <w:szCs w:val="32"/>
          <w:lang w:val="en-US" w:eastAsia="zh-CN"/>
        </w:rPr>
        <w:t>96分，评价等级为优。</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（二）部门决算中项目绩效自评结果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本部门在今年部门决算公开中反映机关运行保障经费等1个项目绩效自评结果。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机关运行保障经费项目绩效自评情况：根据年初设定的绩效目标，机关运行保障经费项目绩效自评得分为98分（绩效自评表附后）。全年预算数为19.5万元，执行数为19.5万元，完成预算的100%。项目绩效目标完成情况：一是完成了办公费、车辆租赁费等费用的支出；二是保障了县委办公室的正常运转。发现的主要问题及原因是：一是项目指标不能充分体现项目职能；二是年初预算绩效指标明细精准度不够高。下一步改进措施：一是深入开展预算绩效管理工作，提高预算编制的科学性、合理性；二是加快预算执行进度，规范项目资金管理，严格按照年初部门预算绩效申报目标进行支出，让财政资金在更大程度上发挥积极作用。</w:t>
      </w:r>
    </w:p>
    <w:p>
      <w:pPr>
        <w:widowControl/>
        <w:spacing w:before="0" w:beforeAutospacing="0" w:after="0" w:afterAutospacing="0" w:line="360" w:lineRule="auto"/>
        <w:ind w:firstLineChars="200" w:firstLine="640"/>
        <w:jc w:val="left"/>
        <w:rPr>
          <w:rFonts w:ascii="Times New Roman" w:eastAsia="仿宋_GB2312" w:hAnsi="Times New Roman"/>
          <w:b/>
          <w:sz w:val="32"/>
          <w:szCs w:val="32"/>
        </w:rPr>
        <w:sectPr>
          <w:footerReference w:type="default" r:id="rId11"/>
          <w:pgSz w:w="11906" w:h="16838"/>
          <w:pgMar w:top="2098" w:right="1417" w:bottom="1871" w:left="1417" w:header="851" w:footer="992" w:gutter="0"/>
          <w:pgBorders>
            <w:top w:val="none" w:sz="0" w:space="0" w:color="auto"/>
            <w:left w:val="none" w:sz="0" w:space="0" w:color="auto"/>
            <w:bottom w:val="none" w:sz="0" w:space="0" w:color="auto"/>
            <w:right w:val="none" w:sz="0" w:space="0" w:color="auto"/>
          </w:pgBorders>
          <w:pgNumType w:start="20"/>
          <w:cols w:num="1" w:space="0"/>
          <w:rtlGutter/>
          <w:docGrid w:type="lines" w:linePitch="329" w:charSpace="0"/>
        </w:sectPr>
      </w:pPr>
    </w:p>
    <w:p>
      <w:pPr>
        <w:widowControl/>
        <w:spacing w:before="0" w:beforeAutospacing="0" w:after="0" w:afterAutospacing="0" w:line="360" w:lineRule="auto"/>
        <w:jc w:val="left"/>
        <w:rPr>
          <w:rFonts w:ascii="Times New Roman" w:eastAsia="仿宋_GB2312" w:hAnsi="Times New Roman"/>
          <w:b/>
          <w:sz w:val="32"/>
          <w:szCs w:val="32"/>
        </w:rPr>
        <w:sectPr>
          <w:footerReference w:type="default" r:id="rId18"/>
          <w:pgSz w:w="16838" w:h="11906" w:orient="landscape"/>
          <w:pgMar w:top="1417" w:right="2098" w:bottom="1417" w:left="1871" w:header="851" w:footer="992" w:gutter="0"/>
          <w:pgBorders>
            <w:top w:val="none" w:sz="0" w:space="0" w:color="auto"/>
            <w:left w:val="none" w:sz="0" w:space="0" w:color="auto"/>
            <w:bottom w:val="none" w:sz="0" w:space="0" w:color="auto"/>
            <w:right w:val="none" w:sz="0" w:space="0" w:color="auto"/>
          </w:pgBorders>
          <w:pgNumType w:start="39"/>
          <w:cols w:num="1" w:space="0"/>
          <w:rtlGutter/>
          <w:docGrid w:type="lines" w:linePitch="329" w:charSpace="0"/>
        </w:sectPr>
      </w:pPr>
      <w:r>
        <w:drawing>
          <wp:inline distT="0" distB="0" distL="114300" distR="114300">
            <wp:extent cx="8167370" cy="5467984"/>
            <wp:effectExtent l="0" t="0" r="0" b="1"/>
            <wp:docPr id="19" name="图片 1"/>
            <wp:cNvGraphicFramePr>
              <a:graphicFrameLocks noChangeAspect="1"/>
            </wp:cNvGraphicFramePr>
            <a:graphic>
              <a:graphicData uri="http://schemas.openxmlformats.org/drawingml/2006/picture">
                <pic:pic>
                  <pic:nvPicPr>
                    <pic:cNvPr id="20" name="图片 1 20"/>
                    <pic:cNvPicPr/>
                  </pic:nvPicPr>
                  <pic:blipFill>
                    <a:blip r:embed="rId19"/>
                    <a:stretch>
                      <a:fillRect/>
                    </a:stretch>
                  </pic:blipFill>
                  <pic:spPr>
                    <a:xfrm rot="0">
                      <a:off x="0" y="0"/>
                      <a:ext cx="8167370" cy="5467984"/>
                    </a:xfrm>
                    <a:prstGeom prst="rect"/>
                    <a:noFill/>
                    <a:ln cmpd="sng" cap="flat">
                      <a:noFill/>
                      <a:prstDash val="solid"/>
                      <a:round/>
                    </a:ln>
                  </pic:spPr>
                </pic:pic>
              </a:graphicData>
            </a:graphic>
          </wp:inline>
        </w:drawing>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（三）部门评价项目绩效评价结果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项目支出评价等级为“优”项目4个，“良”项目0个，“中”项目0个，“差”项目0个，评优率为100%。</w:t>
      </w:r>
    </w:p>
    <w:p>
      <w:pPr>
        <w:widowControl/>
        <w:spacing w:before="0" w:beforeAutospacing="0" w:after="0" w:afterAutospacing="0" w:line="360" w:lineRule="auto"/>
        <w:ind w:firstLineChars="200" w:firstLine="640"/>
        <w:jc w:val="left"/>
        <w:rPr>
          <w:rFonts w:ascii="Times New Roman" w:eastAsia="黑体" w:hAnsi="Times New Roman"/>
          <w:sz w:val="32"/>
          <w:szCs w:val="32"/>
        </w:rPr>
      </w:pPr>
      <w:r>
        <w:rPr>
          <w:rFonts w:ascii="Times New Roman" w:eastAsia="黑体" w:hAnsi="Times New Roman"/>
          <w:b w:val="0"/>
          <w:sz w:val="32"/>
          <w:szCs w:val="32"/>
        </w:rPr>
        <w:t>十、其他需要说明的情况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1.本部门2024年度政府性基金预算财政拨款收入支出决算表（公开07表）、国有资本经营预算财政拨款支出决算表（公开08表）无相应收支，故空表列示。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由于决算公开表格中金额数值应当保留两位小数，公开数据为四舍五入计算结果，个别数据合计项与分项之和存在小数点后差额，特此说明。</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第四部分 名词解释</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一、财政拨款收入：</w:t>
      </w:r>
      <w:r>
        <w:rPr>
          <w:rFonts w:ascii="Times New Roman" w:eastAsia="仿宋_GB2312" w:hAnsi="Times New Roman"/>
          <w:b w:val="0"/>
          <w:sz w:val="32"/>
          <w:szCs w:val="32"/>
        </w:rPr>
        <w:t>指单位从同级财政部门取得的财政预算资金。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二、事业收入：</w:t>
      </w:r>
      <w:r>
        <w:rPr>
          <w:rFonts w:ascii="Times New Roman" w:eastAsia="仿宋_GB2312" w:hAnsi="Times New Roman"/>
          <w:b w:val="0"/>
          <w:sz w:val="32"/>
          <w:szCs w:val="32"/>
        </w:rPr>
        <w:t>指事业单位开展专业业务活动及辅助活动取得的收入。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三、经营收入：</w:t>
      </w:r>
      <w:r>
        <w:rPr>
          <w:rFonts w:ascii="Times New Roman" w:eastAsia="仿宋_GB2312" w:hAnsi="Times New Roman"/>
          <w:b w:val="0"/>
          <w:sz w:val="32"/>
          <w:szCs w:val="32"/>
        </w:rPr>
        <w:t>指事业单位在专业业务活动及其辅助活动之外开展非独立核算经营活动取得的收入。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四、其他收入：</w:t>
      </w:r>
      <w:r>
        <w:rPr>
          <w:rFonts w:ascii="Times New Roman" w:eastAsia="仿宋_GB2312" w:hAnsi="Times New Roman"/>
          <w:b w:val="0"/>
          <w:sz w:val="32"/>
          <w:szCs w:val="32"/>
        </w:rPr>
        <w:t>指单位取得的除上述收入以外的各项收入。主要是事业单位固定资产出租收入、存款利息收入等。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五、使用非财政拨款结余（含专用结余）：</w:t>
      </w:r>
      <w:r>
        <w:rPr>
          <w:rFonts w:ascii="Times New Roman" w:eastAsia="仿宋_GB2312" w:hAnsi="Times New Roman"/>
          <w:b w:val="0"/>
          <w:sz w:val="32"/>
          <w:szCs w:val="32"/>
        </w:rPr>
        <w:t>指事业单位按照预算管理要求使用非财政拨款结余弥补收支差额的金额，以及使用专用结余安排支出的金额。</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六、年初结转和结余：</w:t>
      </w:r>
      <w:r>
        <w:rPr>
          <w:rFonts w:ascii="Times New Roman" w:eastAsia="仿宋_GB2312" w:hAnsi="Times New Roman"/>
          <w:b w:val="0"/>
          <w:sz w:val="32"/>
          <w:szCs w:val="32"/>
        </w:rPr>
        <w:t>指单位以前年度尚未完成、结转到本年仍按原规定用途继续使用的资金，或项目已完成等产生的结余资金。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七、结余分配：</w:t>
      </w:r>
      <w:r>
        <w:rPr>
          <w:rFonts w:ascii="Times New Roman" w:eastAsia="仿宋_GB2312" w:hAnsi="Times New Roman"/>
          <w:b w:val="0"/>
          <w:sz w:val="32"/>
          <w:szCs w:val="32"/>
        </w:rPr>
        <w:t>指事业单位按照会计制度规定缴纳的所得税、提取的专用结余以及转入非财政拨款结余的金额等。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八、年末结转和结余：</w:t>
      </w:r>
      <w:r>
        <w:rPr>
          <w:rFonts w:ascii="Times New Roman" w:eastAsia="仿宋_GB2312" w:hAnsi="Times New Roman"/>
          <w:b w:val="0"/>
          <w:sz w:val="32"/>
          <w:szCs w:val="32"/>
        </w:rPr>
        <w:t>指单位按有关规定结转到下年或以后年度继续使用的资金，或项目已完成等产生的结余资金。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九、基本支出：</w:t>
      </w:r>
      <w:r>
        <w:rPr>
          <w:rFonts w:ascii="Times New Roman" w:eastAsia="仿宋_GB2312" w:hAnsi="Times New Roman"/>
          <w:b w:val="0"/>
          <w:sz w:val="32"/>
          <w:szCs w:val="32"/>
        </w:rPr>
        <w:t>指为保障机构正常运转、完成日常工作任务而发生的人员支出和公用支出。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十、项目支出：</w:t>
      </w:r>
      <w:r>
        <w:rPr>
          <w:rFonts w:ascii="Times New Roman" w:eastAsia="仿宋_GB2312" w:hAnsi="Times New Roman"/>
          <w:b w:val="0"/>
          <w:sz w:val="32"/>
          <w:szCs w:val="32"/>
        </w:rPr>
        <w:t>指在基本支出之外为完成特定行政任务和事业发展目标所发生的支出。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十一、经营支出 ：</w:t>
      </w:r>
      <w:r>
        <w:rPr>
          <w:rFonts w:ascii="Times New Roman" w:eastAsia="仿宋_GB2312" w:hAnsi="Times New Roman"/>
          <w:b w:val="0"/>
          <w:sz w:val="32"/>
          <w:szCs w:val="32"/>
        </w:rPr>
        <w:t>指事业单位在专业业务活动及其辅助活动之外开展非独立核算经营活动发生的支出。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十二、基本建设支出：</w:t>
      </w:r>
      <w:r>
        <w:rPr>
          <w:rFonts w:ascii="Times New Roman" w:eastAsia="仿宋_GB2312" w:hAnsi="Times New Roman"/>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十三、其他资本性支出：</w:t>
      </w:r>
      <w:r>
        <w:rPr>
          <w:rFonts w:ascii="Times New Roman" w:eastAsia="仿宋_GB2312" w:hAnsi="Times New Roman"/>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十四、“三公”经费：</w:t>
      </w:r>
      <w:r>
        <w:rPr>
          <w:rFonts w:ascii="Times New Roman" w:eastAsia="仿宋_GB2312" w:hAnsi="Times New Roman"/>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十五、其他交通费用：</w:t>
      </w:r>
      <w:r>
        <w:rPr>
          <w:rFonts w:ascii="Times New Roman" w:eastAsia="仿宋_GB2312" w:hAnsi="Times New Roman"/>
          <w:b w:val="0"/>
          <w:sz w:val="32"/>
          <w:szCs w:val="32"/>
        </w:rPr>
        <w:t>填列单位除公务用车运行维护费以外的其他交通费用。如公务交通补贴、租车费用、出租车费用，飞机、船舶等燃料费、维修费、保险费等。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十六、公务用车购置：</w:t>
      </w:r>
      <w:r>
        <w:rPr>
          <w:rFonts w:ascii="Times New Roman" w:eastAsia="仿宋_GB2312" w:hAnsi="Times New Roman"/>
          <w:b w:val="0"/>
          <w:sz w:val="32"/>
          <w:szCs w:val="32"/>
        </w:rPr>
        <w:t>填列单位公务用车车辆购置支出（含车辆购置税、牌照费）。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十七、其他交通工具购置：</w:t>
      </w:r>
      <w:r>
        <w:rPr>
          <w:rFonts w:ascii="Times New Roman" w:eastAsia="仿宋_GB2312" w:hAnsi="Times New Roman"/>
          <w:b w:val="0"/>
          <w:sz w:val="32"/>
          <w:szCs w:val="32"/>
        </w:rPr>
        <w:t>填列单位除公务用车外的其他各类交通工具（如船舶、飞机等）购置支出（含车辆购置税、牌照费）。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十八、机关运行经费：</w:t>
      </w:r>
      <w:r>
        <w:rPr>
          <w:rFonts w:ascii="Times New Roman" w:eastAsia="仿宋_GB2312" w:hAnsi="Times New Roman"/>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w:type="default" r:id="rId20"/>
      <w:pgSz w:w="11906" w:h="16838"/>
      <w:pgMar w:top="2098" w:right="1417" w:bottom="1871" w:left="1417" w:header="851" w:footer="992" w:gutter="0"/>
      <w:pgBorders>
        <w:top w:val="none" w:sz="0" w:space="0" w:color="auto"/>
        <w:left w:val="none" w:sz="0" w:space="0" w:color="auto"/>
        <w:bottom w:val="none" w:sz="0" w:space="0" w:color="auto"/>
        <w:right w:val="none" w:sz="0" w:space="0" w:color="auto"/>
      </w:pgBorders>
      <w:pgNumType w:start="40"/>
      <w:cols w:num="1" w:space="0"/>
      <w:rtlGutter/>
      <w:docGrid w:type="lines" w:linePitch="329"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50"/>
    <w:family w:val="auto"/>
    <w:pitch w:val="variable"/>
    <w:sig w:usb0="00000003" w:usb1="288F0000" w:usb2="00000006" w:usb3="00000000" w:csb0="00040001" w:csb1="00000000"/>
  </w:font>
  <w:font w:name="方正小标宋_GBK">
    <w:panose1 w:val="02000000000000000000"/>
    <w:charset w:val="86"/>
    <w:family w:val="script"/>
    <w:pitch w:val="variable"/>
    <w:sig w:usb0="00000000" w:usb1="00000000" w:usb2="00000000" w:usb3="00000000" w:csb0="00000000" w:csb1="00000000"/>
  </w:font>
  <w:font w:name="楷体_GB2312">
    <w:altName w:val="楷体"/>
    <w:panose1 w:val="02010609030101010101"/>
    <w:charset w:val="86"/>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00" w:usb3="00000000" w:csb0="00040000"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ArialUnicodeMS">
    <w:altName w:val="Malgun Gothic"/>
    <w:panose1 w:val="00000000000000000000"/>
    <w:charset w:val="81"/>
    <w:family w:val="auto"/>
    <w:pitch w:val="variable"/>
    <w:sig w:usb0="00000000" w:usb1="00000000" w:usb2="00000010" w:usb3="00000000" w:csb0="00080001" w:csb1="00000000"/>
  </w:font>
  <w:font w:name="Calibri">
    <w:panose1 w:val="020F0502020204030204"/>
    <w:charset w:val="00"/>
    <w:family w:val="swiss"/>
    <w:pitch w:val="variable"/>
    <w:sig w:usb0="E10002FF" w:usb1="4000ACFF" w:usb2="00000009" w:usb3="00000000" w:csb0="2000019F" w:csb1="00000000"/>
  </w:font>
  <w:font w:name="方正仿宋_GB2312">
    <w:altName w:val="仿宋"/>
    <w:panose1 w:val="02000000000000000000"/>
    <w:charset w:val="86"/>
    <w:family w:val="auto"/>
    <w:pitch w:val="variable"/>
    <w:sig w:usb0="00000000" w:usb1="00000000" w:usb2="00000000" w:usb3="00000000" w:csb0="00000000"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Calibri Light">
    <w:altName w:val="Calibri"/>
    <w:panose1 w:val="020F0302020204030204"/>
    <w:charset w:val="00"/>
    <w:family w:val="auto"/>
    <w:pitch w:val="variable"/>
    <w:sig w:usb0="00000000" w:usb1="00000000" w:usb2="00000009" w:usb3="00000000" w:csb0="200001FF" w:csb1="00000000"/>
  </w:font>
  <w:font w:name="华文中宋">
    <w:altName w:val="宋体"/>
    <w:panose1 w:val="02010600040101010101"/>
    <w:charset w:val="86"/>
    <w:family w:val="auto"/>
    <w:pitch w:val="variable"/>
    <w:sig w:usb0="00000000" w:usb1="0000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rPr>
        <w:lang w:val="en-US"/>
      </w:rPr>
    </w:pPr>
    <w:r>
      <w:rPr>
        <w:sz w:val="24"/>
      </w:rPr>
      <mc:AlternateContent>
        <mc:Choice Requires="wps">
          <w:drawing>
            <wp:anchor distT="0" distB="0" distL="114300" distR="114300" simplePos="0" relativeHeight="42" behindDoc="0" locked="0" layoutInCell="1" hidden="0" allowOverlap="1">
              <wp:simplePos x="0" y="0"/>
              <wp:positionH relativeFrom="margin">
                <wp:align>center</wp:align>
              </wp:positionH>
              <wp:positionV relativeFrom="paragraph">
                <wp:posOffset>0</wp:posOffset>
              </wp:positionV>
              <wp:extent cx="76200" cy="139526"/>
              <wp:wrapNone/>
              <wp:docPr id="4" name="文本框 4"/>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1">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4" o:spid="_x0000_s2" filled="f" stroked="f" strokeweight="0.5pt" style="position:absolute;margin-left:0.0pt;margin-top:0.0pt;width:6.0pt;height:10.986328pt;z-index:42;mso-position-horizontal:center;mso-position-horizontal-relative:margin;mso-position-vertical:absolute;mso-wrap-style:none;">
              <v:stroke/>
              <v:textbox id="851"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w:rFonts w:hint="eastAsia"/>
        <w:lang w:val="en-US" w:eastAsia="zh-CN"/>
      </w:rPr>
      <w:t xml:space="preserve">                                  1</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44" behindDoc="0" locked="0" layoutInCell="1" hidden="0" allowOverlap="1">
              <wp:simplePos x="0" y="0"/>
              <wp:positionH relativeFrom="margin">
                <wp:align>center</wp:align>
              </wp:positionH>
              <wp:positionV relativeFrom="paragraph">
                <wp:posOffset>0</wp:posOffset>
              </wp:positionV>
              <wp:extent cx="76200" cy="139526"/>
              <wp:wrapNone/>
              <wp:docPr id="6" name="文本框 6"/>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7">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6" o:spid="_x0000_s8" filled="f" stroked="f" strokeweight="0.5pt" style="position:absolute;margin-left:0.0pt;margin-top:0.0pt;width:6.0pt;height:10.986328pt;z-index:44;mso-position-horizontal:center;mso-position-horizontal-relative:margin;mso-position-vertical:absolute;mso-wrap-style:none;">
              <v:stroke/>
              <v:textbox id="852"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48" behindDoc="0" locked="0" layoutInCell="1" hidden="0" allowOverlap="1">
              <wp:simplePos x="0" y="0"/>
              <wp:positionH relativeFrom="margin">
                <wp:align>center</wp:align>
              </wp:positionH>
              <wp:positionV relativeFrom="paragraph">
                <wp:posOffset>0</wp:posOffset>
              </wp:positionV>
              <wp:extent cx="76200" cy="139526"/>
              <wp:wrapNone/>
              <wp:docPr id="8" name="文本框 8"/>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9">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8" o:spid="_x0000_s10" filled="f" stroked="f" strokeweight="0.5pt" style="position:absolute;margin-left:0.0pt;margin-top:0.0pt;width:6.0pt;height:10.986328pt;z-index:48;mso-position-horizontal:center;mso-position-horizontal-relative:margin;mso-position-vertical:absolute;mso-wrap-style:none;">
              <v:stroke/>
              <v:textbox id="853"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300" distR="114300" simplePos="0" relativeHeight="52" behindDoc="0" locked="0" layoutInCell="1" hidden="0" allowOverlap="1">
              <wp:simplePos x="0" y="0"/>
              <wp:positionH relativeFrom="margin">
                <wp:align>center</wp:align>
              </wp:positionH>
              <wp:positionV relativeFrom="paragraph">
                <wp:posOffset>0</wp:posOffset>
              </wp:positionV>
              <wp:extent cx="76200" cy="139526"/>
              <wp:wrapNone/>
              <wp:docPr id="10" name="文本框 10"/>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11">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0" o:spid="_x0000_s12" filled="f" stroked="f" strokeweight="0.5pt" style="position:absolute;margin-left:0.0pt;margin-top:0.0pt;width:6.0pt;height:10.986328pt;z-index:52;mso-position-horizontal:center;mso-position-horizontal-relative:margin;mso-position-vertical:absolute;mso-wrap-style:none;">
              <v:stroke/>
              <v:textbox id="854"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54" behindDoc="0" locked="0" layoutInCell="1" hidden="0" allowOverlap="1">
              <wp:simplePos x="0" y="0"/>
              <wp:positionH relativeFrom="margin">
                <wp:align>center</wp:align>
              </wp:positionH>
              <wp:positionV relativeFrom="paragraph">
                <wp:posOffset>0</wp:posOffset>
              </wp:positionV>
              <wp:extent cx="115862" cy="139526"/>
              <wp:wrapNone/>
              <wp:docPr id="12" name="文本框 12"/>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13">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2" o:spid="_x0000_s14" filled="f" stroked="f" strokeweight="0.5pt" style="position:absolute;margin-left:0.0pt;margin-top:0.0pt;width:9.123047pt;height:10.986328pt;z-index:54;mso-position-horizontal:center;mso-position-horizontal-relative:margin;mso-position-vertical:absolute;mso-wrap-style:none;">
              <v:stroke/>
              <v:textbox id="855"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56" behindDoc="0" locked="0" layoutInCell="1" hidden="0" allowOverlap="1">
              <wp:simplePos x="0" y="0"/>
              <wp:positionH relativeFrom="margin">
                <wp:align>center</wp:align>
              </wp:positionH>
              <wp:positionV relativeFrom="paragraph">
                <wp:posOffset>0</wp:posOffset>
              </wp:positionV>
              <wp:extent cx="115862" cy="139526"/>
              <wp:wrapNone/>
              <wp:docPr id="14" name="文本框 14"/>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15">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4" o:spid="_x0000_s16" filled="f" stroked="f" strokeweight="0.5pt" style="position:absolute;margin-left:0.0pt;margin-top:0.0pt;width:9.123047pt;height:10.986328pt;z-index:56;mso-position-horizontal:center;mso-position-horizontal-relative:margin;mso-position-vertical:absolute;mso-wrap-style:none;">
              <v:stroke/>
              <v:textbox id="856"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58" behindDoc="0" locked="0" layoutInCell="1" hidden="0" allowOverlap="1">
              <wp:simplePos x="0" y="0"/>
              <wp:positionH relativeFrom="margin">
                <wp:align>center</wp:align>
              </wp:positionH>
              <wp:positionV relativeFrom="paragraph">
                <wp:posOffset>0</wp:posOffset>
              </wp:positionV>
              <wp:extent cx="115862" cy="139526"/>
              <wp:wrapNone/>
              <wp:docPr id="16" name="文本框 16"/>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17">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6" o:spid="_x0000_s18" filled="f" stroked="f" strokeweight="0.5pt" style="position:absolute;margin-left:0.0pt;margin-top:0.0pt;width:9.123047pt;height:10.986328pt;z-index:58;mso-position-horizontal:center;mso-position-horizontal-relative:margin;mso-position-vertical:absolute;mso-wrap-style:none;">
              <v:stroke/>
              <v:textbox id="857"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4"/>
      </w:rPr>
      <mc:AlternateContent>
        <mc:Choice Requires="wps">
          <w:drawing>
            <wp:anchor distT="0" distB="0" distL="114300" distR="114300" simplePos="0" relativeHeight="60" behindDoc="0" locked="0" layoutInCell="1" hidden="0" allowOverlap="1">
              <wp:simplePos x="0" y="0"/>
              <wp:positionH relativeFrom="margin">
                <wp:align>center</wp:align>
              </wp:positionH>
              <wp:positionV relativeFrom="paragraph">
                <wp:posOffset>0</wp:posOffset>
              </wp:positionV>
              <wp:extent cx="115862" cy="139526"/>
              <wp:wrapNone/>
              <wp:docPr id="17" name="文本框 17"/>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21">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7" o:spid="_x0000_s22" filled="f" stroked="f" strokeweight="0.5pt" style="position:absolute;margin-left:0.0pt;margin-top:0.0pt;width:9.123047pt;height:10.986328pt;z-index:60;mso-position-horizontal:center;mso-position-horizontal-relative:margin;mso-position-vertical:absolute;mso-wrap-style:none;">
              <v:stroke/>
              <v:textbox id="858"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715AF64"/>
    <w:multiLevelType w:val="multilevel"/>
    <w:tmpl w:val="5F16A424"/>
    <w:lvl w:ilvl="0">
      <w:start w:val="1"/>
      <w:numFmt w:val="decimal"/>
      <w:lvlRestart w:val="0"/>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val="0"/>
  <w:bordersDoNotSurroundFooter w:val="0"/>
  <w:defaultTabStop w:val="420"/>
  <w:drawingGridHorizontalSpacing w:val="120"/>
  <w:drawingGridVerticalSpacing w:val="165"/>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jb3VudCI6NjksImhkaWQiOiJiMzk2N2EzZjUyYWViODRjZjJhMDZjM2YyYjk4MTExMiIsInVzZXJDb3VudCI6MX0="/>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宋体" w:hAnsi="Calibri"/>
      <w:color w:val="auto"/>
      <w:kern w:val="0"/>
      <w:sz w:val="24"/>
      <w:szCs w:val="24"/>
      <w:lang w:val="en-US" w:eastAsia="zh-CN" w:bidi="ar-SA"/>
    </w:rPr>
  </w:style>
  <w:style w:type="paragraph" w:styleId="1">
    <w:name w:val="heading 1"/>
    <w:qFormat/>
    <w:basedOn w:val="0"/>
    <w:next w:val="0"/>
    <w:link w:val="1Char"/>
    <w:pPr>
      <w:keepNext/>
      <w:keepLines/>
      <w:numPr>
        <w:ilvl w:val="0"/>
        <w:numId w:val="1"/>
      </w:numPr>
      <w:adjustRightInd w:val="0"/>
      <w:snapToGrid w:val="0"/>
      <w:spacing w:before="340" w:afterLines="50" w:after="50" w:line="578" w:lineRule="auto"/>
      <w:ind w:left="425" w:hanging="425"/>
      <w:jc w:val="left"/>
      <w:outlineLvl w:val="0"/>
    </w:pPr>
    <w:rPr>
      <w:rFonts w:ascii="Times New Roman" w:eastAsia="仿宋" w:cs="Times New Roman" w:hAnsi="Times New Roman"/>
      <w:b/>
      <w:bCs/>
      <w:kern w:val="44"/>
      <w:sz w:val="36"/>
      <w:szCs w:val="44"/>
    </w:rPr>
  </w:style>
  <w:style w:type="character" w:customStyle="1" w:styleId="1Char">
    <w:name w:val="heading 1 Char"/>
    <w:basedOn w:val="10"/>
    <w:link w:val="1"/>
    <w:rPr>
      <w:rFonts w:ascii="Times New Roman" w:eastAsia="仿宋" w:cs="Times New Roman" w:hAnsi="Times New Roman"/>
      <w:b/>
      <w:bCs/>
      <w:color w:val="auto"/>
      <w:kern w:val="44"/>
      <w:sz w:val="36"/>
      <w:szCs w:val="44"/>
      <w:lang w:val="en-US" w:eastAsia="zh-CN" w:bidi="ar-SA"/>
    </w:rPr>
  </w:style>
  <w:style w:type="paragraph" w:styleId="2">
    <w:name w:val="heading 2"/>
    <w:qFormat/>
    <w:basedOn w:val="0"/>
    <w:next w:val="0"/>
    <w:link w:val="2Char"/>
    <w:pPr>
      <w:widowControl w:val="0"/>
      <w:numPr>
        <w:ilvl w:val="1"/>
        <w:numId w:val="1"/>
      </w:numPr>
      <w:spacing w:line="415" w:lineRule="auto"/>
      <w:ind w:left="567" w:hanging="567"/>
      <w:outlineLvl w:val="1"/>
    </w:pPr>
    <w:rPr>
      <w:rFonts w:ascii="Calibri Light" w:eastAsia="宋体" w:cs="Times New Roman" w:hAnsi="Calibri Light"/>
      <w:b/>
      <w:bCs/>
      <w:sz w:val="28"/>
      <w:szCs w:val="32"/>
    </w:rPr>
  </w:style>
  <w:style w:type="character" w:customStyle="1" w:styleId="2Char">
    <w:name w:val="heading 2 Char"/>
    <w:basedOn w:val="10"/>
    <w:link w:val="2"/>
    <w:rPr>
      <w:rFonts w:ascii="Calibri Light" w:eastAsia="宋体" w:cs="Times New Roman" w:hAnsi="Calibri Light"/>
      <w:b/>
      <w:bCs/>
      <w:color w:val="auto"/>
      <w:kern w:val="0"/>
      <w:sz w:val="28"/>
      <w:szCs w:val="32"/>
      <w:lang w:val="en-US" w:eastAsia="zh-CN" w:bidi="ar-SA"/>
    </w:rPr>
  </w:style>
  <w:style w:type="paragraph" w:styleId="3">
    <w:name w:val="heading 3"/>
    <w:qFormat/>
    <w:basedOn w:val="0"/>
    <w:next w:val="0"/>
    <w:link w:val="3Char"/>
    <w:pPr>
      <w:keepNext/>
      <w:keepLines/>
      <w:numPr>
        <w:ilvl w:val="2"/>
        <w:numId w:val="1"/>
      </w:numPr>
      <w:spacing w:beforeLines="50" w:before="50" w:afterLines="50" w:after="50" w:line="415" w:lineRule="auto"/>
      <w:outlineLvl w:val="2"/>
    </w:pPr>
    <w:rPr>
      <w:rFonts w:ascii="宋体" w:eastAsia="宋体" w:cs="宋体" w:hAnsi="宋体"/>
      <w:b/>
      <w:bCs/>
      <w:sz w:val="32"/>
    </w:rPr>
  </w:style>
  <w:style w:type="character" w:customStyle="1" w:styleId="3Char">
    <w:name w:val="heading 3 Char"/>
    <w:basedOn w:val="10"/>
    <w:link w:val="3"/>
    <w:rPr>
      <w:rFonts w:ascii="宋体" w:eastAsia="宋体" w:cs="宋体" w:hAnsi="宋体"/>
      <w:b/>
      <w:bCs/>
      <w:color w:val="auto"/>
      <w:kern w:val="0"/>
      <w:sz w:val="32"/>
      <w:szCs w:val="24"/>
      <w:lang w:val="en-US" w:eastAsia="zh-CN" w:bidi="ar-SA"/>
    </w:rPr>
  </w:style>
  <w:style w:type="paragraph" w:styleId="4">
    <w:name w:val="heading 4"/>
    <w:qFormat/>
    <w:basedOn w:val="0"/>
    <w:next w:val="0"/>
    <w:link w:val="4Char"/>
    <w:pPr>
      <w:keepNext/>
      <w:keepLines/>
      <w:numPr>
        <w:ilvl w:val="3"/>
        <w:numId w:val="1"/>
      </w:numPr>
      <w:spacing w:before="120" w:after="120"/>
      <w:outlineLvl w:val="3"/>
    </w:pPr>
    <w:rPr>
      <w:rFonts w:ascii="Calibri Light" w:eastAsia="宋体" w:cs="Times New Roman" w:hAnsi="Calibri Light"/>
      <w:b/>
      <w:bCs/>
      <w:sz w:val="28"/>
      <w:szCs w:val="28"/>
    </w:rPr>
  </w:style>
  <w:style w:type="character" w:customStyle="1" w:styleId="4Char">
    <w:name w:val="heading 4 Char"/>
    <w:basedOn w:val="10"/>
    <w:link w:val="4"/>
    <w:rPr>
      <w:rFonts w:ascii="Calibri Light" w:eastAsia="宋体" w:cs="Times New Roman" w:hAnsi="Calibri Light"/>
      <w:b/>
      <w:bCs/>
      <w:color w:val="auto"/>
      <w:kern w:val="0"/>
      <w:sz w:val="28"/>
      <w:szCs w:val="28"/>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alloon Text"/>
    <w:qFormat/>
    <w:basedOn w:val="0"/>
    <w:rPr>
      <w:rFonts w:cs="Arial"/>
      <w:kern w:val="2"/>
      <w:sz w:val="18"/>
      <w:szCs w:val="18"/>
    </w:rPr>
  </w:style>
  <w:style w:type="paragraph" w:styleId="17">
    <w:name w:val="footer"/>
    <w:qFormat/>
    <w:basedOn w:val="0"/>
    <w:pPr>
      <w:tabs>
        <w:tab w:val="center" w:pos="4153"/>
        <w:tab w:val="right" w:pos="8306"/>
      </w:tabs>
      <w:snapToGrid w:val="0"/>
      <w:jc w:val="left"/>
    </w:pPr>
    <w:rPr>
      <w:rFonts w:cs="Arial"/>
      <w:kern w:val="2"/>
      <w:sz w:val="18"/>
      <w:szCs w:val="18"/>
    </w:rPr>
  </w:style>
  <w:style w:type="paragraph" w:styleId="18">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Arial"/>
      <w:kern w:val="2"/>
      <w:sz w:val="18"/>
      <w:szCs w:val="18"/>
    </w:rPr>
  </w:style>
  <w:style w:type="paragraph" w:styleId="19">
    <w:name w:val="Normal (Web)"/>
    <w:qFormat/>
    <w:basedOn w:val="0"/>
    <w:pPr>
      <w:spacing w:before="0" w:beforeAutospacing="1" w:after="0" w:afterAutospacing="1"/>
      <w:ind w:left="0" w:right="0"/>
      <w:jc w:val="left"/>
    </w:pPr>
    <w:rPr>
      <w:kern w:val="0"/>
      <w:sz w:val="24"/>
      <w:lang w:val="en-US" w:eastAsia="zh-CN"/>
    </w:rPr>
  </w:style>
  <w:style w:type="character" w:styleId="20">
    <w:name w:val="Strong"/>
    <w:qFormat/>
    <w:basedOn w:val="10"/>
    <w:rPr>
      <w:b/>
    </w:rPr>
  </w:style>
  <w:style w:type="character" w:customStyle="1" w:yozoId="4094" w:styleId="21">
    <w:name w:val="font11"/>
    <w:qFormat/>
    <w:basedOn w:val="10"/>
    <w:rPr>
      <w:rFonts w:ascii="宋体" w:eastAsia="宋体" w:cs="宋体" w:hAnsi="宋体"/>
      <w:color w:val="000000"/>
      <w:sz w:val="20"/>
      <w:szCs w:val="20"/>
      <w:u w:val="none"/>
      <w:lang w:val="en-US" w:eastAsia="zh-CN" w:bidi="ar-SA"/>
    </w:rPr>
  </w:style>
  <w:style w:type="character" w:customStyle="1" w:yozoId="4094" w:styleId="22">
    <w:name w:val="font01"/>
    <w:qFormat/>
    <w:basedOn w:val="10"/>
    <w:rPr>
      <w:rFonts w:ascii="宋体" w:eastAsia="宋体" w:cs="宋体" w:hAnsi="宋体"/>
      <w:color w:val="000000"/>
      <w:sz w:val="22"/>
      <w:szCs w:val="22"/>
      <w:u w:val="none"/>
      <w:lang w:val="en-US" w:eastAsia="zh-CN" w:bidi="ar-SA"/>
    </w:rPr>
  </w:style>
  <w:style w:type="character" w:customStyle="1" w:yozoId="4094" w:styleId="23">
    <w:name w:val="font41"/>
    <w:qFormat/>
    <w:basedOn w:val="10"/>
    <w:rPr>
      <w:rFonts w:ascii="宋体" w:eastAsia="宋体" w:cs="宋体" w:hAnsi="宋体"/>
      <w:color w:val="000000"/>
      <w:sz w:val="24"/>
      <w:szCs w:val="24"/>
      <w:u w:val="none"/>
      <w:lang w:val="en-US" w:eastAsia="zh-CN" w:bidi="ar-SA"/>
    </w:rPr>
  </w:style>
  <w:style w:type="character" w:customStyle="1" w:yozoId="4094" w:styleId="24">
    <w:name w:val="font31"/>
    <w:qFormat/>
    <w:basedOn w:val="10"/>
    <w:rPr>
      <w:rFonts w:ascii="华文中宋" w:eastAsia="华文中宋" w:cs="华文中宋" w:hAnsi="华文中宋"/>
      <w:color w:val="000000"/>
      <w:sz w:val="32"/>
      <w:szCs w:val="32"/>
      <w:u w:val="none"/>
      <w:lang w:val="en-US" w:eastAsia="zh-CN" w:bidi="ar-SA"/>
    </w:rPr>
  </w:style>
  <w:style w:type="character" w:customStyle="1" w:yozoId="4094" w:styleId="25">
    <w:name w:val="font91"/>
    <w:qFormat/>
    <w:basedOn w:val="10"/>
    <w:rPr>
      <w:rFonts w:ascii="华文中宋" w:eastAsia="华文中宋" w:cs="华文中宋" w:hAnsi="华文中宋"/>
      <w:color w:val="000000"/>
      <w:sz w:val="32"/>
      <w:szCs w:val="32"/>
      <w:u w:val="none"/>
      <w:lang w:val="en-US" w:eastAsia="zh-CN" w:bidi="ar-SA"/>
    </w:rPr>
  </w:style>
  <w:style w:type="character" w:customStyle="1" w:yozoId="4094" w:styleId="26">
    <w:name w:val="font51"/>
    <w:qFormat/>
    <w:basedOn w:val="10"/>
    <w:rPr>
      <w:rFonts w:ascii="宋体" w:eastAsia="宋体" w:cs="宋体" w:hAnsi="宋体"/>
      <w:color w:val="000000"/>
      <w:sz w:val="24"/>
      <w:szCs w:val="24"/>
      <w:u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3.jpeg"/><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footer" Target="footer7.xml"/><Relationship Id="rId19" Type="http://schemas.openxmlformats.org/officeDocument/2006/relationships/image" Target="media/19.png"/><Relationship Id="rId20" Type="http://schemas.openxmlformats.org/officeDocument/2006/relationships/footer" Target="footer8.xml"/><Relationship Id="rId21" Type="http://schemas.openxmlformats.org/officeDocument/2006/relationships/styles" Target="styl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customXml" Target="../customXml/item1.xml"/><Relationship Id="rId2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1 </a:t>
            </a:r>
            <a:r>
              <a:rPr lang="zh-CN" sz="1400" b="1" i="0" u="none" strike="noStrike" baseline="0">
                <a:solidFill>
                  <a:srgbClr val="404040"/>
                </a:solidFill>
                <a:latin typeface="Calibri"/>
                <a:ea typeface="宋体"/>
                <a:cs typeface="Arial"/>
              </a:rPr>
              <a:t>： </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年收支总计对比图（万元）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731.9</c:v>
                </c:pt>
                <c:pt idx="1">
                  <c:v>717.29</c:v>
                </c:pt>
              </c:numCache>
            </c:numRef>
          </c:val>
        </c:ser>
        <c:overlap val="-28"/>
        <c:gapWidth val="246"/>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2 </a:t>
            </a:r>
            <a:r>
              <a:rPr lang="zh-CN" sz="1400" b="1" i="0" u="none" strike="noStrike" baseline="0">
                <a:solidFill>
                  <a:srgbClr val="404040"/>
                </a:solidFill>
                <a:latin typeface="Calibri"/>
                <a:ea typeface="宋体"/>
                <a:cs typeface="Arial"/>
              </a:rPr>
              <a:t>：收入决算构成情况图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2012555"/>
                  <c:y val="0.7269071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1"/>
              <c:layout>
                <c:manualLayout>
                  <c:x val="-0.3080455"/>
                  <c:y val="0.639146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2"/>
              <c:layout>
                <c:manualLayout>
                  <c:x val="0.40541184"/>
                  <c:y val="0.1718550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3"/>
              <c:layout>
                <c:manualLayout>
                  <c:x val="-0.28690514"/>
                  <c:y val="0.2702507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4"/>
              <c:layout>
                <c:manualLayout>
                  <c:x val="-0.29898536"/>
                  <c:y val="0.4491606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5"/>
              <c:layout>
                <c:manualLayout>
                  <c:x val="-0.28847557"/>
                  <c:y val="0.124165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Pos val="ctr"/>
            <c:showLegendKey val="1"/>
            <c:showVal val="0"/>
            <c:showCatName val="1"/>
            <c:showSerName val="0"/>
            <c:showPercent val="1"/>
            <c:showBubbleSize val="0"/>
            <c:separator> </c:separator>
            <c:showLeaderLines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7172878.6</c:v>
                </c:pt>
                <c:pt idx="1">
                  <c:v>0.0</c:v>
                </c:pt>
                <c:pt idx="2">
                  <c:v>0.0</c:v>
                </c:pt>
                <c:pt idx="3">
                  <c:v>0.0</c:v>
                </c:pt>
                <c:pt idx="4">
                  <c:v>0.0</c:v>
                </c:pt>
                <c:pt idx="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3 </a:t>
            </a:r>
            <a:r>
              <a:rPr lang="zh-CN" sz="1400" b="1" i="0" u="none" strike="noStrike" baseline="0">
                <a:solidFill>
                  <a:srgbClr val="404040"/>
                </a:solidFill>
                <a:latin typeface="Calibri"/>
                <a:ea typeface="宋体"/>
                <a:cs typeface="Arial"/>
              </a:rPr>
              <a:t>：支出决算构成情况图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4621888"/>
                  <c:y val="0.71546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1"/>
              <c:layout>
                <c:manualLayout>
                  <c:x val="0.35709593"/>
                  <c:y val="0.09793837"/>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2"/>
              <c:layout>
                <c:manualLayout>
                  <c:x val="-0.29270354"/>
                  <c:y val="0.2668933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3"/>
              <c:layout>
                <c:manualLayout>
                  <c:x val="-0.31523567"/>
                  <c:y val="0.468316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4"/>
              <c:layout>
                <c:manualLayout>
                  <c:x val="-0.27355897"/>
                  <c:y val="0.718210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showLegendKey val="1"/>
            <c:showVal val="0"/>
            <c:showCatName val="1"/>
            <c:showSerName val="0"/>
            <c:showPercent val="1"/>
            <c:showBubbleSize val="0"/>
            <c:showLeaderLines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6177916.69</c:v>
                </c:pt>
                <c:pt idx="1">
                  <c:v>994961.91</c:v>
                </c:pt>
                <c:pt idx="2">
                  <c:v>0.0</c:v>
                </c:pt>
                <c:pt idx="3">
                  <c:v>0.0</c:v>
                </c:pt>
                <c:pt idx="4">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4 </a:t>
            </a:r>
            <a:r>
              <a:rPr lang="zh-CN" sz="1400" b="1" i="0" u="none" strike="noStrike" baseline="0">
                <a:solidFill>
                  <a:srgbClr val="404040"/>
                </a:solidFill>
                <a:latin typeface="Calibri"/>
                <a:ea typeface="宋体"/>
                <a:cs typeface="Arial"/>
              </a:rPr>
              <a:t>：</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年财政拨款收支对比图（万元）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731.9</c:v>
                </c:pt>
                <c:pt idx="1">
                  <c:v>731.9</c:v>
                </c:pt>
                <c:pt idx="2">
                  <c:v>731.9</c:v>
                </c:pt>
                <c:pt idx="3">
                  <c:v>731.9</c:v>
                </c:pt>
                <c:pt idx="4">
                  <c:v>0.0</c:v>
                </c:pt>
                <c:pt idx="5">
                  <c:v>0.0</c:v>
                </c:pt>
                <c:pt idx="6">
                  <c:v>0.0</c:v>
                </c:pt>
                <c:pt idx="7">
                  <c:v>0.0</c:v>
                </c:pt>
              </c:numCache>
            </c:numRef>
          </c:val>
        </c:ser>
        <c:ser>
          <c:idx val="1"/>
          <c:order val="1"/>
          <c:tx>
            <c:strRef>
              <c:f>'Sheet1'!$C$1</c:f>
              <c:strCache>
                <c:ptCount val="1"/>
                <c:pt idx="0">
                  <c:v>2024年</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717.29</c:v>
                </c:pt>
                <c:pt idx="1">
                  <c:v>717.29</c:v>
                </c:pt>
                <c:pt idx="2">
                  <c:v>717.29</c:v>
                </c:pt>
                <c:pt idx="3">
                  <c:v>717.29</c:v>
                </c:pt>
                <c:pt idx="4">
                  <c:v>0.0</c:v>
                </c:pt>
                <c:pt idx="5">
                  <c:v>0.0</c:v>
                </c:pt>
                <c:pt idx="6">
                  <c:v>0.0</c:v>
                </c:pt>
                <c:pt idx="7">
                  <c:v>0.0</c:v>
                </c:pt>
              </c:numCache>
            </c:numRef>
          </c:val>
        </c:ser>
        <c:overlap val="-28"/>
        <c:gapWidth val="246"/>
        <c:axId val="0"/>
        <c:axId val="1"/>
      </c:barChart>
      <c:catAx>
        <c:axId val="0"/>
        <c:scaling>
          <c:orientation val="minMax"/>
        </c:scaling>
        <c:delete val="0"/>
        <c:axPos val="b"/>
        <c:numFmt formatCode="General" sourceLinked="0"/>
        <c:majorTickMark val="out"/>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out"/>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5 :</a:t>
            </a:r>
            <a:r>
              <a:rPr lang="zh-CN" sz="1400" b="1" i="0" u="none" strike="noStrike" baseline="0">
                <a:solidFill>
                  <a:srgbClr val="404040"/>
                </a:solidFill>
                <a:latin typeface="Calibri"/>
                <a:ea typeface="宋体"/>
                <a:cs typeface="Arial"/>
              </a:rPr>
              <a:t>财政拨款收支预算对比图（万元）</a:t>
            </a:r>
          </a:p>
        </c:rich>
      </c:tx>
      <c:layout/>
      <c:overlay val="0"/>
      <c:spPr>
        <a:noFill/>
        <a:ln>
          <a:noFill/>
        </a:ln>
      </c:spPr>
    </c:title>
    <c:autoTitleDeleted val="1"/>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'Sheet1'!$B$1</c:f>
              <c:strCache>
                <c:ptCount val="1"/>
                <c:pt idx="0">
                  <c:v>年初预算数</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753.45</c:v>
                </c:pt>
                <c:pt idx="1">
                  <c:v>753.45</c:v>
                </c:pt>
                <c:pt idx="2">
                  <c:v>753.45</c:v>
                </c:pt>
                <c:pt idx="3">
                  <c:v>753.45</c:v>
                </c:pt>
                <c:pt idx="4">
                  <c:v>0.0</c:v>
                </c:pt>
                <c:pt idx="5">
                  <c:v>0.0</c:v>
                </c:pt>
                <c:pt idx="6">
                  <c:v>0.0</c:v>
                </c:pt>
                <c:pt idx="7">
                  <c:v>0.0</c:v>
                </c:pt>
              </c:numCache>
            </c:numRef>
          </c:val>
        </c:ser>
        <c:ser>
          <c:idx val="1"/>
          <c:order val="1"/>
          <c:tx>
            <c:strRef>
              <c:f>'Sheet1'!$C$1</c:f>
              <c:strCache>
                <c:ptCount val="1"/>
                <c:pt idx="0">
                  <c:v>决算数</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717.29</c:v>
                </c:pt>
                <c:pt idx="1">
                  <c:v>717.29</c:v>
                </c:pt>
                <c:pt idx="2">
                  <c:v>717.29</c:v>
                </c:pt>
                <c:pt idx="3">
                  <c:v>717.29</c:v>
                </c:pt>
                <c:pt idx="4">
                  <c:v>0.0</c:v>
                </c:pt>
                <c:pt idx="5">
                  <c:v>0.0</c:v>
                </c:pt>
                <c:pt idx="6">
                  <c:v>0.0</c:v>
                </c:pt>
                <c:pt idx="7">
                  <c:v>0.0</c:v>
                </c:pt>
              </c:numCache>
            </c:numRef>
          </c:val>
        </c:ser>
        <c:gapWidth val="150"/>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a:t>
            </a:r>
            <a:r>
              <a:rPr lang="zh-CN" sz="1400" b="1" i="0" u="none" strike="noStrike" baseline="0">
                <a:solidFill>
                  <a:srgbClr val="404040"/>
                </a:solidFill>
                <a:latin typeface="Calibri"/>
                <a:ea typeface="宋体"/>
                <a:cs typeface="Arial"/>
              </a:rPr>
              <a:t>6  : </a:t>
            </a:r>
            <a:r>
              <a:rPr lang="zh-CN" sz="1400" b="1" i="0" u="none" strike="noStrike" baseline="0">
                <a:solidFill>
                  <a:srgbClr val="404040"/>
                </a:solidFill>
                <a:latin typeface="Calibri"/>
                <a:ea typeface="宋体"/>
                <a:cs typeface="Arial"/>
              </a:rPr>
              <a:t>财政拨款支出决算构成情况图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Pt>
            <c:idx val="6"/>
            <c:bubble3D val="0"/>
            <c:spPr>
              <a:solidFill>
                <a:srgbClr val="254380"/>
              </a:solidFill>
              <a:ln w="3175">
                <a:solidFill>
                  <a:srgbClr val="FFFFFF"/>
                </a:solidFill>
                <a:prstDash val="solid"/>
              </a:ln>
            </c:spPr>
          </c:dPt>
          <c:dPt>
            <c:idx val="7"/>
            <c:bubble3D val="0"/>
            <c:spPr>
              <a:solidFill>
                <a:srgbClr val="9E4C0D"/>
              </a:solidFill>
              <a:ln w="3175">
                <a:solidFill>
                  <a:srgbClr val="FFFFFF"/>
                </a:solidFill>
                <a:prstDash val="solid"/>
              </a:ln>
            </c:spPr>
          </c:dPt>
          <c:dPt>
            <c:idx val="8"/>
            <c:bubble3D val="0"/>
            <c:spPr>
              <a:solidFill>
                <a:srgbClr val="917001"/>
              </a:solidFill>
              <a:ln w="3175">
                <a:solidFill>
                  <a:srgbClr val="FFFFFF"/>
                </a:solidFill>
                <a:prstDash val="solid"/>
              </a:ln>
            </c:spPr>
          </c:dPt>
          <c:dPt>
            <c:idx val="9"/>
            <c:bubble3D val="0"/>
            <c:spPr>
              <a:solidFill>
                <a:srgbClr val="467128"/>
              </a:solidFill>
              <a:ln w="3175">
                <a:solidFill>
                  <a:srgbClr val="FFFFFF"/>
                </a:solidFill>
                <a:prstDash val="solid"/>
              </a:ln>
            </c:spPr>
          </c:dPt>
          <c:dPt>
            <c:idx val="10"/>
            <c:bubble3D val="0"/>
            <c:spPr>
              <a:solidFill>
                <a:srgbClr val="1D736C"/>
              </a:solidFill>
              <a:ln w="3175">
                <a:solidFill>
                  <a:srgbClr val="FFFFFF"/>
                </a:solidFill>
                <a:prstDash val="solid"/>
              </a:ln>
            </c:spPr>
          </c:dPt>
          <c:dPt>
            <c:idx val="11"/>
            <c:bubble3D val="0"/>
            <c:spPr>
              <a:solidFill>
                <a:srgbClr val="A01727"/>
              </a:solidFill>
              <a:ln w="3175">
                <a:solidFill>
                  <a:srgbClr val="FFFFFF"/>
                </a:solidFill>
                <a:prstDash val="solid"/>
              </a:ln>
            </c:spPr>
          </c:dPt>
          <c:dPt>
            <c:idx val="12"/>
            <c:bubble3D val="0"/>
            <c:spPr>
              <a:solidFill>
                <a:srgbClr val="6D90D5"/>
              </a:solidFill>
              <a:ln w="3175">
                <a:solidFill>
                  <a:srgbClr val="FFFFFF"/>
                </a:solidFill>
                <a:prstDash val="solid"/>
              </a:ln>
            </c:spPr>
          </c:dPt>
          <c:dPt>
            <c:idx val="13"/>
            <c:bubble3D val="0"/>
            <c:spPr>
              <a:solidFill>
                <a:srgbClr val="F19B59"/>
              </a:solidFill>
              <a:ln w="3175">
                <a:solidFill>
                  <a:srgbClr val="FFFFFF"/>
                </a:solidFill>
                <a:prstDash val="solid"/>
              </a:ln>
            </c:spPr>
          </c:dPt>
          <c:dPt>
            <c:idx val="14"/>
            <c:bubble3D val="0"/>
            <c:spPr>
              <a:solidFill>
                <a:srgbClr val="FDCC2C"/>
              </a:solidFill>
              <a:ln w="3175">
                <a:solidFill>
                  <a:srgbClr val="FFFFFF"/>
                </a:solidFill>
                <a:prstDash val="solid"/>
              </a:ln>
            </c:spPr>
          </c:dPt>
          <c:dPt>
            <c:idx val="15"/>
            <c:bubble3D val="0"/>
            <c:spPr>
              <a:solidFill>
                <a:srgbClr val="91CA68"/>
              </a:solidFill>
              <a:ln w="3175">
                <a:solidFill>
                  <a:srgbClr val="FFFFFF"/>
                </a:solidFill>
                <a:prstDash val="solid"/>
              </a:ln>
            </c:spPr>
          </c:dPt>
          <c:dPt>
            <c:idx val="16"/>
            <c:bubble3D val="0"/>
            <c:spPr>
              <a:solidFill>
                <a:srgbClr val="52D4C9"/>
              </a:solidFill>
              <a:ln w="3175">
                <a:solidFill>
                  <a:srgbClr val="FFFFFF"/>
                </a:solidFill>
                <a:prstDash val="solid"/>
              </a:ln>
            </c:spPr>
          </c:dPt>
          <c:dPt>
            <c:idx val="17"/>
            <c:bubble3D val="0"/>
            <c:spPr>
              <a:solidFill>
                <a:srgbClr val="EA707E"/>
              </a:solidFill>
              <a:ln w="3175">
                <a:solidFill>
                  <a:srgbClr val="FFFFFF"/>
                </a:solidFill>
                <a:prstDash val="solid"/>
              </a:ln>
            </c:spPr>
          </c:dPt>
          <c:dPt>
            <c:idx val="18"/>
            <c:bubble3D val="0"/>
            <c:spPr>
              <a:solidFill>
                <a:srgbClr val="315AAB"/>
              </a:solidFill>
              <a:ln w="3175">
                <a:solidFill>
                  <a:srgbClr val="FFFFFF"/>
                </a:solidFill>
                <a:prstDash val="solid"/>
              </a:ln>
            </c:spPr>
          </c:dPt>
          <c:dPt>
            <c:idx val="19"/>
            <c:bubble3D val="0"/>
            <c:spPr>
              <a:solidFill>
                <a:srgbClr val="D36511"/>
              </a:solidFill>
              <a:ln w="3175">
                <a:solidFill>
                  <a:srgbClr val="FFFFFF"/>
                </a:solidFill>
                <a:prstDash val="solid"/>
              </a:ln>
            </c:spPr>
          </c:dPt>
          <c:dPt>
            <c:idx val="20"/>
            <c:bubble3D val="0"/>
            <c:spPr>
              <a:solidFill>
                <a:srgbClr val="C29502"/>
              </a:solidFill>
              <a:ln w="3175">
                <a:solidFill>
                  <a:srgbClr val="FFFFFF"/>
                </a:solidFill>
                <a:prstDash val="solid"/>
              </a:ln>
            </c:spPr>
          </c:dPt>
          <c:dPt>
            <c:idx val="21"/>
            <c:bubble3D val="0"/>
            <c:spPr>
              <a:solidFill>
                <a:srgbClr val="5E9735"/>
              </a:solidFill>
              <a:ln w="3175">
                <a:solidFill>
                  <a:srgbClr val="FFFFFF"/>
                </a:solidFill>
                <a:prstDash val="solid"/>
              </a:ln>
            </c:spPr>
          </c:dPt>
          <c:dPt>
            <c:idx val="22"/>
            <c:bubble3D val="0"/>
            <c:spPr>
              <a:solidFill>
                <a:srgbClr val="269A90"/>
              </a:solidFill>
              <a:ln w="3175">
                <a:solidFill>
                  <a:srgbClr val="FFFFFF"/>
                </a:solidFill>
                <a:prstDash val="solid"/>
              </a:ln>
            </c:spPr>
          </c:dPt>
          <c:dPt>
            <c:idx val="23"/>
            <c:bubble3D val="0"/>
            <c:spPr>
              <a:solidFill>
                <a:srgbClr val="D51F34"/>
              </a:solidFill>
              <a:ln w="3175">
                <a:solidFill>
                  <a:srgbClr val="FFFFFF"/>
                </a:solidFill>
                <a:prstDash val="solid"/>
              </a:ln>
            </c:spPr>
          </c:dPt>
          <c:dPt>
            <c:idx val="24"/>
            <c:bubble3D val="0"/>
            <c:spPr>
              <a:solidFill>
                <a:srgbClr val="91ACE0"/>
              </a:solidFill>
              <a:ln w="3175">
                <a:solidFill>
                  <a:srgbClr val="FFFFFF"/>
                </a:solidFill>
                <a:prstDash val="solid"/>
              </a:ln>
            </c:spPr>
          </c:dPt>
          <c:dPt>
            <c:idx val="25"/>
            <c:bubble3D val="0"/>
            <c:spPr>
              <a:solidFill>
                <a:srgbClr val="F5B482"/>
              </a:solidFill>
              <a:ln w="3175">
                <a:solidFill>
                  <a:srgbClr val="FFFFFF"/>
                </a:solidFill>
                <a:prstDash val="solid"/>
              </a:ln>
            </c:spPr>
          </c:dPt>
          <c:dLbls>
            <c:txPr>
              <a:bodyPr/>
              <a:lstStyle/>
              <a:p>
                <a:pPr algn="ctr">
                  <a:defRPr sz="1000" b="0" i="0" u="none" strike="noStrike" baseline="0">
                    <a:solidFill>
                      <a:srgbClr val="000000"/>
                    </a:solidFill>
                    <a:latin typeface="Times New Roman"/>
                    <a:ea typeface="宋体"/>
                    <a:cs typeface="Arial"/>
                  </a:defRPr>
                </a:pPr>
                <a:endParaRPr lang="zh-CN"/>
              </a:p>
            </c:txPr>
            <c:showLegendKey val="0"/>
            <c:showVal val="0"/>
            <c:showCatName val="0"/>
            <c:showSerName val="0"/>
            <c:showPercent val="0"/>
            <c:showBubbleSize val="0"/>
            <c:showLeaderLines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587.98</c:v>
                </c:pt>
                <c:pt idx="1">
                  <c:v>0.0</c:v>
                </c:pt>
                <c:pt idx="2">
                  <c:v>0.0</c:v>
                </c:pt>
                <c:pt idx="3">
                  <c:v>0.0</c:v>
                </c:pt>
                <c:pt idx="4">
                  <c:v>0.0</c:v>
                </c:pt>
                <c:pt idx="5">
                  <c:v>0.0</c:v>
                </c:pt>
                <c:pt idx="6">
                  <c:v>0.0</c:v>
                </c:pt>
                <c:pt idx="7">
                  <c:v>66.57</c:v>
                </c:pt>
                <c:pt idx="8">
                  <c:v>32.95</c:v>
                </c:pt>
                <c:pt idx="9">
                  <c:v>0.0</c:v>
                </c:pt>
                <c:pt idx="10">
                  <c:v>0.0</c:v>
                </c:pt>
                <c:pt idx="11">
                  <c:v>0.0</c:v>
                </c:pt>
                <c:pt idx="12">
                  <c:v>0.0</c:v>
                </c:pt>
                <c:pt idx="13">
                  <c:v>0.0</c:v>
                </c:pt>
                <c:pt idx="14">
                  <c:v>0.0</c:v>
                </c:pt>
                <c:pt idx="15">
                  <c:v>0.0</c:v>
                </c:pt>
                <c:pt idx="16">
                  <c:v>0.0</c:v>
                </c:pt>
                <c:pt idx="17">
                  <c:v>0.0</c:v>
                </c:pt>
                <c:pt idx="18">
                  <c:v>29.79</c:v>
                </c:pt>
                <c:pt idx="19">
                  <c:v>0.0</c:v>
                </c:pt>
                <c:pt idx="20">
                  <c:v>0.0</c:v>
                </c:pt>
                <c:pt idx="21">
                  <c:v>0.0</c:v>
                </c:pt>
                <c:pt idx="22">
                  <c:v>0.0</c:v>
                </c:pt>
                <c:pt idx="23">
                  <c:v>0.0</c:v>
                </c:pt>
                <c:pt idx="24">
                  <c:v>0.0</c:v>
                </c:pt>
                <c:pt idx="2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customProps>
</customData>
</file>

<file path=customXml/itemProps1.xml><?xml version="1.0" encoding="utf-8"?>
<ds:datastoreItem xmlns:ds="http://schemas.openxmlformats.org/officeDocument/2006/customXml" ds:itemID="{40BCB42F-E706-459B-A63A-148CBB64C72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WPS_Yozo_Office9.0.6292.102ZH.HE70</Application>
  <Pages>45</Pages>
  <Words>0</Words>
  <Characters>12627</Characters>
  <Lines>0</Lines>
  <Paragraphs>177</Paragraphs>
  <CharactersWithSpaces>16836</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王明新TIAD</dc:creator>
  <cp:lastModifiedBy>Administrator</cp:lastModifiedBy>
  <cp:revision>16</cp:revision>
  <cp:lastPrinted>2023-08-04T01:00:00Z</cp:lastPrinted>
  <dcterms:created xsi:type="dcterms:W3CDTF">2023-08-04T07:55:00Z</dcterms:created>
  <dcterms:modified xsi:type="dcterms:W3CDTF">2025-10-30T03:04:02Z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2052-11.8.2.8808</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