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468昌黎县生态保护服务中心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143.32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127.98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143.32</w:t>
            </w:r>
          </w:p>
        </w:tc>
        <w:tc>
          <w:tcPr>
            <w:tcW w:w="4535" w:type="dxa"/>
            <w:vAlign w:val="center"/>
          </w:tcPr>
          <w:p>
            <w:pPr>
              <w:pStyle w:val="15"/>
            </w:pPr>
            <w:r>
              <w:t>本年支出合计</w:t>
            </w:r>
          </w:p>
        </w:tc>
        <w:tc>
          <w:tcPr>
            <w:tcW w:w="2126" w:type="dxa"/>
            <w:vAlign w:val="center"/>
          </w:tcPr>
          <w:p>
            <w:pPr>
              <w:pStyle w:val="16"/>
            </w:pPr>
            <w:r>
              <w:t>143.32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143.32</w:t>
            </w:r>
          </w:p>
        </w:tc>
        <w:tc>
          <w:tcPr>
            <w:tcW w:w="4535" w:type="dxa"/>
            <w:vAlign w:val="center"/>
          </w:tcPr>
          <w:p>
            <w:pPr>
              <w:pStyle w:val="15"/>
            </w:pPr>
            <w:r>
              <w:t>支出总计</w:t>
            </w:r>
          </w:p>
        </w:tc>
        <w:tc>
          <w:tcPr>
            <w:tcW w:w="2126" w:type="dxa"/>
            <w:vAlign w:val="center"/>
          </w:tcPr>
          <w:p>
            <w:pPr>
              <w:pStyle w:val="16"/>
            </w:pPr>
            <w:r>
              <w:t>143.32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468昌黎县生态保护服务中心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143.32</w:t>
            </w:r>
          </w:p>
        </w:tc>
        <w:tc>
          <w:tcPr>
            <w:tcW w:w="1134" w:type="dxa"/>
            <w:vAlign w:val="center"/>
          </w:tcPr>
          <w:p>
            <w:pPr>
              <w:pStyle w:val="16"/>
            </w:pPr>
            <w:r>
              <w:t>143.32</w:t>
            </w:r>
          </w:p>
        </w:tc>
        <w:tc>
          <w:tcPr>
            <w:tcW w:w="1134" w:type="dxa"/>
            <w:vAlign w:val="center"/>
          </w:tcPr>
          <w:p>
            <w:pPr>
              <w:pStyle w:val="16"/>
            </w:pPr>
            <w:r>
              <w:t>143.32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r>
              <w:t>7.14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r>
              <w:t>4.53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127.98</w:t>
            </w:r>
          </w:p>
        </w:tc>
        <w:tc>
          <w:tcPr>
            <w:tcW w:w="1134" w:type="dxa"/>
            <w:vAlign w:val="center"/>
          </w:tcPr>
          <w:p>
            <w:pPr>
              <w:pStyle w:val="12"/>
            </w:pPr>
            <w:r>
              <w:t>127.98</w:t>
            </w:r>
          </w:p>
        </w:tc>
        <w:tc>
          <w:tcPr>
            <w:tcW w:w="1134" w:type="dxa"/>
            <w:vAlign w:val="center"/>
          </w:tcPr>
          <w:p>
            <w:pPr>
              <w:pStyle w:val="12"/>
            </w:pPr>
            <w:r>
              <w:t>127.98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21101</w:t>
            </w:r>
          </w:p>
        </w:tc>
        <w:tc>
          <w:tcPr>
            <w:tcW w:w="1559" w:type="dxa"/>
            <w:vAlign w:val="center"/>
          </w:tcPr>
          <w:p>
            <w:pPr>
              <w:pStyle w:val="13"/>
            </w:pPr>
            <w:r>
              <w:t>环境保护管理事务</w:t>
            </w:r>
          </w:p>
        </w:tc>
        <w:tc>
          <w:tcPr>
            <w:tcW w:w="1134" w:type="dxa"/>
            <w:vAlign w:val="center"/>
          </w:tcPr>
          <w:p>
            <w:pPr>
              <w:pStyle w:val="12"/>
            </w:pPr>
            <w:r>
              <w:t>127.98</w:t>
            </w:r>
          </w:p>
        </w:tc>
        <w:tc>
          <w:tcPr>
            <w:tcW w:w="1134" w:type="dxa"/>
            <w:vAlign w:val="center"/>
          </w:tcPr>
          <w:p>
            <w:pPr>
              <w:pStyle w:val="12"/>
            </w:pPr>
            <w:r>
              <w:t>127.98</w:t>
            </w:r>
          </w:p>
        </w:tc>
        <w:tc>
          <w:tcPr>
            <w:tcW w:w="1134" w:type="dxa"/>
            <w:vAlign w:val="center"/>
          </w:tcPr>
          <w:p>
            <w:pPr>
              <w:pStyle w:val="12"/>
            </w:pPr>
            <w:r>
              <w:t>127.98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2110102</w:t>
            </w:r>
          </w:p>
        </w:tc>
        <w:tc>
          <w:tcPr>
            <w:tcW w:w="1559" w:type="dxa"/>
            <w:vAlign w:val="center"/>
          </w:tcPr>
          <w:p>
            <w:pPr>
              <w:pStyle w:val="13"/>
            </w:pPr>
            <w:r>
              <w:t>一般行政管理事务</w:t>
            </w:r>
          </w:p>
        </w:tc>
        <w:tc>
          <w:tcPr>
            <w:tcW w:w="1134" w:type="dxa"/>
            <w:vAlign w:val="center"/>
          </w:tcPr>
          <w:p>
            <w:pPr>
              <w:pStyle w:val="12"/>
            </w:pPr>
            <w:r>
              <w:t>80.36</w:t>
            </w:r>
          </w:p>
        </w:tc>
        <w:tc>
          <w:tcPr>
            <w:tcW w:w="1134" w:type="dxa"/>
            <w:vAlign w:val="center"/>
          </w:tcPr>
          <w:p>
            <w:pPr>
              <w:pStyle w:val="12"/>
            </w:pPr>
            <w:r>
              <w:t>80.36</w:t>
            </w:r>
          </w:p>
        </w:tc>
        <w:tc>
          <w:tcPr>
            <w:tcW w:w="1134" w:type="dxa"/>
            <w:vAlign w:val="center"/>
          </w:tcPr>
          <w:p>
            <w:pPr>
              <w:pStyle w:val="12"/>
            </w:pPr>
            <w:r>
              <w:t>80.36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2110199</w:t>
            </w:r>
          </w:p>
        </w:tc>
        <w:tc>
          <w:tcPr>
            <w:tcW w:w="1559" w:type="dxa"/>
            <w:vAlign w:val="center"/>
          </w:tcPr>
          <w:p>
            <w:pPr>
              <w:pStyle w:val="13"/>
            </w:pPr>
            <w:r>
              <w:t>其他环境保护管理事务支出</w:t>
            </w:r>
          </w:p>
        </w:tc>
        <w:tc>
          <w:tcPr>
            <w:tcW w:w="1134" w:type="dxa"/>
            <w:vAlign w:val="center"/>
          </w:tcPr>
          <w:p>
            <w:pPr>
              <w:pStyle w:val="12"/>
            </w:pPr>
            <w:r>
              <w:t>47.62</w:t>
            </w:r>
          </w:p>
        </w:tc>
        <w:tc>
          <w:tcPr>
            <w:tcW w:w="1134" w:type="dxa"/>
            <w:vAlign w:val="center"/>
          </w:tcPr>
          <w:p>
            <w:pPr>
              <w:pStyle w:val="12"/>
            </w:pPr>
            <w:r>
              <w:t>47.62</w:t>
            </w:r>
          </w:p>
        </w:tc>
        <w:tc>
          <w:tcPr>
            <w:tcW w:w="1134" w:type="dxa"/>
            <w:vAlign w:val="center"/>
          </w:tcPr>
          <w:p>
            <w:pPr>
              <w:pStyle w:val="12"/>
            </w:pPr>
            <w:r>
              <w:t>47.62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r>
              <w:t>3.67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143.32</w:t>
            </w:r>
          </w:p>
        </w:tc>
        <w:tc>
          <w:tcPr>
            <w:tcW w:w="1361" w:type="dxa"/>
            <w:vAlign w:val="center"/>
          </w:tcPr>
          <w:p>
            <w:pPr>
              <w:pStyle w:val="16"/>
            </w:pPr>
            <w:r>
              <w:t>62.96</w:t>
            </w:r>
          </w:p>
        </w:tc>
        <w:tc>
          <w:tcPr>
            <w:tcW w:w="1361" w:type="dxa"/>
            <w:vAlign w:val="center"/>
          </w:tcPr>
          <w:p>
            <w:pPr>
              <w:pStyle w:val="16"/>
            </w:pPr>
            <w:r>
              <w:t>80.36</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7.14</w:t>
            </w:r>
          </w:p>
        </w:tc>
        <w:tc>
          <w:tcPr>
            <w:tcW w:w="1361" w:type="dxa"/>
            <w:vAlign w:val="center"/>
          </w:tcPr>
          <w:p>
            <w:pPr>
              <w:pStyle w:val="12"/>
            </w:pPr>
            <w:r>
              <w:t>7.14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7.14</w:t>
            </w:r>
          </w:p>
        </w:tc>
        <w:tc>
          <w:tcPr>
            <w:tcW w:w="1361" w:type="dxa"/>
            <w:vAlign w:val="center"/>
          </w:tcPr>
          <w:p>
            <w:pPr>
              <w:pStyle w:val="12"/>
            </w:pPr>
            <w:r>
              <w:t>7.14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7.14</w:t>
            </w:r>
          </w:p>
        </w:tc>
        <w:tc>
          <w:tcPr>
            <w:tcW w:w="1361" w:type="dxa"/>
            <w:vAlign w:val="center"/>
          </w:tcPr>
          <w:p>
            <w:pPr>
              <w:pStyle w:val="12"/>
            </w:pPr>
            <w:r>
              <w:t>7.14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4.53</w:t>
            </w:r>
          </w:p>
        </w:tc>
        <w:tc>
          <w:tcPr>
            <w:tcW w:w="1361" w:type="dxa"/>
            <w:vAlign w:val="center"/>
          </w:tcPr>
          <w:p>
            <w:pPr>
              <w:pStyle w:val="12"/>
            </w:pPr>
            <w:r>
              <w:t>4.53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4.53</w:t>
            </w:r>
          </w:p>
        </w:tc>
        <w:tc>
          <w:tcPr>
            <w:tcW w:w="1361" w:type="dxa"/>
            <w:vAlign w:val="center"/>
          </w:tcPr>
          <w:p>
            <w:pPr>
              <w:pStyle w:val="12"/>
            </w:pPr>
            <w:r>
              <w:t>4.53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4.53</w:t>
            </w:r>
          </w:p>
        </w:tc>
        <w:tc>
          <w:tcPr>
            <w:tcW w:w="1361" w:type="dxa"/>
            <w:vAlign w:val="center"/>
          </w:tcPr>
          <w:p>
            <w:pPr>
              <w:pStyle w:val="12"/>
            </w:pPr>
            <w:r>
              <w:t>4.53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127.98</w:t>
            </w:r>
          </w:p>
        </w:tc>
        <w:tc>
          <w:tcPr>
            <w:tcW w:w="1361" w:type="dxa"/>
            <w:vAlign w:val="center"/>
          </w:tcPr>
          <w:p>
            <w:pPr>
              <w:pStyle w:val="12"/>
            </w:pPr>
            <w:r>
              <w:t>47.62</w:t>
            </w:r>
          </w:p>
        </w:tc>
        <w:tc>
          <w:tcPr>
            <w:tcW w:w="1361" w:type="dxa"/>
            <w:vAlign w:val="center"/>
          </w:tcPr>
          <w:p>
            <w:pPr>
              <w:pStyle w:val="12"/>
            </w:pPr>
            <w:r>
              <w:t>80.36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21101</w:t>
            </w:r>
          </w:p>
        </w:tc>
        <w:tc>
          <w:tcPr>
            <w:tcW w:w="4535" w:type="dxa"/>
            <w:vAlign w:val="center"/>
          </w:tcPr>
          <w:p>
            <w:pPr>
              <w:pStyle w:val="13"/>
            </w:pPr>
            <w:r>
              <w:t>环境保护管理事务</w:t>
            </w:r>
          </w:p>
        </w:tc>
        <w:tc>
          <w:tcPr>
            <w:tcW w:w="1361" w:type="dxa"/>
            <w:vAlign w:val="center"/>
          </w:tcPr>
          <w:p>
            <w:pPr>
              <w:pStyle w:val="12"/>
            </w:pPr>
            <w:r>
              <w:t>127.98</w:t>
            </w:r>
          </w:p>
        </w:tc>
        <w:tc>
          <w:tcPr>
            <w:tcW w:w="1361" w:type="dxa"/>
            <w:vAlign w:val="center"/>
          </w:tcPr>
          <w:p>
            <w:pPr>
              <w:pStyle w:val="12"/>
            </w:pPr>
            <w:r>
              <w:t>47.62</w:t>
            </w:r>
          </w:p>
        </w:tc>
        <w:tc>
          <w:tcPr>
            <w:tcW w:w="1361" w:type="dxa"/>
            <w:vAlign w:val="center"/>
          </w:tcPr>
          <w:p>
            <w:pPr>
              <w:pStyle w:val="12"/>
            </w:pPr>
            <w:r>
              <w:t>80.36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2110102</w:t>
            </w:r>
          </w:p>
        </w:tc>
        <w:tc>
          <w:tcPr>
            <w:tcW w:w="4535" w:type="dxa"/>
            <w:vAlign w:val="center"/>
          </w:tcPr>
          <w:p>
            <w:pPr>
              <w:pStyle w:val="13"/>
            </w:pPr>
            <w:r>
              <w:t>一般行政管理事务</w:t>
            </w:r>
          </w:p>
        </w:tc>
        <w:tc>
          <w:tcPr>
            <w:tcW w:w="1361" w:type="dxa"/>
            <w:vAlign w:val="center"/>
          </w:tcPr>
          <w:p>
            <w:pPr>
              <w:pStyle w:val="12"/>
            </w:pPr>
            <w:r>
              <w:t>80.36</w:t>
            </w:r>
          </w:p>
        </w:tc>
        <w:tc>
          <w:tcPr>
            <w:tcW w:w="1361" w:type="dxa"/>
            <w:vAlign w:val="center"/>
          </w:tcPr>
          <w:p>
            <w:pPr>
              <w:pStyle w:val="12"/>
            </w:pPr>
          </w:p>
        </w:tc>
        <w:tc>
          <w:tcPr>
            <w:tcW w:w="1361" w:type="dxa"/>
            <w:vAlign w:val="center"/>
          </w:tcPr>
          <w:p>
            <w:pPr>
              <w:pStyle w:val="12"/>
            </w:pPr>
            <w:r>
              <w:t>80.36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2110199</w:t>
            </w:r>
          </w:p>
        </w:tc>
        <w:tc>
          <w:tcPr>
            <w:tcW w:w="4535" w:type="dxa"/>
            <w:vAlign w:val="center"/>
          </w:tcPr>
          <w:p>
            <w:pPr>
              <w:pStyle w:val="13"/>
            </w:pPr>
            <w:r>
              <w:t>其他环境保护管理事务支出</w:t>
            </w:r>
          </w:p>
        </w:tc>
        <w:tc>
          <w:tcPr>
            <w:tcW w:w="1361" w:type="dxa"/>
            <w:vAlign w:val="center"/>
          </w:tcPr>
          <w:p>
            <w:pPr>
              <w:pStyle w:val="12"/>
            </w:pPr>
            <w:r>
              <w:t>47.62</w:t>
            </w:r>
          </w:p>
        </w:tc>
        <w:tc>
          <w:tcPr>
            <w:tcW w:w="1361" w:type="dxa"/>
            <w:vAlign w:val="center"/>
          </w:tcPr>
          <w:p>
            <w:pPr>
              <w:pStyle w:val="12"/>
            </w:pPr>
            <w:r>
              <w:t>47.62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3.67</w:t>
            </w:r>
          </w:p>
        </w:tc>
        <w:tc>
          <w:tcPr>
            <w:tcW w:w="1361" w:type="dxa"/>
            <w:vAlign w:val="center"/>
          </w:tcPr>
          <w:p>
            <w:pPr>
              <w:pStyle w:val="12"/>
            </w:pPr>
            <w:r>
              <w:t>3.67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3.67</w:t>
            </w:r>
          </w:p>
        </w:tc>
        <w:tc>
          <w:tcPr>
            <w:tcW w:w="1361" w:type="dxa"/>
            <w:vAlign w:val="center"/>
          </w:tcPr>
          <w:p>
            <w:pPr>
              <w:pStyle w:val="12"/>
            </w:pPr>
            <w:r>
              <w:t>3.67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3.67</w:t>
            </w:r>
          </w:p>
        </w:tc>
        <w:tc>
          <w:tcPr>
            <w:tcW w:w="1361" w:type="dxa"/>
            <w:vAlign w:val="center"/>
          </w:tcPr>
          <w:p>
            <w:pPr>
              <w:pStyle w:val="12"/>
            </w:pPr>
            <w:r>
              <w:t>3.67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143.32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7.14</w:t>
            </w:r>
          </w:p>
        </w:tc>
        <w:tc>
          <w:tcPr>
            <w:tcW w:w="1474" w:type="dxa"/>
            <w:vAlign w:val="center"/>
          </w:tcPr>
          <w:p>
            <w:pPr>
              <w:pStyle w:val="12"/>
            </w:pPr>
            <w:r>
              <w:t>7.14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4.53</w:t>
            </w:r>
          </w:p>
        </w:tc>
        <w:tc>
          <w:tcPr>
            <w:tcW w:w="1474" w:type="dxa"/>
            <w:vAlign w:val="center"/>
          </w:tcPr>
          <w:p>
            <w:pPr>
              <w:pStyle w:val="12"/>
            </w:pPr>
            <w:r>
              <w:t>4.53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127.98</w:t>
            </w:r>
          </w:p>
        </w:tc>
        <w:tc>
          <w:tcPr>
            <w:tcW w:w="1474" w:type="dxa"/>
            <w:vAlign w:val="center"/>
          </w:tcPr>
          <w:p>
            <w:pPr>
              <w:pStyle w:val="12"/>
            </w:pPr>
            <w:r>
              <w:t>127.98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3.67</w:t>
            </w:r>
          </w:p>
        </w:tc>
        <w:tc>
          <w:tcPr>
            <w:tcW w:w="1474" w:type="dxa"/>
            <w:vAlign w:val="center"/>
          </w:tcPr>
          <w:p>
            <w:pPr>
              <w:pStyle w:val="12"/>
            </w:pPr>
            <w:r>
              <w:t>3.67</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143.32</w:t>
            </w:r>
          </w:p>
        </w:tc>
        <w:tc>
          <w:tcPr>
            <w:tcW w:w="3402" w:type="dxa"/>
            <w:vAlign w:val="center"/>
          </w:tcPr>
          <w:p>
            <w:pPr>
              <w:pStyle w:val="15"/>
            </w:pPr>
            <w:r>
              <w:t>本年支出合计</w:t>
            </w:r>
          </w:p>
        </w:tc>
        <w:tc>
          <w:tcPr>
            <w:tcW w:w="1474" w:type="dxa"/>
            <w:vAlign w:val="center"/>
          </w:tcPr>
          <w:p>
            <w:pPr>
              <w:pStyle w:val="16"/>
            </w:pPr>
            <w:r>
              <w:t>143.32</w:t>
            </w:r>
          </w:p>
        </w:tc>
        <w:tc>
          <w:tcPr>
            <w:tcW w:w="1474" w:type="dxa"/>
            <w:vAlign w:val="center"/>
          </w:tcPr>
          <w:p>
            <w:pPr>
              <w:pStyle w:val="16"/>
            </w:pPr>
            <w:r>
              <w:t>143.32</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143.32</w:t>
            </w:r>
          </w:p>
        </w:tc>
        <w:tc>
          <w:tcPr>
            <w:tcW w:w="3402" w:type="dxa"/>
            <w:vAlign w:val="center"/>
          </w:tcPr>
          <w:p>
            <w:pPr>
              <w:pStyle w:val="15"/>
            </w:pPr>
            <w:r>
              <w:t>支出总计</w:t>
            </w:r>
          </w:p>
        </w:tc>
        <w:tc>
          <w:tcPr>
            <w:tcW w:w="1474" w:type="dxa"/>
            <w:vAlign w:val="center"/>
          </w:tcPr>
          <w:p>
            <w:pPr>
              <w:pStyle w:val="16"/>
            </w:pPr>
            <w:r>
              <w:t>143.32</w:t>
            </w:r>
          </w:p>
        </w:tc>
        <w:tc>
          <w:tcPr>
            <w:tcW w:w="1474" w:type="dxa"/>
            <w:vAlign w:val="center"/>
          </w:tcPr>
          <w:p>
            <w:pPr>
              <w:pStyle w:val="16"/>
            </w:pPr>
            <w:r>
              <w:t>143.32</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143.32</w:t>
            </w:r>
          </w:p>
        </w:tc>
        <w:tc>
          <w:tcPr>
            <w:tcW w:w="2551" w:type="dxa"/>
            <w:vAlign w:val="center"/>
          </w:tcPr>
          <w:p>
            <w:pPr>
              <w:pStyle w:val="16"/>
            </w:pPr>
            <w:r>
              <w:t>62.96</w:t>
            </w:r>
          </w:p>
        </w:tc>
        <w:tc>
          <w:tcPr>
            <w:tcW w:w="2551" w:type="dxa"/>
            <w:vAlign w:val="center"/>
          </w:tcPr>
          <w:p>
            <w:pPr>
              <w:pStyle w:val="16"/>
            </w:pPr>
            <w:r>
              <w:t>80.36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127.98</w:t>
            </w:r>
          </w:p>
        </w:tc>
        <w:tc>
          <w:tcPr>
            <w:tcW w:w="2551" w:type="dxa"/>
            <w:vAlign w:val="center"/>
          </w:tcPr>
          <w:p>
            <w:pPr>
              <w:pStyle w:val="12"/>
            </w:pPr>
            <w:r>
              <w:t>47.62</w:t>
            </w:r>
          </w:p>
        </w:tc>
        <w:tc>
          <w:tcPr>
            <w:tcW w:w="2551" w:type="dxa"/>
            <w:vAlign w:val="center"/>
          </w:tcPr>
          <w:p>
            <w:pPr>
              <w:pStyle w:val="12"/>
            </w:pPr>
            <w:r>
              <w:t>80.36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21101</w:t>
            </w:r>
          </w:p>
        </w:tc>
        <w:tc>
          <w:tcPr>
            <w:tcW w:w="4535" w:type="dxa"/>
            <w:vAlign w:val="center"/>
          </w:tcPr>
          <w:p>
            <w:pPr>
              <w:pStyle w:val="13"/>
            </w:pPr>
            <w:r>
              <w:t>环境保护管理事务</w:t>
            </w:r>
          </w:p>
        </w:tc>
        <w:tc>
          <w:tcPr>
            <w:tcW w:w="2551" w:type="dxa"/>
            <w:vAlign w:val="center"/>
          </w:tcPr>
          <w:p>
            <w:pPr>
              <w:pStyle w:val="12"/>
            </w:pPr>
            <w:r>
              <w:t>127.98</w:t>
            </w:r>
          </w:p>
        </w:tc>
        <w:tc>
          <w:tcPr>
            <w:tcW w:w="2551" w:type="dxa"/>
            <w:vAlign w:val="center"/>
          </w:tcPr>
          <w:p>
            <w:pPr>
              <w:pStyle w:val="12"/>
            </w:pPr>
            <w:r>
              <w:t>47.62</w:t>
            </w:r>
          </w:p>
        </w:tc>
        <w:tc>
          <w:tcPr>
            <w:tcW w:w="2551" w:type="dxa"/>
            <w:vAlign w:val="center"/>
          </w:tcPr>
          <w:p>
            <w:pPr>
              <w:pStyle w:val="12"/>
            </w:pPr>
            <w:r>
              <w:t>80.36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2110102</w:t>
            </w:r>
          </w:p>
        </w:tc>
        <w:tc>
          <w:tcPr>
            <w:tcW w:w="4535" w:type="dxa"/>
            <w:vAlign w:val="center"/>
          </w:tcPr>
          <w:p>
            <w:pPr>
              <w:pStyle w:val="13"/>
            </w:pPr>
            <w:r>
              <w:t>一般行政管理事务</w:t>
            </w:r>
          </w:p>
        </w:tc>
        <w:tc>
          <w:tcPr>
            <w:tcW w:w="2551" w:type="dxa"/>
            <w:vAlign w:val="center"/>
          </w:tcPr>
          <w:p>
            <w:pPr>
              <w:pStyle w:val="12"/>
            </w:pPr>
            <w:r>
              <w:t>80.36</w:t>
            </w:r>
          </w:p>
        </w:tc>
        <w:tc>
          <w:tcPr>
            <w:tcW w:w="2551" w:type="dxa"/>
            <w:vAlign w:val="center"/>
          </w:tcPr>
          <w:p>
            <w:pPr>
              <w:pStyle w:val="12"/>
            </w:pPr>
          </w:p>
        </w:tc>
        <w:tc>
          <w:tcPr>
            <w:tcW w:w="2551" w:type="dxa"/>
            <w:vAlign w:val="center"/>
          </w:tcPr>
          <w:p>
            <w:pPr>
              <w:pStyle w:val="12"/>
            </w:pPr>
            <w:r>
              <w:t>80.36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2110199</w:t>
            </w:r>
          </w:p>
        </w:tc>
        <w:tc>
          <w:tcPr>
            <w:tcW w:w="4535" w:type="dxa"/>
            <w:vAlign w:val="center"/>
          </w:tcPr>
          <w:p>
            <w:pPr>
              <w:pStyle w:val="13"/>
            </w:pPr>
            <w:r>
              <w:t>其他环境保护管理事务支出</w:t>
            </w:r>
          </w:p>
        </w:tc>
        <w:tc>
          <w:tcPr>
            <w:tcW w:w="2551" w:type="dxa"/>
            <w:vAlign w:val="center"/>
          </w:tcPr>
          <w:p>
            <w:pPr>
              <w:pStyle w:val="12"/>
            </w:pPr>
            <w:r>
              <w:t>47.62</w:t>
            </w:r>
          </w:p>
        </w:tc>
        <w:tc>
          <w:tcPr>
            <w:tcW w:w="2551" w:type="dxa"/>
            <w:vAlign w:val="center"/>
          </w:tcPr>
          <w:p>
            <w:pPr>
              <w:pStyle w:val="12"/>
            </w:pPr>
            <w:r>
              <w:t>47.62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3.67</w:t>
            </w:r>
          </w:p>
        </w:tc>
        <w:tc>
          <w:tcPr>
            <w:tcW w:w="2551" w:type="dxa"/>
            <w:vAlign w:val="center"/>
          </w:tcPr>
          <w:p>
            <w:pPr>
              <w:pStyle w:val="12"/>
            </w:pPr>
            <w:r>
              <w:t>3.67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3.67</w:t>
            </w:r>
          </w:p>
        </w:tc>
        <w:tc>
          <w:tcPr>
            <w:tcW w:w="2551" w:type="dxa"/>
            <w:vAlign w:val="center"/>
          </w:tcPr>
          <w:p>
            <w:pPr>
              <w:pStyle w:val="12"/>
            </w:pPr>
            <w:r>
              <w:t>3.67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3.67</w:t>
            </w:r>
          </w:p>
        </w:tc>
        <w:tc>
          <w:tcPr>
            <w:tcW w:w="2551" w:type="dxa"/>
            <w:vAlign w:val="center"/>
          </w:tcPr>
          <w:p>
            <w:pPr>
              <w:pStyle w:val="12"/>
            </w:pPr>
            <w:r>
              <w:t>3.67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62.96</w:t>
            </w:r>
          </w:p>
        </w:tc>
        <w:tc>
          <w:tcPr>
            <w:tcW w:w="2551" w:type="dxa"/>
            <w:vAlign w:val="center"/>
          </w:tcPr>
          <w:p>
            <w:pPr>
              <w:pStyle w:val="16"/>
            </w:pPr>
            <w:r>
              <w:t>61.28</w:t>
            </w:r>
          </w:p>
        </w:tc>
        <w:tc>
          <w:tcPr>
            <w:tcW w:w="2551" w:type="dxa"/>
            <w:vAlign w:val="center"/>
          </w:tcPr>
          <w:p>
            <w:pPr>
              <w:pStyle w:val="16"/>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61.28</w:t>
            </w:r>
          </w:p>
        </w:tc>
        <w:tc>
          <w:tcPr>
            <w:tcW w:w="2551" w:type="dxa"/>
            <w:vAlign w:val="center"/>
          </w:tcPr>
          <w:p>
            <w:pPr>
              <w:pStyle w:val="12"/>
            </w:pPr>
            <w:r>
              <w:t>61.28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25.39</w:t>
            </w:r>
          </w:p>
        </w:tc>
        <w:tc>
          <w:tcPr>
            <w:tcW w:w="2551" w:type="dxa"/>
            <w:vAlign w:val="center"/>
          </w:tcPr>
          <w:p>
            <w:pPr>
              <w:pStyle w:val="12"/>
            </w:pPr>
            <w:r>
              <w:t>25.39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3.25</w:t>
            </w:r>
          </w:p>
        </w:tc>
        <w:tc>
          <w:tcPr>
            <w:tcW w:w="2551" w:type="dxa"/>
            <w:vAlign w:val="center"/>
          </w:tcPr>
          <w:p>
            <w:pPr>
              <w:pStyle w:val="12"/>
            </w:pPr>
            <w:r>
              <w:t>3.25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16.52</w:t>
            </w:r>
          </w:p>
        </w:tc>
        <w:tc>
          <w:tcPr>
            <w:tcW w:w="2551" w:type="dxa"/>
            <w:vAlign w:val="center"/>
          </w:tcPr>
          <w:p>
            <w:pPr>
              <w:pStyle w:val="12"/>
            </w:pPr>
            <w:r>
              <w:t>16.52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7.14</w:t>
            </w:r>
          </w:p>
        </w:tc>
        <w:tc>
          <w:tcPr>
            <w:tcW w:w="2551" w:type="dxa"/>
            <w:vAlign w:val="center"/>
          </w:tcPr>
          <w:p>
            <w:pPr>
              <w:pStyle w:val="12"/>
            </w:pPr>
            <w:r>
              <w:t>7.14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4.53</w:t>
            </w:r>
          </w:p>
        </w:tc>
        <w:tc>
          <w:tcPr>
            <w:tcW w:w="2551" w:type="dxa"/>
            <w:vAlign w:val="center"/>
          </w:tcPr>
          <w:p>
            <w:pPr>
              <w:pStyle w:val="12"/>
            </w:pPr>
            <w:r>
              <w:t>4.53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0.78</w:t>
            </w:r>
          </w:p>
        </w:tc>
        <w:tc>
          <w:tcPr>
            <w:tcW w:w="2551" w:type="dxa"/>
            <w:vAlign w:val="center"/>
          </w:tcPr>
          <w:p>
            <w:pPr>
              <w:pStyle w:val="12"/>
            </w:pPr>
            <w:r>
              <w:t>0.78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3.67</w:t>
            </w:r>
          </w:p>
        </w:tc>
        <w:tc>
          <w:tcPr>
            <w:tcW w:w="2551" w:type="dxa"/>
            <w:vAlign w:val="center"/>
          </w:tcPr>
          <w:p>
            <w:pPr>
              <w:pStyle w:val="12"/>
            </w:pPr>
            <w:r>
              <w:t>3.67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1.68</w:t>
            </w:r>
          </w:p>
        </w:tc>
        <w:tc>
          <w:tcPr>
            <w:tcW w:w="2551" w:type="dxa"/>
            <w:vAlign w:val="center"/>
          </w:tcPr>
          <w:p>
            <w:pPr>
              <w:pStyle w:val="12"/>
            </w:pPr>
          </w:p>
        </w:tc>
        <w:tc>
          <w:tcPr>
            <w:tcW w:w="2551" w:type="dxa"/>
            <w:vAlign w:val="center"/>
          </w:tcPr>
          <w:p>
            <w:pPr>
              <w:pStyle w:val="12"/>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1.05</w:t>
            </w:r>
          </w:p>
        </w:tc>
        <w:tc>
          <w:tcPr>
            <w:tcW w:w="2551" w:type="dxa"/>
            <w:vAlign w:val="center"/>
          </w:tcPr>
          <w:p>
            <w:pPr>
              <w:pStyle w:val="12"/>
            </w:pPr>
          </w:p>
        </w:tc>
        <w:tc>
          <w:tcPr>
            <w:tcW w:w="2551" w:type="dxa"/>
            <w:vAlign w:val="center"/>
          </w:tcPr>
          <w:p>
            <w:pPr>
              <w:pStyle w:val="12"/>
            </w:pPr>
            <w: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0.63</w:t>
            </w:r>
          </w:p>
        </w:tc>
        <w:tc>
          <w:tcPr>
            <w:tcW w:w="2551" w:type="dxa"/>
            <w:vAlign w:val="center"/>
          </w:tcPr>
          <w:p>
            <w:pPr>
              <w:pStyle w:val="12"/>
            </w:pPr>
          </w:p>
        </w:tc>
        <w:tc>
          <w:tcPr>
            <w:tcW w:w="2551" w:type="dxa"/>
            <w:vAlign w:val="center"/>
          </w:tcPr>
          <w:p>
            <w:pPr>
              <w:pStyle w:val="12"/>
            </w:pPr>
            <w:r>
              <w:t>0.63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468昌黎县生态保护服务中心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昌黎县生态保护服务中心2025年部门预算信息公开情况说明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昌黎县生态保护服务中心2025年部门预算信息公开情况说明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按照《中华人民共和国预算法》、《地方预决算公开操作规程》和《关于进一步推进预算公开工作的实施意见》规定，现将昌黎县生态保护服务中心2025年部门预算公开如下：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负责制定大气、水体、固体废物、化学品等污染防治管理制度并组织实施，会同有关部门监督管理饮用水水源地环境保护。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昌黎县生态保护服务中心本级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按照预算管理有关规定，目前部门预算的编制实行综合预算管理，即全部收入和支出都反映在预算中。昌黎县生态保护服务中心机关及所属事业单位的收支包含在部门预算中。</w:t>
      </w:r>
    </w:p>
    <w:p>
      <w:pPr>
        <w:pStyle w:val="19"/>
      </w:pPr>
      <w:r>
        <w:t>1、收入说明</w:t>
      </w:r>
    </w:p>
    <w:p>
      <w:pPr>
        <w:pStyle w:val="19"/>
      </w:pPr>
      <w:r>
        <w:t>反映本部门当年全部收入。2025年预算收入143.32万元，其中：一般公共预算收入143.32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生态保护服务中心年度部门预算中支出预算的总体情况。2025年支出预算143.32万元，其中基本支出62.96万元，包括人员经费61.28万元和日常公用经费1.68万元；项目支出80.36万元，主要为2025年支出预算143.32万元，其中基本支出62.96万元，包括人员经费61.28万元和日常公用经费1.68万元；项目支出80.36万元</w:t>
      </w:r>
    </w:p>
    <w:p>
      <w:pPr>
        <w:pStyle w:val="19"/>
      </w:pPr>
      <w:r>
        <w:t>3、比上年增减情况</w:t>
      </w:r>
    </w:p>
    <w:p>
      <w:pPr>
        <w:pStyle w:val="19"/>
      </w:pPr>
      <w:r>
        <w:t>2025年预算收支安排143.32万元，较2024年预算减少1475.74万元，其中：基本支出增加16.90万元，主要为2025年预算收支安排143.32万元，较2024年预算减少1475.74万元， 其中：基本支出增加16.90万元，主要为人员经费项目支出减少1492.64万元，主要为2025年部门项目减少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2025年，我部门机关运行经费共计安排1.68万元，主要用于日常维修、办公用房水电费、办公用房取暖费、办公用房物业管理费等日常运行支出。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本部门严格落实“三公”经费的政策要求，本着厉行节约的原则，合理安排各项预算收入支出，与上年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坚持以习近平生态文明思想为指导，严格按照习近平总书记关于“环境质量只能变好不能变坏”的要求，突出精准治污、科学治污、依法治污，紧盯重点区域、重点领域、重点时段和重点问题，保持战略定力，持续开展攻坚，全力抓重点、补短板、强弱项，以最严厉措施、最严格制度、最严密法治，坚决打赢污染防治攻坚战。通过治理措施与行政制度管控，阻控面源污染物对故道水质的影响，进一步改善故道水生态环境，确保饮马河国考断面水质长期稳定维持或优于《地表水环境质量标准》Ⅲ类水标准。按照生态保护服务中心职能分工，扎实做好办文、办事、办会工作。一是保证人员工资按时发放，确保单位工作秩序正常。二是确保办公费用及时支付，保证机关单位正常运转；及时缴纳工会经费，保证职工享受工会组织的福利待遇。</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（一）保障单位职工生活水平进一步提升</w:t>
      </w:r>
    </w:p>
    <w:p>
      <w:pPr>
        <w:pStyle w:val="23"/>
      </w:pPr>
      <w:r>
        <w:t>绩效目标：保障单位在职人员工资、退休人员统筹外退休金、遗属人员补贴按时发起，确保机关正常运转。</w:t>
      </w:r>
    </w:p>
    <w:p>
      <w:pPr>
        <w:pStyle w:val="23"/>
      </w:pPr>
      <w:r>
        <w:t>绩效指标：职工住宅取暖补贴的年补助标准等于0.25万元；人员经费发放及时率大于等于98%；人员经费到位资金的比例大于等于98%；单位领取住宅取费补贴的人数等于6人；通过科学编制预算，严格遵守各项规章制度，提高财政资金的使用效率，做到节俭高效；厉行节约，进一步降低能耗，实现绿色办公；服务对象满意度大于等于95%。</w:t>
      </w:r>
    </w:p>
    <w:p>
      <w:pPr>
        <w:pStyle w:val="23"/>
      </w:pPr>
      <w:r>
        <w:t>（二）保障昌黎县生态环境保护工作有效落实</w:t>
      </w:r>
    </w:p>
    <w:p>
      <w:pPr>
        <w:pStyle w:val="23"/>
      </w:pPr>
      <w:r>
        <w:t>绩效目标：单位职工参加工会组织的人数5人。</w:t>
      </w:r>
    </w:p>
    <w:p>
      <w:pPr>
        <w:pStyle w:val="23"/>
      </w:pPr>
      <w:r>
        <w:t>绩效指标：加入工会组织的人数占应参加人数的比例大于等于98%；单位工会经费等及时支付的比例大于等于98%；工会经费人均标准等于900元；职工满意度大于等于95%。</w:t>
      </w:r>
    </w:p>
    <w:p>
      <w:pPr>
        <w:pStyle w:val="23"/>
      </w:pPr>
      <w:r>
        <w:t>（三）保障饮马河支流沿沟河道水质进一步提升</w:t>
      </w:r>
    </w:p>
    <w:p>
      <w:pPr>
        <w:pStyle w:val="23"/>
      </w:pPr>
      <w:r>
        <w:t>绩效目标：昌黎县饮马河支流沿沟河道生态修复。</w:t>
      </w:r>
    </w:p>
    <w:p>
      <w:pPr>
        <w:pStyle w:val="23"/>
      </w:pPr>
      <w:r>
        <w:t>绩效指标：底清挖2.1万m3；卵砾石生态河床构建31000m2；建设表流湿地17982m2；种植水生植物66624m2；生态护坡32650m2。</w:t>
      </w:r>
    </w:p>
    <w:p>
      <w:pPr>
        <w:pStyle w:val="23"/>
      </w:pPr>
      <w:r>
        <w:t>（四）保障饮马河故道水质进一步提升</w:t>
      </w:r>
    </w:p>
    <w:p>
      <w:pPr>
        <w:pStyle w:val="23"/>
      </w:pPr>
      <w:r>
        <w:t>绩效目标:通过治理措施与行政制度管控，阻控面源污染物对故道水质的影响，进一步改善故道水生态环境。</w:t>
      </w:r>
    </w:p>
    <w:p>
      <w:pPr>
        <w:pStyle w:val="23"/>
      </w:pPr>
      <w:r>
        <w:t>绩效指标：确保饮马河国考断面水质长期稳定维持或优于《地表水环境质量标准》Ⅲ类水标准。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全面实施预算绩效管理，突出绩效导向，落实主体责任，通过全方位、全过程、全覆盖实施预算绩效管理，严格按照管理制度执行预算绩效管理、资金管理、工作运行，进一步增强支出责任和效率意识，全面加强预算管理，优化资源配置，提高财政资金使用绩效和科学精细化管理水平。</w:t>
      </w:r>
    </w:p>
    <w:p>
      <w:pPr>
        <w:pStyle w:val="24"/>
      </w:pPr>
      <w:r>
        <w:t>为应对可能存在的问题和环境变化等趋势，采取措施预做准备，控制偏差，保证绩效目标实现，制定以下保障措施：</w:t>
      </w:r>
    </w:p>
    <w:p>
      <w:pPr>
        <w:pStyle w:val="24"/>
      </w:pPr>
      <w:r>
        <w:t>（一）完善制度建设。建立健全管理制度，制定完善《预算绩效管理制度》、《财务管理暂行规定》等一系列财务规章制度。为落实全面实施预算绩效管理要求，规范预算项目管理，建立了规范的绩效预算管理结构，健全了绩效目标指标体系。</w:t>
      </w:r>
    </w:p>
    <w:p>
      <w:pPr>
        <w:pStyle w:val="24"/>
      </w:pPr>
      <w:r>
        <w:t>（二）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资金运行，提高资金使用效率。</w:t>
      </w:r>
    </w:p>
    <w:p>
      <w:pPr>
        <w:pStyle w:val="24"/>
      </w:pPr>
      <w:r>
        <w:t>（三）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四）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五）规范财务资产管理。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六）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bookmarkStart w:id="20" w:name="_GoBack"/>
      <w:bookmarkEnd w:id="20"/>
      <w:r>
        <w:t>会计法》，财务人员明确岗位职责，保证单位经济活动合法合规、资产安全和使用有效、财务信息真实完整。</w:t>
      </w:r>
    </w:p>
    <w:p>
      <w:pPr>
        <w:pStyle w:val="24"/>
        <w:sectPr>
          <w:pgSz w:w="16840" w:h="11900" w:orient="landscape"/>
          <w:pgMar w:top="1361" w:right="1020" w:bottom="1361" w:left="1020" w:header="720" w:footer="720" w:gutter="0"/>
          <w:cols w:space="720" w:num="1"/>
        </w:sectPr>
      </w:pPr>
      <w:r>
        <w:t>（七）加强宣传培训调研等。强化信息宣传，营造良好氛围。进一步加大信息宣传工作力度，扩大宣传范围，创新宣传方式让各项制度简单明了、人人掌握，确保各项业务工作规范运行。</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1、劳务派遣人员支出 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13032225P00233310034N</w:t>
            </w:r>
          </w:p>
        </w:tc>
        <w:tc>
          <w:tcPr>
            <w:tcW w:w="2835" w:type="dxa"/>
            <w:vAlign w:val="center"/>
          </w:tcPr>
          <w:p>
            <w:pPr>
              <w:pStyle w:val="11"/>
            </w:pPr>
            <w:r>
              <w:t>项目名称</w:t>
            </w:r>
          </w:p>
        </w:tc>
        <w:tc>
          <w:tcPr>
            <w:tcW w:w="6095" w:type="dxa"/>
            <w:gridSpan w:val="3"/>
            <w:vAlign w:val="center"/>
          </w:tcPr>
          <w:p>
            <w:pPr>
              <w:pStyle w:val="13"/>
            </w:pPr>
            <w:r>
              <w:t xml:space="preserve">劳务派遣人员支出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80.36</w:t>
            </w:r>
          </w:p>
        </w:tc>
        <w:tc>
          <w:tcPr>
            <w:tcW w:w="2835" w:type="dxa"/>
            <w:vAlign w:val="center"/>
          </w:tcPr>
          <w:p>
            <w:pPr>
              <w:pStyle w:val="11"/>
            </w:pPr>
            <w:r>
              <w:t>其中：财政    资金</w:t>
            </w:r>
          </w:p>
        </w:tc>
        <w:tc>
          <w:tcPr>
            <w:tcW w:w="2551" w:type="dxa"/>
            <w:vAlign w:val="center"/>
          </w:tcPr>
          <w:p>
            <w:pPr>
              <w:pStyle w:val="13"/>
            </w:pPr>
            <w:r>
              <w:t>80.36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劳务派遣人员支出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委托第三方所需要成本</w:t>
            </w:r>
          </w:p>
        </w:tc>
        <w:tc>
          <w:tcPr>
            <w:tcW w:w="5386" w:type="dxa"/>
            <w:vAlign w:val="center"/>
          </w:tcPr>
          <w:p>
            <w:pPr>
              <w:pStyle w:val="13"/>
            </w:pPr>
            <w:r>
              <w:t>委托第三方所需要成本</w:t>
            </w:r>
          </w:p>
        </w:tc>
        <w:tc>
          <w:tcPr>
            <w:tcW w:w="2268" w:type="dxa"/>
            <w:vAlign w:val="center"/>
          </w:tcPr>
          <w:p>
            <w:pPr>
              <w:pStyle w:val="13"/>
            </w:pPr>
            <w:r>
              <w:t>80.36元</w:t>
            </w:r>
          </w:p>
        </w:tc>
        <w:tc>
          <w:tcPr>
            <w:tcW w:w="1276" w:type="dxa"/>
            <w:vAlign w:val="center"/>
          </w:tcPr>
          <w:p>
            <w:pPr>
              <w:pStyle w:val="13"/>
            </w:pPr>
            <w:r>
              <w:t>劳务合同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2268" w:type="dxa"/>
            <w:vAlign w:val="center"/>
          </w:tcPr>
          <w:p>
            <w:pPr>
              <w:pStyle w:val="13"/>
            </w:pPr>
            <w:r>
              <w:t>≥98%</w:t>
            </w:r>
          </w:p>
        </w:tc>
        <w:tc>
          <w:tcPr>
            <w:tcW w:w="1276" w:type="dxa"/>
            <w:vAlign w:val="center"/>
          </w:tcPr>
          <w:p>
            <w:pPr>
              <w:pStyle w:val="13"/>
            </w:pPr>
            <w:r>
              <w:t>劳务合同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2268" w:type="dxa"/>
            <w:vAlign w:val="center"/>
          </w:tcPr>
          <w:p>
            <w:pPr>
              <w:pStyle w:val="13"/>
            </w:pPr>
            <w:r>
              <w:t>≥98%</w:t>
            </w:r>
          </w:p>
        </w:tc>
        <w:tc>
          <w:tcPr>
            <w:tcW w:w="1276" w:type="dxa"/>
            <w:vAlign w:val="center"/>
          </w:tcPr>
          <w:p>
            <w:pPr>
              <w:pStyle w:val="13"/>
            </w:pPr>
            <w:r>
              <w:t>劳务合同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劳务派遣人数</w:t>
            </w:r>
          </w:p>
        </w:tc>
        <w:tc>
          <w:tcPr>
            <w:tcW w:w="5386" w:type="dxa"/>
            <w:vAlign w:val="center"/>
          </w:tcPr>
          <w:p>
            <w:pPr>
              <w:pStyle w:val="13"/>
            </w:pPr>
            <w:r>
              <w:t>劳务派遣总人数</w:t>
            </w:r>
          </w:p>
        </w:tc>
        <w:tc>
          <w:tcPr>
            <w:tcW w:w="2268" w:type="dxa"/>
            <w:vAlign w:val="center"/>
          </w:tcPr>
          <w:p>
            <w:pPr>
              <w:pStyle w:val="13"/>
            </w:pPr>
            <w:r>
              <w:t>17人</w:t>
            </w:r>
          </w:p>
        </w:tc>
        <w:tc>
          <w:tcPr>
            <w:tcW w:w="1276" w:type="dxa"/>
            <w:vAlign w:val="center"/>
          </w:tcPr>
          <w:p>
            <w:pPr>
              <w:pStyle w:val="13"/>
            </w:pPr>
            <w:r>
              <w:t>单位人数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2268" w:type="dxa"/>
            <w:vAlign w:val="center"/>
          </w:tcPr>
          <w:p>
            <w:pPr>
              <w:pStyle w:val="13"/>
            </w:pPr>
            <w:r>
              <w:t>≥95%</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468昌黎县生态保护服务中心</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468昌黎县生态保护服务中心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864ED"/>
    <w:rsid w:val="790F5296"/>
    <w:rsid w:val="7F78016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7494</Words>
  <Characters>8679</Characters>
  <TotalTime>1</TotalTime>
  <ScaleCrop>false</ScaleCrop>
  <LinksUpToDate>false</LinksUpToDate>
  <CharactersWithSpaces>8812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2025-01-20T11:06:00Z</dcterms:created>
  <dc:creator>Administrator</dc:creator>
  <cp:lastModifiedBy>Administrator</cp:lastModifiedBy>
  <dcterms:modified xsi:type="dcterms:W3CDTF">2025-11-24T00:56:44Z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eyJoZGlkIjoiY2JiZTYxMDBlMDFmMTY1NzY4MGQ2YTc5MDk3YzY0YzciLCJ1c2VySWQiOiIzOTUzMDA0ODAifQ==</vt:lpwstr>
  </property>
  <property fmtid="{D5CDD505-2E9C-101B-9397-08002B2CF9AE}" pid="4" name="ICV">
    <vt:lpwstr>1D5C417609B947D989E0EF79B5613665_12</vt:lpwstr>
  </property>
</Properties>
</file>