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rPr>
          <w:rFonts w:hint="eastAsia"/>
          <w:lang w:val="en-US" w:eastAsia="zh-CN"/>
        </w:rPr>
        <w:t>一、昌黎县林业发展中心本级收支预算</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ab/>
      </w:r>
      <w:r>
        <w:rPr>
          <w:rFonts w:hint="eastAsia"/>
          <w:lang w:val="en-US" w:eastAsia="zh-CN"/>
        </w:rPr>
        <w:t>1</w:t>
      </w:r>
      <w:r>
        <w:fldChar w:fldCharType="end"/>
      </w:r>
    </w:p>
    <w:p>
      <w:pPr>
        <w:pStyle w:val="2"/>
        <w:tabs>
          <w:tab w:val="right" w:leader="dot" w:pos="14562"/>
        </w:tabs>
      </w:pPr>
    </w:p>
    <w:p>
      <w:pPr>
        <w:pStyle w:val="2"/>
        <w:tabs>
          <w:tab w:val="right" w:leader="dot" w:pos="14562"/>
        </w:tabs>
        <w:ind w:left="0" w:leftChars="0" w:firstLine="0" w:firstLineChars="0"/>
        <w:rPr>
          <w:rFonts w:hint="eastAsia" w:eastAsia="方正仿宋_GBK"/>
          <w:lang w:val="en-US" w:eastAsia="zh-CN"/>
        </w:rPr>
      </w:pPr>
    </w:p>
    <w:p>
      <w:r>
        <w:fldChar w:fldCharType="end"/>
      </w:r>
    </w:p>
    <w:p>
      <w:pPr>
        <w:sectPr>
          <w:pgSz w:w="16840" w:h="11900" w:orient="landscape"/>
          <w:pgMar w:top="1587" w:right="1134" w:bottom="1361" w:left="1134" w:header="720" w:footer="720" w:gutter="0"/>
          <w:pgNumType w:start="1"/>
          <w:cols w:space="720" w:num="1"/>
        </w:sectPr>
      </w:pPr>
    </w:p>
    <w:p>
      <w:pPr>
        <w:jc w:val="center"/>
        <w:outlineLvl w:val="3"/>
      </w:pPr>
      <w:bookmarkStart w:id="0" w:name="_Toc_4_4_0000000001"/>
      <w:r>
        <w:rPr>
          <w:rFonts w:ascii="方正小标宋_GBK" w:hAnsi="方正小标宋_GBK" w:eastAsia="方正小标宋_GBK" w:cs="方正小标宋_GBK"/>
          <w:color w:val="000000"/>
          <w:sz w:val="44"/>
        </w:rPr>
        <w:t>一、昌黎县林业发展中心本级收支预算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327001昌黎县林业发展中心本级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1487.11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1000.00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1379.13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2487.11</w:t>
            </w:r>
          </w:p>
        </w:tc>
        <w:tc>
          <w:tcPr>
            <w:tcW w:w="4535" w:type="dxa"/>
            <w:vAlign w:val="center"/>
          </w:tcPr>
          <w:p>
            <w:pPr>
              <w:pStyle w:val="14"/>
            </w:pPr>
            <w:r>
              <w:t>本年支出合计</w:t>
            </w:r>
          </w:p>
        </w:tc>
        <w:tc>
          <w:tcPr>
            <w:tcW w:w="2126" w:type="dxa"/>
            <w:vAlign w:val="center"/>
          </w:tcPr>
          <w:p>
            <w:pPr>
              <w:pStyle w:val="15"/>
            </w:pPr>
            <w:r>
              <w:t>2548.67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61.56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2548.67</w:t>
            </w:r>
          </w:p>
        </w:tc>
        <w:tc>
          <w:tcPr>
            <w:tcW w:w="4535" w:type="dxa"/>
            <w:vAlign w:val="center"/>
          </w:tcPr>
          <w:p>
            <w:pPr>
              <w:pStyle w:val="14"/>
            </w:pPr>
            <w:r>
              <w:t>支出总计</w:t>
            </w:r>
          </w:p>
        </w:tc>
        <w:tc>
          <w:tcPr>
            <w:tcW w:w="2126" w:type="dxa"/>
            <w:vAlign w:val="center"/>
          </w:tcPr>
          <w:p>
            <w:pPr>
              <w:pStyle w:val="15"/>
            </w:pPr>
            <w:r>
              <w:t>2548.67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327001昌黎县林业发展中心本级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2548.67</w:t>
            </w:r>
          </w:p>
        </w:tc>
        <w:tc>
          <w:tcPr>
            <w:tcW w:w="1134" w:type="dxa"/>
            <w:vAlign w:val="center"/>
          </w:tcPr>
          <w:p>
            <w:pPr>
              <w:pStyle w:val="15"/>
            </w:pPr>
            <w:r>
              <w:t>2487.11</w:t>
            </w:r>
          </w:p>
        </w:tc>
        <w:tc>
          <w:tcPr>
            <w:tcW w:w="1134" w:type="dxa"/>
            <w:vAlign w:val="center"/>
          </w:tcPr>
          <w:p>
            <w:pPr>
              <w:pStyle w:val="15"/>
            </w:pPr>
            <w:r>
              <w:t>2487.11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94.69</w:t>
            </w:r>
          </w:p>
        </w:tc>
        <w:tc>
          <w:tcPr>
            <w:tcW w:w="1134" w:type="dxa"/>
            <w:vAlign w:val="center"/>
          </w:tcPr>
          <w:p>
            <w:pPr>
              <w:pStyle w:val="11"/>
            </w:pPr>
            <w:r>
              <w:t>94.69</w:t>
            </w:r>
          </w:p>
        </w:tc>
        <w:tc>
          <w:tcPr>
            <w:tcW w:w="1134" w:type="dxa"/>
            <w:vAlign w:val="center"/>
          </w:tcPr>
          <w:p>
            <w:pPr>
              <w:pStyle w:val="11"/>
            </w:pPr>
            <w:r>
              <w:t>94.69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94.69</w:t>
            </w:r>
          </w:p>
        </w:tc>
        <w:tc>
          <w:tcPr>
            <w:tcW w:w="1134" w:type="dxa"/>
            <w:vAlign w:val="center"/>
          </w:tcPr>
          <w:p>
            <w:pPr>
              <w:pStyle w:val="11"/>
            </w:pPr>
            <w:r>
              <w:t>94.69</w:t>
            </w:r>
          </w:p>
        </w:tc>
        <w:tc>
          <w:tcPr>
            <w:tcW w:w="1134" w:type="dxa"/>
            <w:vAlign w:val="center"/>
          </w:tcPr>
          <w:p>
            <w:pPr>
              <w:pStyle w:val="11"/>
            </w:pPr>
            <w:r>
              <w:t>94.69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70.59</w:t>
            </w:r>
          </w:p>
        </w:tc>
        <w:tc>
          <w:tcPr>
            <w:tcW w:w="1134" w:type="dxa"/>
            <w:vAlign w:val="center"/>
          </w:tcPr>
          <w:p>
            <w:pPr>
              <w:pStyle w:val="11"/>
            </w:pPr>
            <w:r>
              <w:t>70.59</w:t>
            </w:r>
          </w:p>
        </w:tc>
        <w:tc>
          <w:tcPr>
            <w:tcW w:w="1134" w:type="dxa"/>
            <w:vAlign w:val="center"/>
          </w:tcPr>
          <w:p>
            <w:pPr>
              <w:pStyle w:val="11"/>
            </w:pPr>
            <w:r>
              <w:t>70.59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r>
              <w:t>24.10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39.56</w:t>
            </w:r>
          </w:p>
        </w:tc>
        <w:tc>
          <w:tcPr>
            <w:tcW w:w="1134" w:type="dxa"/>
            <w:vAlign w:val="center"/>
          </w:tcPr>
          <w:p>
            <w:pPr>
              <w:pStyle w:val="11"/>
            </w:pPr>
            <w:r>
              <w:t>39.56</w:t>
            </w:r>
          </w:p>
        </w:tc>
        <w:tc>
          <w:tcPr>
            <w:tcW w:w="1134" w:type="dxa"/>
            <w:vAlign w:val="center"/>
          </w:tcPr>
          <w:p>
            <w:pPr>
              <w:pStyle w:val="11"/>
            </w:pPr>
            <w:r>
              <w:t>39.56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39.56</w:t>
            </w:r>
          </w:p>
        </w:tc>
        <w:tc>
          <w:tcPr>
            <w:tcW w:w="1134" w:type="dxa"/>
            <w:vAlign w:val="center"/>
          </w:tcPr>
          <w:p>
            <w:pPr>
              <w:pStyle w:val="11"/>
            </w:pPr>
            <w:r>
              <w:t>39.56</w:t>
            </w:r>
          </w:p>
        </w:tc>
        <w:tc>
          <w:tcPr>
            <w:tcW w:w="1134" w:type="dxa"/>
            <w:vAlign w:val="center"/>
          </w:tcPr>
          <w:p>
            <w:pPr>
              <w:pStyle w:val="11"/>
            </w:pPr>
            <w:r>
              <w:t>39.56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r>
              <w:t>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37.52</w:t>
            </w:r>
          </w:p>
        </w:tc>
        <w:tc>
          <w:tcPr>
            <w:tcW w:w="1134" w:type="dxa"/>
            <w:vAlign w:val="center"/>
          </w:tcPr>
          <w:p>
            <w:pPr>
              <w:pStyle w:val="11"/>
            </w:pPr>
            <w:r>
              <w:t>37.52</w:t>
            </w:r>
          </w:p>
        </w:tc>
        <w:tc>
          <w:tcPr>
            <w:tcW w:w="1134" w:type="dxa"/>
            <w:vAlign w:val="center"/>
          </w:tcPr>
          <w:p>
            <w:pPr>
              <w:pStyle w:val="11"/>
            </w:pPr>
            <w:r>
              <w:t>37.52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1379.13</w:t>
            </w:r>
          </w:p>
        </w:tc>
        <w:tc>
          <w:tcPr>
            <w:tcW w:w="1134" w:type="dxa"/>
            <w:vAlign w:val="center"/>
          </w:tcPr>
          <w:p>
            <w:pPr>
              <w:pStyle w:val="11"/>
            </w:pPr>
            <w:r>
              <w:t>1317.57</w:t>
            </w:r>
          </w:p>
        </w:tc>
        <w:tc>
          <w:tcPr>
            <w:tcW w:w="1134" w:type="dxa"/>
            <w:vAlign w:val="center"/>
          </w:tcPr>
          <w:p>
            <w:pPr>
              <w:pStyle w:val="11"/>
            </w:pPr>
            <w:r>
              <w:t>1317.57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1379.13</w:t>
            </w:r>
          </w:p>
        </w:tc>
        <w:tc>
          <w:tcPr>
            <w:tcW w:w="1134" w:type="dxa"/>
            <w:vAlign w:val="center"/>
          </w:tcPr>
          <w:p>
            <w:pPr>
              <w:pStyle w:val="11"/>
            </w:pPr>
            <w:r>
              <w:t>1317.57</w:t>
            </w:r>
          </w:p>
        </w:tc>
        <w:tc>
          <w:tcPr>
            <w:tcW w:w="1134" w:type="dxa"/>
            <w:vAlign w:val="center"/>
          </w:tcPr>
          <w:p>
            <w:pPr>
              <w:pStyle w:val="11"/>
            </w:pPr>
            <w:r>
              <w:t>1317.57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2130201</w:t>
            </w:r>
          </w:p>
        </w:tc>
        <w:tc>
          <w:tcPr>
            <w:tcW w:w="1559" w:type="dxa"/>
            <w:vAlign w:val="center"/>
          </w:tcPr>
          <w:p>
            <w:pPr>
              <w:pStyle w:val="12"/>
            </w:pPr>
            <w:r>
              <w:t>行政运行</w:t>
            </w:r>
          </w:p>
        </w:tc>
        <w:tc>
          <w:tcPr>
            <w:tcW w:w="1134" w:type="dxa"/>
            <w:vAlign w:val="center"/>
          </w:tcPr>
          <w:p>
            <w:pPr>
              <w:pStyle w:val="11"/>
            </w:pPr>
            <w:r>
              <w:t>17.54</w:t>
            </w:r>
          </w:p>
        </w:tc>
        <w:tc>
          <w:tcPr>
            <w:tcW w:w="1134" w:type="dxa"/>
            <w:vAlign w:val="center"/>
          </w:tcPr>
          <w:p>
            <w:pPr>
              <w:pStyle w:val="11"/>
            </w:pPr>
            <w:r>
              <w:t>17.54</w:t>
            </w:r>
          </w:p>
        </w:tc>
        <w:tc>
          <w:tcPr>
            <w:tcW w:w="1134" w:type="dxa"/>
            <w:vAlign w:val="center"/>
          </w:tcPr>
          <w:p>
            <w:pPr>
              <w:pStyle w:val="11"/>
            </w:pPr>
            <w:r>
              <w:t>17.54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573.22</w:t>
            </w:r>
          </w:p>
        </w:tc>
        <w:tc>
          <w:tcPr>
            <w:tcW w:w="1134" w:type="dxa"/>
            <w:vAlign w:val="center"/>
          </w:tcPr>
          <w:p>
            <w:pPr>
              <w:pStyle w:val="11"/>
            </w:pPr>
            <w:r>
              <w:t>573.22</w:t>
            </w:r>
          </w:p>
        </w:tc>
        <w:tc>
          <w:tcPr>
            <w:tcW w:w="1134" w:type="dxa"/>
            <w:vAlign w:val="center"/>
          </w:tcPr>
          <w:p>
            <w:pPr>
              <w:pStyle w:val="11"/>
            </w:pPr>
            <w:r>
              <w:t>573.22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550.00</w:t>
            </w:r>
          </w:p>
        </w:tc>
        <w:tc>
          <w:tcPr>
            <w:tcW w:w="1134" w:type="dxa"/>
            <w:vAlign w:val="center"/>
          </w:tcPr>
          <w:p>
            <w:pPr>
              <w:pStyle w:val="11"/>
            </w:pPr>
            <w:r>
              <w:t>520.00</w:t>
            </w:r>
          </w:p>
        </w:tc>
        <w:tc>
          <w:tcPr>
            <w:tcW w:w="1134" w:type="dxa"/>
            <w:vAlign w:val="center"/>
          </w:tcPr>
          <w:p>
            <w:pPr>
              <w:pStyle w:val="11"/>
            </w:pPr>
            <w:r>
              <w:t>520.00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1.92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236.44</w:t>
            </w:r>
          </w:p>
        </w:tc>
        <w:tc>
          <w:tcPr>
            <w:tcW w:w="1134" w:type="dxa"/>
            <w:vAlign w:val="center"/>
          </w:tcPr>
          <w:p>
            <w:pPr>
              <w:pStyle w:val="11"/>
            </w:pPr>
            <w:r>
              <w:t>206.80</w:t>
            </w:r>
          </w:p>
        </w:tc>
        <w:tc>
          <w:tcPr>
            <w:tcW w:w="1134" w:type="dxa"/>
            <w:vAlign w:val="center"/>
          </w:tcPr>
          <w:p>
            <w:pPr>
              <w:pStyle w:val="11"/>
            </w:pPr>
            <w:r>
              <w:t>206.80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r>
              <w:t>35.30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2548.67</w:t>
            </w:r>
          </w:p>
        </w:tc>
        <w:tc>
          <w:tcPr>
            <w:tcW w:w="1361" w:type="dxa"/>
            <w:vAlign w:val="center"/>
          </w:tcPr>
          <w:p>
            <w:pPr>
              <w:pStyle w:val="15"/>
            </w:pPr>
            <w:r>
              <w:t>760.31</w:t>
            </w:r>
          </w:p>
        </w:tc>
        <w:tc>
          <w:tcPr>
            <w:tcW w:w="1361" w:type="dxa"/>
            <w:vAlign w:val="center"/>
          </w:tcPr>
          <w:p>
            <w:pPr>
              <w:pStyle w:val="15"/>
            </w:pPr>
            <w:r>
              <w:t>1788.36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94.69</w:t>
            </w:r>
          </w:p>
        </w:tc>
        <w:tc>
          <w:tcPr>
            <w:tcW w:w="1361" w:type="dxa"/>
            <w:vAlign w:val="center"/>
          </w:tcPr>
          <w:p>
            <w:pPr>
              <w:pStyle w:val="11"/>
            </w:pPr>
            <w:r>
              <w:t>94.69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94.69</w:t>
            </w:r>
          </w:p>
        </w:tc>
        <w:tc>
          <w:tcPr>
            <w:tcW w:w="1361" w:type="dxa"/>
            <w:vAlign w:val="center"/>
          </w:tcPr>
          <w:p>
            <w:pPr>
              <w:pStyle w:val="11"/>
            </w:pPr>
            <w:r>
              <w:t>94.69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70.59</w:t>
            </w:r>
          </w:p>
        </w:tc>
        <w:tc>
          <w:tcPr>
            <w:tcW w:w="1361" w:type="dxa"/>
            <w:vAlign w:val="center"/>
          </w:tcPr>
          <w:p>
            <w:pPr>
              <w:pStyle w:val="11"/>
            </w:pPr>
            <w:r>
              <w:t>70.59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24.10</w:t>
            </w:r>
          </w:p>
        </w:tc>
        <w:tc>
          <w:tcPr>
            <w:tcW w:w="1361" w:type="dxa"/>
            <w:vAlign w:val="center"/>
          </w:tcPr>
          <w:p>
            <w:pPr>
              <w:pStyle w:val="11"/>
            </w:pPr>
            <w:r>
              <w:t>24.10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39.56</w:t>
            </w:r>
          </w:p>
        </w:tc>
        <w:tc>
          <w:tcPr>
            <w:tcW w:w="1361" w:type="dxa"/>
            <w:vAlign w:val="center"/>
          </w:tcPr>
          <w:p>
            <w:pPr>
              <w:pStyle w:val="11"/>
            </w:pPr>
            <w:r>
              <w:t>39.56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39.56</w:t>
            </w:r>
          </w:p>
        </w:tc>
        <w:tc>
          <w:tcPr>
            <w:tcW w:w="1361" w:type="dxa"/>
            <w:vAlign w:val="center"/>
          </w:tcPr>
          <w:p>
            <w:pPr>
              <w:pStyle w:val="11"/>
            </w:pPr>
            <w:r>
              <w:t>39.56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2.04</w:t>
            </w:r>
          </w:p>
        </w:tc>
        <w:tc>
          <w:tcPr>
            <w:tcW w:w="1361" w:type="dxa"/>
            <w:vAlign w:val="center"/>
          </w:tcPr>
          <w:p>
            <w:pPr>
              <w:pStyle w:val="11"/>
            </w:pPr>
            <w:r>
              <w:t>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37.52</w:t>
            </w:r>
          </w:p>
        </w:tc>
        <w:tc>
          <w:tcPr>
            <w:tcW w:w="1361" w:type="dxa"/>
            <w:vAlign w:val="center"/>
          </w:tcPr>
          <w:p>
            <w:pPr>
              <w:pStyle w:val="11"/>
            </w:pPr>
            <w:r>
              <w:t>37.52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1379.13</w:t>
            </w:r>
          </w:p>
        </w:tc>
        <w:tc>
          <w:tcPr>
            <w:tcW w:w="1361" w:type="dxa"/>
            <w:vAlign w:val="center"/>
          </w:tcPr>
          <w:p>
            <w:pPr>
              <w:pStyle w:val="11"/>
            </w:pPr>
            <w:r>
              <w:t>590.77</w:t>
            </w:r>
          </w:p>
        </w:tc>
        <w:tc>
          <w:tcPr>
            <w:tcW w:w="1361" w:type="dxa"/>
            <w:vAlign w:val="center"/>
          </w:tcPr>
          <w:p>
            <w:pPr>
              <w:pStyle w:val="11"/>
            </w:pPr>
            <w:r>
              <w:t>788.36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1379.13</w:t>
            </w:r>
          </w:p>
        </w:tc>
        <w:tc>
          <w:tcPr>
            <w:tcW w:w="1361" w:type="dxa"/>
            <w:vAlign w:val="center"/>
          </w:tcPr>
          <w:p>
            <w:pPr>
              <w:pStyle w:val="11"/>
            </w:pPr>
            <w:r>
              <w:t>590.77</w:t>
            </w:r>
          </w:p>
        </w:tc>
        <w:tc>
          <w:tcPr>
            <w:tcW w:w="1361" w:type="dxa"/>
            <w:vAlign w:val="center"/>
          </w:tcPr>
          <w:p>
            <w:pPr>
              <w:pStyle w:val="11"/>
            </w:pPr>
            <w:r>
              <w:t>788.36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2130201</w:t>
            </w:r>
          </w:p>
        </w:tc>
        <w:tc>
          <w:tcPr>
            <w:tcW w:w="4535" w:type="dxa"/>
            <w:vAlign w:val="center"/>
          </w:tcPr>
          <w:p>
            <w:pPr>
              <w:pStyle w:val="12"/>
            </w:pPr>
            <w:r>
              <w:t>行政运行</w:t>
            </w:r>
          </w:p>
        </w:tc>
        <w:tc>
          <w:tcPr>
            <w:tcW w:w="1361" w:type="dxa"/>
            <w:vAlign w:val="center"/>
          </w:tcPr>
          <w:p>
            <w:pPr>
              <w:pStyle w:val="11"/>
            </w:pPr>
            <w:r>
              <w:t>17.54</w:t>
            </w:r>
          </w:p>
        </w:tc>
        <w:tc>
          <w:tcPr>
            <w:tcW w:w="1361" w:type="dxa"/>
            <w:vAlign w:val="center"/>
          </w:tcPr>
          <w:p>
            <w:pPr>
              <w:pStyle w:val="11"/>
            </w:pPr>
            <w:r>
              <w:t>17.54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573.22</w:t>
            </w:r>
          </w:p>
        </w:tc>
        <w:tc>
          <w:tcPr>
            <w:tcW w:w="1361" w:type="dxa"/>
            <w:vAlign w:val="center"/>
          </w:tcPr>
          <w:p>
            <w:pPr>
              <w:pStyle w:val="11"/>
            </w:pPr>
            <w:r>
              <w:t>573.22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550.00</w:t>
            </w:r>
          </w:p>
        </w:tc>
        <w:tc>
          <w:tcPr>
            <w:tcW w:w="1361" w:type="dxa"/>
            <w:vAlign w:val="center"/>
          </w:tcPr>
          <w:p>
            <w:pPr>
              <w:pStyle w:val="11"/>
            </w:pPr>
          </w:p>
        </w:tc>
        <w:tc>
          <w:tcPr>
            <w:tcW w:w="1361" w:type="dxa"/>
            <w:vAlign w:val="center"/>
          </w:tcPr>
          <w:p>
            <w:pPr>
              <w:pStyle w:val="11"/>
            </w:pPr>
            <w:r>
              <w:t>550.00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1.92</w:t>
            </w:r>
          </w:p>
        </w:tc>
        <w:tc>
          <w:tcPr>
            <w:tcW w:w="1361" w:type="dxa"/>
            <w:vAlign w:val="center"/>
          </w:tcPr>
          <w:p>
            <w:pPr>
              <w:pStyle w:val="11"/>
            </w:pPr>
          </w:p>
        </w:tc>
        <w:tc>
          <w:tcPr>
            <w:tcW w:w="1361" w:type="dxa"/>
            <w:vAlign w:val="center"/>
          </w:tcPr>
          <w:p>
            <w:pPr>
              <w:pStyle w:val="11"/>
            </w:pPr>
            <w:r>
              <w:t>1.92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236.44</w:t>
            </w:r>
          </w:p>
        </w:tc>
        <w:tc>
          <w:tcPr>
            <w:tcW w:w="1361" w:type="dxa"/>
            <w:vAlign w:val="center"/>
          </w:tcPr>
          <w:p>
            <w:pPr>
              <w:pStyle w:val="11"/>
            </w:pPr>
          </w:p>
        </w:tc>
        <w:tc>
          <w:tcPr>
            <w:tcW w:w="1361" w:type="dxa"/>
            <w:vAlign w:val="center"/>
          </w:tcPr>
          <w:p>
            <w:pPr>
              <w:pStyle w:val="11"/>
            </w:pPr>
            <w:r>
              <w:t>236.44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35.30</w:t>
            </w:r>
          </w:p>
        </w:tc>
        <w:tc>
          <w:tcPr>
            <w:tcW w:w="1361" w:type="dxa"/>
            <w:vAlign w:val="center"/>
          </w:tcPr>
          <w:p>
            <w:pPr>
              <w:pStyle w:val="11"/>
            </w:pPr>
            <w:r>
              <w:t>35.30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35.30</w:t>
            </w:r>
          </w:p>
        </w:tc>
        <w:tc>
          <w:tcPr>
            <w:tcW w:w="1361" w:type="dxa"/>
            <w:vAlign w:val="center"/>
          </w:tcPr>
          <w:p>
            <w:pPr>
              <w:pStyle w:val="11"/>
            </w:pPr>
            <w:r>
              <w:t>35.30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35.30</w:t>
            </w:r>
          </w:p>
        </w:tc>
        <w:tc>
          <w:tcPr>
            <w:tcW w:w="1361" w:type="dxa"/>
            <w:vAlign w:val="center"/>
          </w:tcPr>
          <w:p>
            <w:pPr>
              <w:pStyle w:val="11"/>
            </w:pPr>
            <w:r>
              <w:t>35.30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1487.11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94.69</w:t>
            </w:r>
          </w:p>
        </w:tc>
        <w:tc>
          <w:tcPr>
            <w:tcW w:w="1474" w:type="dxa"/>
            <w:vAlign w:val="center"/>
          </w:tcPr>
          <w:p>
            <w:pPr>
              <w:pStyle w:val="11"/>
            </w:pPr>
            <w:r>
              <w:t>94.69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39.56</w:t>
            </w:r>
          </w:p>
        </w:tc>
        <w:tc>
          <w:tcPr>
            <w:tcW w:w="1474" w:type="dxa"/>
            <w:vAlign w:val="center"/>
          </w:tcPr>
          <w:p>
            <w:pPr>
              <w:pStyle w:val="11"/>
            </w:pPr>
            <w:r>
              <w:t>39.56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1000.00</w:t>
            </w:r>
          </w:p>
        </w:tc>
        <w:tc>
          <w:tcPr>
            <w:tcW w:w="1474" w:type="dxa"/>
            <w:vAlign w:val="center"/>
          </w:tcPr>
          <w:p>
            <w:pPr>
              <w:pStyle w:val="11"/>
            </w:pPr>
          </w:p>
        </w:tc>
        <w:tc>
          <w:tcPr>
            <w:tcW w:w="1474" w:type="dxa"/>
            <w:vAlign w:val="center"/>
          </w:tcPr>
          <w:p>
            <w:pPr>
              <w:pStyle w:val="11"/>
            </w:pPr>
            <w:r>
              <w:t>1000.00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1379.13</w:t>
            </w:r>
          </w:p>
        </w:tc>
        <w:tc>
          <w:tcPr>
            <w:tcW w:w="1474" w:type="dxa"/>
            <w:vAlign w:val="center"/>
          </w:tcPr>
          <w:p>
            <w:pPr>
              <w:pStyle w:val="11"/>
            </w:pPr>
            <w:r>
              <w:t>1379.13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35.30</w:t>
            </w:r>
          </w:p>
        </w:tc>
        <w:tc>
          <w:tcPr>
            <w:tcW w:w="1474" w:type="dxa"/>
            <w:vAlign w:val="center"/>
          </w:tcPr>
          <w:p>
            <w:pPr>
              <w:pStyle w:val="11"/>
            </w:pPr>
            <w:r>
              <w:t>35.30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2487.11</w:t>
            </w:r>
          </w:p>
        </w:tc>
        <w:tc>
          <w:tcPr>
            <w:tcW w:w="3402" w:type="dxa"/>
            <w:vAlign w:val="center"/>
          </w:tcPr>
          <w:p>
            <w:pPr>
              <w:pStyle w:val="14"/>
            </w:pPr>
            <w:r>
              <w:t>本年支出合计</w:t>
            </w:r>
          </w:p>
        </w:tc>
        <w:tc>
          <w:tcPr>
            <w:tcW w:w="1474" w:type="dxa"/>
            <w:vAlign w:val="center"/>
          </w:tcPr>
          <w:p>
            <w:pPr>
              <w:pStyle w:val="15"/>
            </w:pPr>
            <w:r>
              <w:t>2548.67</w:t>
            </w:r>
          </w:p>
        </w:tc>
        <w:tc>
          <w:tcPr>
            <w:tcW w:w="1474" w:type="dxa"/>
            <w:vAlign w:val="center"/>
          </w:tcPr>
          <w:p>
            <w:pPr>
              <w:pStyle w:val="15"/>
            </w:pPr>
            <w:r>
              <w:t>1548.67</w:t>
            </w:r>
          </w:p>
        </w:tc>
        <w:tc>
          <w:tcPr>
            <w:tcW w:w="1474" w:type="dxa"/>
            <w:vAlign w:val="center"/>
          </w:tcPr>
          <w:p>
            <w:pPr>
              <w:pStyle w:val="15"/>
            </w:pPr>
            <w:r>
              <w:t>1000.00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61.56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61.56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2548.67</w:t>
            </w:r>
          </w:p>
        </w:tc>
        <w:tc>
          <w:tcPr>
            <w:tcW w:w="3402" w:type="dxa"/>
            <w:vAlign w:val="center"/>
          </w:tcPr>
          <w:p>
            <w:pPr>
              <w:pStyle w:val="14"/>
            </w:pPr>
            <w:r>
              <w:t>支出总计</w:t>
            </w:r>
          </w:p>
        </w:tc>
        <w:tc>
          <w:tcPr>
            <w:tcW w:w="1474" w:type="dxa"/>
            <w:vAlign w:val="center"/>
          </w:tcPr>
          <w:p>
            <w:pPr>
              <w:pStyle w:val="15"/>
            </w:pPr>
            <w:r>
              <w:t>2548.67</w:t>
            </w:r>
          </w:p>
        </w:tc>
        <w:tc>
          <w:tcPr>
            <w:tcW w:w="1474" w:type="dxa"/>
            <w:vAlign w:val="center"/>
          </w:tcPr>
          <w:p>
            <w:pPr>
              <w:pStyle w:val="15"/>
            </w:pPr>
            <w:r>
              <w:t>1548.67</w:t>
            </w:r>
          </w:p>
        </w:tc>
        <w:tc>
          <w:tcPr>
            <w:tcW w:w="1474" w:type="dxa"/>
            <w:vAlign w:val="center"/>
          </w:tcPr>
          <w:p>
            <w:pPr>
              <w:pStyle w:val="15"/>
            </w:pPr>
            <w:r>
              <w:t>1000.00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1548.67</w:t>
            </w:r>
          </w:p>
        </w:tc>
        <w:tc>
          <w:tcPr>
            <w:tcW w:w="2551" w:type="dxa"/>
            <w:vAlign w:val="center"/>
          </w:tcPr>
          <w:p>
            <w:pPr>
              <w:pStyle w:val="15"/>
            </w:pPr>
            <w:r>
              <w:t>760.31</w:t>
            </w:r>
          </w:p>
        </w:tc>
        <w:tc>
          <w:tcPr>
            <w:tcW w:w="2551" w:type="dxa"/>
            <w:vAlign w:val="center"/>
          </w:tcPr>
          <w:p>
            <w:pPr>
              <w:pStyle w:val="15"/>
            </w:pPr>
            <w:r>
              <w:t>788.36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94.69</w:t>
            </w:r>
          </w:p>
        </w:tc>
        <w:tc>
          <w:tcPr>
            <w:tcW w:w="2551" w:type="dxa"/>
            <w:vAlign w:val="center"/>
          </w:tcPr>
          <w:p>
            <w:pPr>
              <w:pStyle w:val="11"/>
            </w:pPr>
            <w:r>
              <w:t>94.69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94.69</w:t>
            </w:r>
          </w:p>
        </w:tc>
        <w:tc>
          <w:tcPr>
            <w:tcW w:w="2551" w:type="dxa"/>
            <w:vAlign w:val="center"/>
          </w:tcPr>
          <w:p>
            <w:pPr>
              <w:pStyle w:val="11"/>
            </w:pPr>
            <w:r>
              <w:t>94.69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70.59</w:t>
            </w:r>
          </w:p>
        </w:tc>
        <w:tc>
          <w:tcPr>
            <w:tcW w:w="2551" w:type="dxa"/>
            <w:vAlign w:val="center"/>
          </w:tcPr>
          <w:p>
            <w:pPr>
              <w:pStyle w:val="11"/>
            </w:pPr>
            <w:r>
              <w:t>70.59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39.56</w:t>
            </w:r>
          </w:p>
        </w:tc>
        <w:tc>
          <w:tcPr>
            <w:tcW w:w="2551" w:type="dxa"/>
            <w:vAlign w:val="center"/>
          </w:tcPr>
          <w:p>
            <w:pPr>
              <w:pStyle w:val="11"/>
            </w:pPr>
            <w:r>
              <w:t>39.56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39.56</w:t>
            </w:r>
          </w:p>
        </w:tc>
        <w:tc>
          <w:tcPr>
            <w:tcW w:w="2551" w:type="dxa"/>
            <w:vAlign w:val="center"/>
          </w:tcPr>
          <w:p>
            <w:pPr>
              <w:pStyle w:val="11"/>
            </w:pPr>
            <w:r>
              <w:t>39.56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2.04</w:t>
            </w:r>
          </w:p>
        </w:tc>
        <w:tc>
          <w:tcPr>
            <w:tcW w:w="2551" w:type="dxa"/>
            <w:vAlign w:val="center"/>
          </w:tcPr>
          <w:p>
            <w:pPr>
              <w:pStyle w:val="11"/>
            </w:pPr>
            <w:r>
              <w:t>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37.52</w:t>
            </w:r>
          </w:p>
        </w:tc>
        <w:tc>
          <w:tcPr>
            <w:tcW w:w="2551" w:type="dxa"/>
            <w:vAlign w:val="center"/>
          </w:tcPr>
          <w:p>
            <w:pPr>
              <w:pStyle w:val="11"/>
            </w:pPr>
            <w:r>
              <w:t>37.52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1379.13</w:t>
            </w:r>
          </w:p>
        </w:tc>
        <w:tc>
          <w:tcPr>
            <w:tcW w:w="2551" w:type="dxa"/>
            <w:vAlign w:val="center"/>
          </w:tcPr>
          <w:p>
            <w:pPr>
              <w:pStyle w:val="11"/>
            </w:pPr>
            <w:r>
              <w:t>590.77</w:t>
            </w:r>
          </w:p>
        </w:tc>
        <w:tc>
          <w:tcPr>
            <w:tcW w:w="2551" w:type="dxa"/>
            <w:vAlign w:val="center"/>
          </w:tcPr>
          <w:p>
            <w:pPr>
              <w:pStyle w:val="11"/>
            </w:pPr>
            <w:r>
              <w:t>788.36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1379.13</w:t>
            </w:r>
          </w:p>
        </w:tc>
        <w:tc>
          <w:tcPr>
            <w:tcW w:w="2551" w:type="dxa"/>
            <w:vAlign w:val="center"/>
          </w:tcPr>
          <w:p>
            <w:pPr>
              <w:pStyle w:val="11"/>
            </w:pPr>
            <w:r>
              <w:t>590.77</w:t>
            </w:r>
          </w:p>
        </w:tc>
        <w:tc>
          <w:tcPr>
            <w:tcW w:w="2551" w:type="dxa"/>
            <w:vAlign w:val="center"/>
          </w:tcPr>
          <w:p>
            <w:pPr>
              <w:pStyle w:val="11"/>
            </w:pPr>
            <w:r>
              <w:t>788.36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2130201</w:t>
            </w:r>
          </w:p>
        </w:tc>
        <w:tc>
          <w:tcPr>
            <w:tcW w:w="4535" w:type="dxa"/>
            <w:vAlign w:val="center"/>
          </w:tcPr>
          <w:p>
            <w:pPr>
              <w:pStyle w:val="12"/>
            </w:pPr>
            <w:r>
              <w:t>行政运行</w:t>
            </w:r>
          </w:p>
        </w:tc>
        <w:tc>
          <w:tcPr>
            <w:tcW w:w="2551" w:type="dxa"/>
            <w:vAlign w:val="center"/>
          </w:tcPr>
          <w:p>
            <w:pPr>
              <w:pStyle w:val="11"/>
            </w:pPr>
            <w:r>
              <w:t>17.54</w:t>
            </w:r>
          </w:p>
        </w:tc>
        <w:tc>
          <w:tcPr>
            <w:tcW w:w="2551" w:type="dxa"/>
            <w:vAlign w:val="center"/>
          </w:tcPr>
          <w:p>
            <w:pPr>
              <w:pStyle w:val="11"/>
            </w:pPr>
            <w:r>
              <w:t>17.54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573.22</w:t>
            </w:r>
          </w:p>
        </w:tc>
        <w:tc>
          <w:tcPr>
            <w:tcW w:w="2551" w:type="dxa"/>
            <w:vAlign w:val="center"/>
          </w:tcPr>
          <w:p>
            <w:pPr>
              <w:pStyle w:val="11"/>
            </w:pPr>
            <w:r>
              <w:t>573.22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550.00</w:t>
            </w:r>
          </w:p>
        </w:tc>
        <w:tc>
          <w:tcPr>
            <w:tcW w:w="2551" w:type="dxa"/>
            <w:vAlign w:val="center"/>
          </w:tcPr>
          <w:p>
            <w:pPr>
              <w:pStyle w:val="11"/>
            </w:pPr>
          </w:p>
        </w:tc>
        <w:tc>
          <w:tcPr>
            <w:tcW w:w="2551" w:type="dxa"/>
            <w:vAlign w:val="center"/>
          </w:tcPr>
          <w:p>
            <w:pPr>
              <w:pStyle w:val="11"/>
            </w:pPr>
            <w:r>
              <w:t>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1.92</w:t>
            </w:r>
          </w:p>
        </w:tc>
        <w:tc>
          <w:tcPr>
            <w:tcW w:w="2551" w:type="dxa"/>
            <w:vAlign w:val="center"/>
          </w:tcPr>
          <w:p>
            <w:pPr>
              <w:pStyle w:val="11"/>
            </w:pPr>
          </w:p>
        </w:tc>
        <w:tc>
          <w:tcPr>
            <w:tcW w:w="2551"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236.44</w:t>
            </w:r>
          </w:p>
        </w:tc>
        <w:tc>
          <w:tcPr>
            <w:tcW w:w="2551" w:type="dxa"/>
            <w:vAlign w:val="center"/>
          </w:tcPr>
          <w:p>
            <w:pPr>
              <w:pStyle w:val="11"/>
            </w:pPr>
          </w:p>
        </w:tc>
        <w:tc>
          <w:tcPr>
            <w:tcW w:w="2551" w:type="dxa"/>
            <w:vAlign w:val="center"/>
          </w:tcPr>
          <w:p>
            <w:pPr>
              <w:pStyle w:val="11"/>
            </w:pPr>
            <w:r>
              <w:t>236.44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35.30</w:t>
            </w:r>
          </w:p>
        </w:tc>
        <w:tc>
          <w:tcPr>
            <w:tcW w:w="2551" w:type="dxa"/>
            <w:vAlign w:val="center"/>
          </w:tcPr>
          <w:p>
            <w:pPr>
              <w:pStyle w:val="11"/>
            </w:pPr>
            <w:r>
              <w:t>35.30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35.30</w:t>
            </w:r>
          </w:p>
        </w:tc>
        <w:tc>
          <w:tcPr>
            <w:tcW w:w="2551" w:type="dxa"/>
            <w:vAlign w:val="center"/>
          </w:tcPr>
          <w:p>
            <w:pPr>
              <w:pStyle w:val="11"/>
            </w:pPr>
            <w:r>
              <w:t>35.30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35.30</w:t>
            </w:r>
          </w:p>
        </w:tc>
        <w:tc>
          <w:tcPr>
            <w:tcW w:w="2551" w:type="dxa"/>
            <w:vAlign w:val="center"/>
          </w:tcPr>
          <w:p>
            <w:pPr>
              <w:pStyle w:val="11"/>
            </w:pPr>
            <w:r>
              <w:t>35.30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760.31</w:t>
            </w:r>
          </w:p>
        </w:tc>
        <w:tc>
          <w:tcPr>
            <w:tcW w:w="2551" w:type="dxa"/>
            <w:vAlign w:val="center"/>
          </w:tcPr>
          <w:p>
            <w:pPr>
              <w:pStyle w:val="15"/>
            </w:pPr>
            <w:r>
              <w:t>740.55</w:t>
            </w:r>
          </w:p>
        </w:tc>
        <w:tc>
          <w:tcPr>
            <w:tcW w:w="2551" w:type="dxa"/>
            <w:vAlign w:val="center"/>
          </w:tcPr>
          <w:p>
            <w:pPr>
              <w:pStyle w:val="15"/>
            </w:pPr>
            <w:r>
              <w:t>19.76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666.03</w:t>
            </w:r>
          </w:p>
        </w:tc>
        <w:tc>
          <w:tcPr>
            <w:tcW w:w="2551" w:type="dxa"/>
            <w:vAlign w:val="center"/>
          </w:tcPr>
          <w:p>
            <w:pPr>
              <w:pStyle w:val="11"/>
            </w:pPr>
            <w:r>
              <w:t>666.03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296.69</w:t>
            </w:r>
          </w:p>
        </w:tc>
        <w:tc>
          <w:tcPr>
            <w:tcW w:w="2551" w:type="dxa"/>
            <w:vAlign w:val="center"/>
          </w:tcPr>
          <w:p>
            <w:pPr>
              <w:pStyle w:val="11"/>
            </w:pPr>
            <w:r>
              <w:t>296.69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36.48</w:t>
            </w:r>
          </w:p>
        </w:tc>
        <w:tc>
          <w:tcPr>
            <w:tcW w:w="2551" w:type="dxa"/>
            <w:vAlign w:val="center"/>
          </w:tcPr>
          <w:p>
            <w:pPr>
              <w:pStyle w:val="11"/>
            </w:pPr>
            <w:r>
              <w:t>36.48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2.32</w:t>
            </w:r>
          </w:p>
        </w:tc>
        <w:tc>
          <w:tcPr>
            <w:tcW w:w="2551" w:type="dxa"/>
            <w:vAlign w:val="center"/>
          </w:tcPr>
          <w:p>
            <w:pPr>
              <w:pStyle w:val="11"/>
            </w:pPr>
            <w:r>
              <w:t>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149.20</w:t>
            </w:r>
          </w:p>
        </w:tc>
        <w:tc>
          <w:tcPr>
            <w:tcW w:w="2551" w:type="dxa"/>
            <w:vAlign w:val="center"/>
          </w:tcPr>
          <w:p>
            <w:pPr>
              <w:pStyle w:val="11"/>
            </w:pPr>
            <w:r>
              <w:t>149.20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70.59</w:t>
            </w:r>
          </w:p>
        </w:tc>
        <w:tc>
          <w:tcPr>
            <w:tcW w:w="2551" w:type="dxa"/>
            <w:vAlign w:val="center"/>
          </w:tcPr>
          <w:p>
            <w:pPr>
              <w:pStyle w:val="11"/>
            </w:pPr>
            <w:r>
              <w:t>70.59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38.90</w:t>
            </w:r>
          </w:p>
        </w:tc>
        <w:tc>
          <w:tcPr>
            <w:tcW w:w="2551" w:type="dxa"/>
            <w:vAlign w:val="center"/>
          </w:tcPr>
          <w:p>
            <w:pPr>
              <w:pStyle w:val="11"/>
            </w:pPr>
            <w:r>
              <w:t>38.90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12.46</w:t>
            </w:r>
          </w:p>
        </w:tc>
        <w:tc>
          <w:tcPr>
            <w:tcW w:w="2551" w:type="dxa"/>
            <w:vAlign w:val="center"/>
          </w:tcPr>
          <w:p>
            <w:pPr>
              <w:pStyle w:val="11"/>
            </w:pPr>
            <w:r>
              <w:t>12.46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35.30</w:t>
            </w:r>
          </w:p>
        </w:tc>
        <w:tc>
          <w:tcPr>
            <w:tcW w:w="2551" w:type="dxa"/>
            <w:vAlign w:val="center"/>
          </w:tcPr>
          <w:p>
            <w:pPr>
              <w:pStyle w:val="11"/>
            </w:pPr>
            <w:r>
              <w:t>35.30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19.76</w:t>
            </w:r>
          </w:p>
        </w:tc>
        <w:tc>
          <w:tcPr>
            <w:tcW w:w="2551" w:type="dxa"/>
            <w:vAlign w:val="center"/>
          </w:tcPr>
          <w:p>
            <w:pPr>
              <w:pStyle w:val="11"/>
            </w:pPr>
          </w:p>
        </w:tc>
        <w:tc>
          <w:tcPr>
            <w:tcW w:w="2551" w:type="dxa"/>
            <w:vAlign w:val="center"/>
          </w:tcPr>
          <w:p>
            <w:pPr>
              <w:pStyle w:val="11"/>
            </w:pPr>
            <w:r>
              <w:t>19.76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12.20</w:t>
            </w:r>
          </w:p>
        </w:tc>
        <w:tc>
          <w:tcPr>
            <w:tcW w:w="2551" w:type="dxa"/>
            <w:vAlign w:val="center"/>
          </w:tcPr>
          <w:p>
            <w:pPr>
              <w:pStyle w:val="11"/>
            </w:pPr>
          </w:p>
        </w:tc>
        <w:tc>
          <w:tcPr>
            <w:tcW w:w="2551" w:type="dxa"/>
            <w:vAlign w:val="center"/>
          </w:tcPr>
          <w:p>
            <w:pPr>
              <w:pStyle w:val="11"/>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5.49</w:t>
            </w:r>
          </w:p>
        </w:tc>
        <w:tc>
          <w:tcPr>
            <w:tcW w:w="2551" w:type="dxa"/>
            <w:vAlign w:val="center"/>
          </w:tcPr>
          <w:p>
            <w:pPr>
              <w:pStyle w:val="11"/>
            </w:pPr>
          </w:p>
        </w:tc>
        <w:tc>
          <w:tcPr>
            <w:tcW w:w="2551" w:type="dxa"/>
            <w:vAlign w:val="center"/>
          </w:tcPr>
          <w:p>
            <w:pPr>
              <w:pStyle w:val="11"/>
            </w:pPr>
            <w:r>
              <w:t>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74.52</w:t>
            </w:r>
          </w:p>
        </w:tc>
        <w:tc>
          <w:tcPr>
            <w:tcW w:w="2551" w:type="dxa"/>
            <w:vAlign w:val="center"/>
          </w:tcPr>
          <w:p>
            <w:pPr>
              <w:pStyle w:val="11"/>
            </w:pPr>
            <w:r>
              <w:t>74.52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67.34</w:t>
            </w:r>
          </w:p>
        </w:tc>
        <w:tc>
          <w:tcPr>
            <w:tcW w:w="2551" w:type="dxa"/>
            <w:vAlign w:val="center"/>
          </w:tcPr>
          <w:p>
            <w:pPr>
              <w:pStyle w:val="11"/>
            </w:pPr>
            <w:r>
              <w:t>67.34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7.03</w:t>
            </w:r>
          </w:p>
        </w:tc>
        <w:tc>
          <w:tcPr>
            <w:tcW w:w="2551" w:type="dxa"/>
            <w:vAlign w:val="center"/>
          </w:tcPr>
          <w:p>
            <w:pPr>
              <w:pStyle w:val="11"/>
            </w:pPr>
            <w:r>
              <w:t>7.03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0.16</w:t>
            </w:r>
          </w:p>
        </w:tc>
        <w:tc>
          <w:tcPr>
            <w:tcW w:w="2551" w:type="dxa"/>
            <w:vAlign w:val="center"/>
          </w:tcPr>
          <w:p>
            <w:pPr>
              <w:pStyle w:val="11"/>
            </w:pPr>
            <w:r>
              <w:t>0.16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1000.00</w:t>
            </w:r>
          </w:p>
        </w:tc>
        <w:tc>
          <w:tcPr>
            <w:tcW w:w="2551" w:type="dxa"/>
            <w:vAlign w:val="center"/>
          </w:tcPr>
          <w:p>
            <w:pPr>
              <w:pStyle w:val="15"/>
            </w:pPr>
          </w:p>
        </w:tc>
        <w:tc>
          <w:tcPr>
            <w:tcW w:w="2551" w:type="dxa"/>
            <w:vAlign w:val="center"/>
          </w:tcPr>
          <w:p>
            <w:pPr>
              <w:pStyle w:val="15"/>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327001昌黎县林业发展中心本级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昌黎县林业发展中心本级2024年单位预算信息公开情况说明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按照《中华人民共和国预算法》、《地方预决算公开操作规程》和《关于进一步推进预算公开工作的实施意见》规定，现将昌黎县林业发展中心本级2024年单位预算公开如下：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负责全县林业及其生态保护修复的监督管理。贯彻执行国家、省、市关于林业及其生态保护修复的政策、规划、地方标准，起草相关政府规范性文件。组织开展全县森林、湿地、荒漠和陆生野生动植物资源动态监测与评价。</w:t>
      </w:r>
    </w:p>
    <w:p>
      <w:pPr>
        <w:pStyle w:val="17"/>
      </w:pPr>
      <w:r>
        <w:t>2、组织全县林业生态保护修复和造林绿化工作。组织实施林业重点生态保护修复工程，指导公益林和商品林的培育，指导、监督全民义务植树、城乡録化工作。指导林业有害生物防治、检疫工作。承担林业应对气候变化的相关工作。</w:t>
      </w:r>
    </w:p>
    <w:p>
      <w:pPr>
        <w:pStyle w:val="17"/>
      </w:pPr>
      <w:r>
        <w:t>3、负责全县森林、湿地资源的监督管理。组织编制森林采伐限额，负责林地管理，拟订全县林地保护利用规划并组织实施，指导全县公益林划定和管理工作。负责全县湿地生态保护修复工作，拟订全县湿地保护规划并组织实施，严格落实上级关于湿地保护相关地方标准，监督管理湿地的开发利用。</w:t>
      </w:r>
    </w:p>
    <w:p>
      <w:pPr>
        <w:pStyle w:val="17"/>
      </w:pPr>
      <w:r>
        <w:t>4、负责监督管理全县荒漠化防治工作。组织开展荒漠调查、组织拟订全县防沙治沙及沙化土地封禁保护区建设规划，贯彻实施上级相关地方标准和规定，监督管理沙化土池的开发利用，组织沙尘暴灾害预测预报和应急处置。</w:t>
      </w:r>
    </w:p>
    <w:p>
      <w:pPr>
        <w:pStyle w:val="17"/>
      </w:pPr>
      <w:r>
        <w:t>5、负责全县陆生野生动植物资源监督管理。组织开展陆生野生动植物资源</w:t>
      </w:r>
      <w:r>
        <w:rPr>
          <w:rFonts w:hint="eastAsia"/>
          <w:lang w:eastAsia="zh-CN"/>
        </w:rPr>
        <w:t>调查</w:t>
      </w:r>
      <w:r>
        <w:t>，指导全县陆生野生动植物的救护繁育、栖息地恢复发展、疫源疫病监测，监督管理全县陆生野生动植物猎捕或采集、驯养繁殖或培植、经营利用。负责全县生物多样性保护相关工作。</w:t>
      </w:r>
      <w:bookmarkStart w:id="1" w:name="_GoBack"/>
      <w:bookmarkEnd w:id="1"/>
    </w:p>
    <w:p>
      <w:pPr>
        <w:pStyle w:val="17"/>
      </w:pPr>
      <w:r>
        <w:t>6、负责推进全县林业改革相关工作。拟订集休林权制度等重大改革意见并监督实施。拟订农村林业发展、维护林业经营者合法权益的政策措施，指导监督农村林地承包经营工作。开展退耕还林，负责天然林保护工作。</w:t>
      </w:r>
    </w:p>
    <w:p>
      <w:pPr>
        <w:pStyle w:val="17"/>
      </w:pPr>
      <w:r>
        <w:t>7、拟订全县林业资源优化配置及木材利用政策，拟订相关林业产业地方标准并监督实施，组织、指导林产品质量监督，指导生态扶贫相关工作。</w:t>
      </w:r>
    </w:p>
    <w:p>
      <w:pPr>
        <w:pStyle w:val="17"/>
      </w:pPr>
      <w:r>
        <w:t>8、指导县苗圃场基本建设和发展，组织开展林木种子种质资源普查，组织建立种质资源库，负责良种选育推广，管理林木种苗生产经管行为，监管林木种苗质量。监督管理林业生物种质资源、转基因生物安全、植物新品种保护。</w:t>
      </w:r>
    </w:p>
    <w:p>
      <w:pPr>
        <w:pStyle w:val="17"/>
      </w:pPr>
      <w:r>
        <w:t>9、指导全县林业重大行政违法案件的查处，负责相关行政执法监管工作。</w:t>
      </w:r>
    </w:p>
    <w:p>
      <w:pPr>
        <w:pStyle w:val="17"/>
      </w:pPr>
      <w:r>
        <w:t>10、指导各乡镇落实林木所有者、经营者主体责任，组织指导林业系统开展森林防火宣传教育和林木管护工作；负责落实自然保护地综合防灾减灾规划相关要求，组织编制自然保护地森林火灾防治规划并监督实施，贯彻落实相关防护标准，指导自然保护地开展防火巡护、火源管理、防火设施建设等工作。组织指导自然保护地森林防火宣传教育、预警监测、监督检查等防火工作。</w:t>
      </w:r>
    </w:p>
    <w:p>
      <w:pPr>
        <w:pStyle w:val="17"/>
      </w:pPr>
      <w:r>
        <w:t>11、监督管理林业中央和省、市级资金及国有资产，提出全县林业预算内投资、中央和省、市级财政性资金安排建议，按权限审核规划内和年度计划内投资项目。参与拟订林业经济调节政策，组织实施林业生态补偿工作。</w:t>
      </w: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rPr>
          <w:rFonts w:ascii="方正小标宋_GBK" w:hAnsi="方正小标宋_GBK" w:eastAsia="方正小标宋_GBK" w:cs="方正小标宋_GBK"/>
          <w:color w:val="000000"/>
          <w:sz w:val="32"/>
        </w:rPr>
      </w:pP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昌黎县林业发展中心本级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2548.67万元，其中：一般公共预算收入1487.11万元，基金预算收入1000.00万元，国有资本经营预算收入0.00万元，财政专户核拨收入0.00万元，单位资金收入0.00万元，上年结转结余61.56万元。</w:t>
      </w:r>
    </w:p>
    <w:p>
      <w:pPr>
        <w:pStyle w:val="18"/>
      </w:pPr>
      <w:r>
        <w:t>2、支出说明</w:t>
      </w:r>
    </w:p>
    <w:p>
      <w:pPr>
        <w:pStyle w:val="18"/>
      </w:pPr>
      <w:r>
        <w:t>收支预算总表支出栏、基本支出表、项目支出表按经济分类和支出功能分类科目编制，反映昌黎县林业发展中心本级年度单位预算中支出预算的总体情况。2024年支出预算2548.67万元，其中基本支出760.31万元，包括人员经费740.55万元和日常公用经费19.76万元；项目支出1788.36万元，主要为提前下达2024年中央财政林业改革发展资金（林业有害生物防治）20万元；提前下达2024年省级林业改革发展补助资金（村庄绿化提升村）20万元；林业发展改革资金（造林绿化）1500万元；林业发展改革资金（森林防火）20万元；林业发展改革资金（造林绿化）166.8万元；2023年中央财政林业草原改革发展资金（林业有害生物防治）10万元；林草湿综合检测1.92万元；提前下达2023年中央财政林业改革发展资金（林业有害生物防治）19.64万元；造林绿化重点奖补——省级森林乡村奖补10万元；造林绿化重点奖补——村庄绿化提升村20万元。</w:t>
      </w:r>
    </w:p>
    <w:p>
      <w:pPr>
        <w:pStyle w:val="18"/>
        <w:numPr>
          <w:ilvl w:val="0"/>
          <w:numId w:val="1"/>
        </w:numPr>
      </w:pPr>
      <w:r>
        <w:t>比上年增减情况</w:t>
      </w:r>
    </w:p>
    <w:p>
      <w:pPr>
        <w:pStyle w:val="18"/>
        <w:numPr>
          <w:ilvl w:val="0"/>
          <w:numId w:val="0"/>
        </w:numPr>
        <w:ind w:firstLine="560" w:firstLineChars="200"/>
      </w:pPr>
      <w:r>
        <w:t>2024年预算收支安排2548.67万元，较2023年预算减少351.24万元，其中：基本支出减少79.97万元，主要为2023年退休8人，在职死亡2人，2024年该10人的人员工资不在发放，所以基本支出减少。项目支出减少271.27万元，主要为省级专项资金减少</w:t>
      </w:r>
    </w:p>
    <w:p>
      <w:pPr>
        <w:spacing w:before="10" w:after="10"/>
        <w:ind w:firstLine="640"/>
        <w:outlineLvl w:val="5"/>
      </w:pPr>
      <w:r>
        <w:rPr>
          <w:rFonts w:ascii="黑体" w:hAnsi="黑体" w:eastAsia="黑体" w:cs="黑体"/>
          <w:color w:val="000000"/>
          <w:sz w:val="32"/>
        </w:rPr>
        <w:t>三、机关运行经费安排情况</w:t>
      </w:r>
    </w:p>
    <w:p>
      <w:pPr>
        <w:pStyle w:val="19"/>
      </w:pPr>
      <w:r>
        <w:t>2024年，我单位机关运行经费共计安排19.76万元，主要用于日常维修、办公用房水电费、办公用房取暖费、办公用房物业管理费等日常运行支出。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严格落实“三公”经费的政策要求，本着厉行节约的原则，合理安排各项预算收入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1、2023年中央财政林业草原改革发展资金（林业有害生物防治）绩效目标表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32"/>
        <w:gridCol w:w="181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13032223P00D028105356</w:t>
            </w:r>
          </w:p>
        </w:tc>
        <w:tc>
          <w:tcPr>
            <w:tcW w:w="2835" w:type="dxa"/>
            <w:vAlign w:val="center"/>
          </w:tcPr>
          <w:p>
            <w:pPr>
              <w:pStyle w:val="10"/>
            </w:pPr>
            <w:r>
              <w:t>项目名称</w:t>
            </w:r>
          </w:p>
        </w:tc>
        <w:tc>
          <w:tcPr>
            <w:tcW w:w="6095" w:type="dxa"/>
            <w:gridSpan w:val="3"/>
            <w:vAlign w:val="center"/>
          </w:tcPr>
          <w:p>
            <w:pPr>
              <w:pStyle w:val="12"/>
            </w:pPr>
            <w:r>
              <w:t>2023年中央财政林业草原改革发展资金（林业有害生物防治）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1732" w:type="dxa"/>
            <w:vAlign w:val="center"/>
          </w:tcPr>
          <w:p>
            <w:pPr>
              <w:pStyle w:val="10"/>
            </w:pPr>
            <w:r>
              <w:t>其他资金</w:t>
            </w:r>
          </w:p>
        </w:tc>
        <w:tc>
          <w:tcPr>
            <w:tcW w:w="1812"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主要用于病虫害防治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1.主要用于全县9.7万亩森林的病虫害防治的所用药品等物资的支出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4"/>
        <w:gridCol w:w="17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54" w:type="dxa"/>
            <w:vAlign w:val="center"/>
          </w:tcPr>
          <w:p>
            <w:pPr>
              <w:pStyle w:val="10"/>
            </w:pPr>
            <w:r>
              <w:t>指标值</w:t>
            </w:r>
          </w:p>
        </w:tc>
        <w:tc>
          <w:tcPr>
            <w:tcW w:w="1790"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美国白蛾等其他重大林业有害生物防治任务（万亩次）</w:t>
            </w:r>
          </w:p>
        </w:tc>
        <w:tc>
          <w:tcPr>
            <w:tcW w:w="5386" w:type="dxa"/>
            <w:vAlign w:val="center"/>
          </w:tcPr>
          <w:p>
            <w:pPr>
              <w:pStyle w:val="12"/>
            </w:pPr>
            <w:r>
              <w:t>森林病虫害防治面积</w:t>
            </w:r>
          </w:p>
        </w:tc>
        <w:tc>
          <w:tcPr>
            <w:tcW w:w="1754" w:type="dxa"/>
            <w:vAlign w:val="center"/>
          </w:tcPr>
          <w:p>
            <w:pPr>
              <w:pStyle w:val="12"/>
            </w:pPr>
            <w:r>
              <w:t>≥15万亩次</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林业有害生物防治率</w:t>
            </w:r>
          </w:p>
        </w:tc>
        <w:tc>
          <w:tcPr>
            <w:tcW w:w="5386" w:type="dxa"/>
            <w:vAlign w:val="center"/>
          </w:tcPr>
          <w:p>
            <w:pPr>
              <w:pStyle w:val="12"/>
            </w:pPr>
            <w:r>
              <w:t>各阶段完成防治任务数量占年计划任务数量的比例</w:t>
            </w:r>
          </w:p>
        </w:tc>
        <w:tc>
          <w:tcPr>
            <w:tcW w:w="1754" w:type="dxa"/>
            <w:vAlign w:val="center"/>
          </w:tcPr>
          <w:p>
            <w:pPr>
              <w:pStyle w:val="12"/>
            </w:pPr>
            <w:r>
              <w:t>≥90％</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时限要求内对主要林业有害生物进行防治面积占森林面积的比例</w:t>
            </w:r>
          </w:p>
        </w:tc>
        <w:tc>
          <w:tcPr>
            <w:tcW w:w="1754" w:type="dxa"/>
            <w:vAlign w:val="center"/>
          </w:tcPr>
          <w:p>
            <w:pPr>
              <w:pStyle w:val="12"/>
            </w:pPr>
            <w:r>
              <w:t>≥90％</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森林病虫害防治成本</w:t>
            </w:r>
          </w:p>
        </w:tc>
        <w:tc>
          <w:tcPr>
            <w:tcW w:w="5386" w:type="dxa"/>
            <w:vAlign w:val="center"/>
          </w:tcPr>
          <w:p>
            <w:pPr>
              <w:pStyle w:val="12"/>
            </w:pPr>
            <w:r>
              <w:t>森林病虫害防治项目的成本</w:t>
            </w:r>
          </w:p>
        </w:tc>
        <w:tc>
          <w:tcPr>
            <w:tcW w:w="1754" w:type="dxa"/>
            <w:vAlign w:val="center"/>
          </w:tcPr>
          <w:p>
            <w:pPr>
              <w:pStyle w:val="12"/>
            </w:pPr>
            <w:r>
              <w:t>≤10万元</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带动社会资金投资比</w:t>
            </w:r>
          </w:p>
        </w:tc>
        <w:tc>
          <w:tcPr>
            <w:tcW w:w="5386" w:type="dxa"/>
            <w:vAlign w:val="center"/>
          </w:tcPr>
          <w:p>
            <w:pPr>
              <w:pStyle w:val="12"/>
            </w:pPr>
            <w:r>
              <w:t>带动社会资金投入资金数与补贴资金数的比例</w:t>
            </w:r>
          </w:p>
        </w:tc>
        <w:tc>
          <w:tcPr>
            <w:tcW w:w="1754" w:type="dxa"/>
            <w:vAlign w:val="center"/>
          </w:tcPr>
          <w:p>
            <w:pPr>
              <w:pStyle w:val="12"/>
            </w:pPr>
            <w:r>
              <w:t>≥90％</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病虫害突发事件处置完成率</w:t>
            </w:r>
          </w:p>
        </w:tc>
        <w:tc>
          <w:tcPr>
            <w:tcW w:w="5386" w:type="dxa"/>
            <w:vAlign w:val="center"/>
          </w:tcPr>
          <w:p>
            <w:pPr>
              <w:pStyle w:val="12"/>
            </w:pPr>
            <w:r>
              <w:t>处置完成突发病虫害次数占突发事件次数的比例</w:t>
            </w:r>
          </w:p>
        </w:tc>
        <w:tc>
          <w:tcPr>
            <w:tcW w:w="1754" w:type="dxa"/>
            <w:vAlign w:val="center"/>
          </w:tcPr>
          <w:p>
            <w:pPr>
              <w:pStyle w:val="12"/>
            </w:pPr>
            <w:r>
              <w:t>≥90％</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有效防止森林病虫害发生，提高生态环境质量</w:t>
            </w:r>
          </w:p>
        </w:tc>
        <w:tc>
          <w:tcPr>
            <w:tcW w:w="1754" w:type="dxa"/>
            <w:vAlign w:val="center"/>
          </w:tcPr>
          <w:p>
            <w:pPr>
              <w:pStyle w:val="12"/>
            </w:pPr>
            <w:r>
              <w:t>较上年提高</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森林病虫害防治的可持续影响</w:t>
            </w:r>
          </w:p>
        </w:tc>
        <w:tc>
          <w:tcPr>
            <w:tcW w:w="5386" w:type="dxa"/>
            <w:vAlign w:val="center"/>
          </w:tcPr>
          <w:p>
            <w:pPr>
              <w:pStyle w:val="12"/>
            </w:pPr>
            <w:r>
              <w:t>森林病虫害防治可持续影响的时限</w:t>
            </w:r>
          </w:p>
        </w:tc>
        <w:tc>
          <w:tcPr>
            <w:tcW w:w="1754" w:type="dxa"/>
            <w:vAlign w:val="center"/>
          </w:tcPr>
          <w:p>
            <w:pPr>
              <w:pStyle w:val="12"/>
            </w:pPr>
            <w:r>
              <w:t>≥1年</w:t>
            </w:r>
          </w:p>
        </w:tc>
        <w:tc>
          <w:tcPr>
            <w:tcW w:w="1790" w:type="dxa"/>
            <w:vAlign w:val="center"/>
          </w:tcPr>
          <w:p>
            <w:pPr>
              <w:pStyle w:val="12"/>
            </w:pPr>
            <w:r>
              <w:t>冀财资环[2023]35号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通过问卷调查，满意和较满意的群众占全部调研对象的比例</w:t>
            </w:r>
          </w:p>
        </w:tc>
        <w:tc>
          <w:tcPr>
            <w:tcW w:w="1754" w:type="dxa"/>
            <w:vAlign w:val="center"/>
          </w:tcPr>
          <w:p>
            <w:pPr>
              <w:pStyle w:val="12"/>
            </w:pPr>
            <w:r>
              <w:t>≥90％</w:t>
            </w:r>
          </w:p>
        </w:tc>
        <w:tc>
          <w:tcPr>
            <w:tcW w:w="1790"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2、林草湿综合监测绩效目标表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30"/>
        <w:gridCol w:w="17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13032223P00D028104760</w:t>
            </w:r>
          </w:p>
        </w:tc>
        <w:tc>
          <w:tcPr>
            <w:tcW w:w="2835" w:type="dxa"/>
            <w:vAlign w:val="center"/>
          </w:tcPr>
          <w:p>
            <w:pPr>
              <w:pStyle w:val="10"/>
            </w:pPr>
            <w:r>
              <w:t>项目名称</w:t>
            </w:r>
          </w:p>
        </w:tc>
        <w:tc>
          <w:tcPr>
            <w:tcW w:w="6095" w:type="dxa"/>
            <w:gridSpan w:val="3"/>
            <w:vAlign w:val="center"/>
          </w:tcPr>
          <w:p>
            <w:pPr>
              <w:pStyle w:val="12"/>
            </w:pPr>
            <w:r>
              <w:t>林草湿综合监测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1.92</w:t>
            </w:r>
          </w:p>
        </w:tc>
        <w:tc>
          <w:tcPr>
            <w:tcW w:w="2835" w:type="dxa"/>
            <w:vAlign w:val="center"/>
          </w:tcPr>
          <w:p>
            <w:pPr>
              <w:pStyle w:val="10"/>
            </w:pPr>
            <w:r>
              <w:t>其中：财政    资金</w:t>
            </w:r>
          </w:p>
        </w:tc>
        <w:tc>
          <w:tcPr>
            <w:tcW w:w="2551" w:type="dxa"/>
            <w:vAlign w:val="center"/>
          </w:tcPr>
          <w:p>
            <w:pPr>
              <w:pStyle w:val="12"/>
            </w:pPr>
            <w:r>
              <w:t>1.92</w:t>
            </w:r>
          </w:p>
        </w:tc>
        <w:tc>
          <w:tcPr>
            <w:tcW w:w="1830" w:type="dxa"/>
            <w:vAlign w:val="center"/>
          </w:tcPr>
          <w:p>
            <w:pPr>
              <w:pStyle w:val="10"/>
            </w:pPr>
            <w:r>
              <w:t>其他资金</w:t>
            </w:r>
          </w:p>
        </w:tc>
        <w:tc>
          <w:tcPr>
            <w:tcW w:w="17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主要用于林、草、湿生态综合监测、图斑外业调查与内业整理及系统平台上传数据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1.林、草、湿生态综合监测、图斑外业调查与内业整理及系统平台数据上传，提高林草湿资源的保存率，有效保护我县林草湿资源提高生态环境质量。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7"/>
        <w:gridCol w:w="17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97" w:type="dxa"/>
            <w:vAlign w:val="center"/>
          </w:tcPr>
          <w:p>
            <w:pPr>
              <w:pStyle w:val="10"/>
            </w:pPr>
            <w:r>
              <w:t>指标值</w:t>
            </w:r>
          </w:p>
        </w:tc>
        <w:tc>
          <w:tcPr>
            <w:tcW w:w="1747"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系统平台上传数据的数量</w:t>
            </w:r>
          </w:p>
        </w:tc>
        <w:tc>
          <w:tcPr>
            <w:tcW w:w="5386" w:type="dxa"/>
            <w:vAlign w:val="center"/>
          </w:tcPr>
          <w:p>
            <w:pPr>
              <w:pStyle w:val="12"/>
            </w:pPr>
            <w:r>
              <w:t>林、草、湿生态综合监测、图斑外业调查与内业整理及系统平台上传数据</w:t>
            </w:r>
          </w:p>
        </w:tc>
        <w:tc>
          <w:tcPr>
            <w:tcW w:w="1797" w:type="dxa"/>
            <w:vAlign w:val="center"/>
          </w:tcPr>
          <w:p>
            <w:pPr>
              <w:pStyle w:val="12"/>
            </w:pPr>
            <w:r>
              <w:t>≥1000个</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图斑完成率</w:t>
            </w:r>
          </w:p>
        </w:tc>
        <w:tc>
          <w:tcPr>
            <w:tcW w:w="5386" w:type="dxa"/>
            <w:vAlign w:val="center"/>
          </w:tcPr>
          <w:p>
            <w:pPr>
              <w:pStyle w:val="12"/>
            </w:pPr>
            <w:r>
              <w:t>林草湿图斑调查、上传佐证材料的图斑占总图斑的比例</w:t>
            </w:r>
          </w:p>
        </w:tc>
        <w:tc>
          <w:tcPr>
            <w:tcW w:w="1797" w:type="dxa"/>
            <w:vAlign w:val="center"/>
          </w:tcPr>
          <w:p>
            <w:pPr>
              <w:pStyle w:val="12"/>
            </w:pPr>
            <w:r>
              <w:t>≥99%</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林、草、湿生态综合监测工作完成及时率</w:t>
            </w:r>
          </w:p>
        </w:tc>
        <w:tc>
          <w:tcPr>
            <w:tcW w:w="5386" w:type="dxa"/>
            <w:vAlign w:val="center"/>
          </w:tcPr>
          <w:p>
            <w:pPr>
              <w:pStyle w:val="12"/>
            </w:pPr>
            <w:r>
              <w:t>按时限要求时间内完成当年林草湿监测图斑数量占总数量的比例.</w:t>
            </w:r>
          </w:p>
        </w:tc>
        <w:tc>
          <w:tcPr>
            <w:tcW w:w="1797" w:type="dxa"/>
            <w:vAlign w:val="center"/>
          </w:tcPr>
          <w:p>
            <w:pPr>
              <w:pStyle w:val="12"/>
            </w:pPr>
            <w:r>
              <w:t>≥99%</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林、草、湿生态综合监测与管理成本</w:t>
            </w:r>
          </w:p>
        </w:tc>
        <w:tc>
          <w:tcPr>
            <w:tcW w:w="5386" w:type="dxa"/>
            <w:vAlign w:val="center"/>
          </w:tcPr>
          <w:p>
            <w:pPr>
              <w:pStyle w:val="12"/>
            </w:pPr>
            <w:r>
              <w:t>林、草、湿生态综合监测图斑完成成本</w:t>
            </w:r>
          </w:p>
        </w:tc>
        <w:tc>
          <w:tcPr>
            <w:tcW w:w="1797" w:type="dxa"/>
            <w:vAlign w:val="center"/>
          </w:tcPr>
          <w:p>
            <w:pPr>
              <w:pStyle w:val="12"/>
            </w:pPr>
            <w:r>
              <w:t>≤1.92万元</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带动社会资金投资比</w:t>
            </w:r>
          </w:p>
        </w:tc>
        <w:tc>
          <w:tcPr>
            <w:tcW w:w="5386" w:type="dxa"/>
            <w:vAlign w:val="center"/>
          </w:tcPr>
          <w:p>
            <w:pPr>
              <w:pStyle w:val="12"/>
            </w:pPr>
            <w:r>
              <w:t>带动社会资金投入资金数与补贴资金数的比例</w:t>
            </w:r>
          </w:p>
        </w:tc>
        <w:tc>
          <w:tcPr>
            <w:tcW w:w="1797" w:type="dxa"/>
            <w:vAlign w:val="center"/>
          </w:tcPr>
          <w:p>
            <w:pPr>
              <w:pStyle w:val="12"/>
            </w:pPr>
            <w:r>
              <w:t>≥95%</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提升人居环境质量</w:t>
            </w:r>
          </w:p>
        </w:tc>
        <w:tc>
          <w:tcPr>
            <w:tcW w:w="5386" w:type="dxa"/>
            <w:vAlign w:val="center"/>
          </w:tcPr>
          <w:p>
            <w:pPr>
              <w:pStyle w:val="12"/>
            </w:pPr>
            <w:r>
              <w:t>提高林草湿资源的保存率，提升人居环境质量</w:t>
            </w:r>
          </w:p>
        </w:tc>
        <w:tc>
          <w:tcPr>
            <w:tcW w:w="1797" w:type="dxa"/>
            <w:vAlign w:val="center"/>
          </w:tcPr>
          <w:p>
            <w:pPr>
              <w:pStyle w:val="12"/>
            </w:pPr>
            <w:r>
              <w:t>进一步提升</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通过图斑查处有效保护我县林草湿资源提高生态环境质量</w:t>
            </w:r>
          </w:p>
        </w:tc>
        <w:tc>
          <w:tcPr>
            <w:tcW w:w="1797" w:type="dxa"/>
            <w:vAlign w:val="center"/>
          </w:tcPr>
          <w:p>
            <w:pPr>
              <w:pStyle w:val="12"/>
            </w:pPr>
            <w:r>
              <w:t>进一步提高</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林草湿生态综合监测可持续影响</w:t>
            </w:r>
          </w:p>
        </w:tc>
        <w:tc>
          <w:tcPr>
            <w:tcW w:w="5386" w:type="dxa"/>
            <w:vAlign w:val="center"/>
          </w:tcPr>
          <w:p>
            <w:pPr>
              <w:pStyle w:val="12"/>
            </w:pPr>
            <w:r>
              <w:t>林草湿生态综合监测可持续影响的时限</w:t>
            </w:r>
          </w:p>
        </w:tc>
        <w:tc>
          <w:tcPr>
            <w:tcW w:w="1797" w:type="dxa"/>
            <w:vAlign w:val="center"/>
          </w:tcPr>
          <w:p>
            <w:pPr>
              <w:pStyle w:val="12"/>
            </w:pPr>
            <w:r>
              <w:t>＝1年</w:t>
            </w:r>
          </w:p>
        </w:tc>
        <w:tc>
          <w:tcPr>
            <w:tcW w:w="1747"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通过问卷调查，满意和较满意的群众占全部调研对象的比例</w:t>
            </w:r>
          </w:p>
        </w:tc>
        <w:tc>
          <w:tcPr>
            <w:tcW w:w="1797" w:type="dxa"/>
            <w:vAlign w:val="center"/>
          </w:tcPr>
          <w:p>
            <w:pPr>
              <w:pStyle w:val="12"/>
            </w:pPr>
            <w:r>
              <w:t>≥95%</w:t>
            </w:r>
          </w:p>
        </w:tc>
        <w:tc>
          <w:tcPr>
            <w:tcW w:w="1747"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3、林业发展改革资金（护林员工资）绩效目标表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21"/>
        <w:gridCol w:w="182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13032224P00H8P810061B</w:t>
            </w:r>
          </w:p>
        </w:tc>
        <w:tc>
          <w:tcPr>
            <w:tcW w:w="2835" w:type="dxa"/>
            <w:vAlign w:val="center"/>
          </w:tcPr>
          <w:p>
            <w:pPr>
              <w:pStyle w:val="10"/>
            </w:pPr>
            <w:r>
              <w:t>项目名称</w:t>
            </w:r>
          </w:p>
        </w:tc>
        <w:tc>
          <w:tcPr>
            <w:tcW w:w="6095" w:type="dxa"/>
            <w:gridSpan w:val="3"/>
            <w:vAlign w:val="center"/>
          </w:tcPr>
          <w:p>
            <w:pPr>
              <w:pStyle w:val="12"/>
            </w:pPr>
            <w:r>
              <w:t>林业发展改革资金（护林员工资）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166.80</w:t>
            </w:r>
          </w:p>
        </w:tc>
        <w:tc>
          <w:tcPr>
            <w:tcW w:w="2835" w:type="dxa"/>
            <w:vAlign w:val="center"/>
          </w:tcPr>
          <w:p>
            <w:pPr>
              <w:pStyle w:val="10"/>
            </w:pPr>
            <w:r>
              <w:t>其中：财政    资金</w:t>
            </w:r>
          </w:p>
        </w:tc>
        <w:tc>
          <w:tcPr>
            <w:tcW w:w="2551" w:type="dxa"/>
            <w:vAlign w:val="center"/>
          </w:tcPr>
          <w:p>
            <w:pPr>
              <w:pStyle w:val="12"/>
            </w:pPr>
            <w:r>
              <w:t>166.80</w:t>
            </w:r>
          </w:p>
        </w:tc>
        <w:tc>
          <w:tcPr>
            <w:tcW w:w="1721" w:type="dxa"/>
            <w:vAlign w:val="center"/>
          </w:tcPr>
          <w:p>
            <w:pPr>
              <w:pStyle w:val="10"/>
            </w:pPr>
            <w:r>
              <w:t>其他资金</w:t>
            </w:r>
          </w:p>
        </w:tc>
        <w:tc>
          <w:tcPr>
            <w:tcW w:w="182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主要用于护林员工资的支出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88"/>
        <w:gridCol w:w="1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88" w:type="dxa"/>
            <w:vAlign w:val="center"/>
          </w:tcPr>
          <w:p>
            <w:pPr>
              <w:pStyle w:val="10"/>
            </w:pPr>
            <w:r>
              <w:t>指标值</w:t>
            </w:r>
          </w:p>
        </w:tc>
        <w:tc>
          <w:tcPr>
            <w:tcW w:w="185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发放护林员工资的人数</w:t>
            </w:r>
          </w:p>
        </w:tc>
        <w:tc>
          <w:tcPr>
            <w:tcW w:w="5386" w:type="dxa"/>
            <w:vAlign w:val="center"/>
          </w:tcPr>
          <w:p>
            <w:pPr>
              <w:pStyle w:val="12"/>
            </w:pPr>
            <w:r>
              <w:t>发工资的护林员人数</w:t>
            </w:r>
          </w:p>
        </w:tc>
        <w:tc>
          <w:tcPr>
            <w:tcW w:w="1688" w:type="dxa"/>
            <w:vAlign w:val="center"/>
          </w:tcPr>
          <w:p>
            <w:pPr>
              <w:pStyle w:val="12"/>
            </w:pPr>
            <w:r>
              <w:t>188人</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人员工资到位率</w:t>
            </w:r>
          </w:p>
        </w:tc>
        <w:tc>
          <w:tcPr>
            <w:tcW w:w="5386" w:type="dxa"/>
            <w:vAlign w:val="center"/>
          </w:tcPr>
          <w:p>
            <w:pPr>
              <w:pStyle w:val="12"/>
            </w:pPr>
            <w:r>
              <w:t>发放工资护林员人数占护林员总人数的比例</w:t>
            </w:r>
          </w:p>
        </w:tc>
        <w:tc>
          <w:tcPr>
            <w:tcW w:w="1688" w:type="dxa"/>
            <w:vAlign w:val="center"/>
          </w:tcPr>
          <w:p>
            <w:pPr>
              <w:pStyle w:val="12"/>
            </w:pPr>
            <w:r>
              <w:t>≥99%</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按照时间节点发放工资占预计时间的比例</w:t>
            </w:r>
          </w:p>
        </w:tc>
        <w:tc>
          <w:tcPr>
            <w:tcW w:w="1688" w:type="dxa"/>
            <w:vAlign w:val="center"/>
          </w:tcPr>
          <w:p>
            <w:pPr>
              <w:pStyle w:val="12"/>
            </w:pPr>
            <w:r>
              <w:t>≥99%</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护林员人均工资成本</w:t>
            </w:r>
          </w:p>
        </w:tc>
        <w:tc>
          <w:tcPr>
            <w:tcW w:w="5386" w:type="dxa"/>
            <w:vAlign w:val="center"/>
          </w:tcPr>
          <w:p>
            <w:pPr>
              <w:pStyle w:val="12"/>
            </w:pPr>
            <w:r>
              <w:t>护林员人均工资成本</w:t>
            </w:r>
          </w:p>
        </w:tc>
        <w:tc>
          <w:tcPr>
            <w:tcW w:w="1688" w:type="dxa"/>
            <w:vAlign w:val="center"/>
          </w:tcPr>
          <w:p>
            <w:pPr>
              <w:pStyle w:val="12"/>
            </w:pPr>
            <w:r>
              <w:t>≤666.67元/人/月</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增加护林员的收入</w:t>
            </w:r>
          </w:p>
        </w:tc>
        <w:tc>
          <w:tcPr>
            <w:tcW w:w="5386" w:type="dxa"/>
            <w:vAlign w:val="center"/>
          </w:tcPr>
          <w:p>
            <w:pPr>
              <w:pStyle w:val="12"/>
            </w:pPr>
            <w:r>
              <w:t>发放工资，增加护林员的收入保障生活</w:t>
            </w:r>
          </w:p>
        </w:tc>
        <w:tc>
          <w:tcPr>
            <w:tcW w:w="1688" w:type="dxa"/>
            <w:vAlign w:val="center"/>
          </w:tcPr>
          <w:p>
            <w:pPr>
              <w:pStyle w:val="12"/>
            </w:pPr>
            <w:r>
              <w:t>≥0.8万元/人</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提供护林员就业的岗位数</w:t>
            </w:r>
          </w:p>
        </w:tc>
        <w:tc>
          <w:tcPr>
            <w:tcW w:w="5386" w:type="dxa"/>
            <w:vAlign w:val="center"/>
          </w:tcPr>
          <w:p>
            <w:pPr>
              <w:pStyle w:val="12"/>
            </w:pPr>
            <w:r>
              <w:t>2023年护林员人均工资提供可就业护林员岗位数</w:t>
            </w:r>
          </w:p>
        </w:tc>
        <w:tc>
          <w:tcPr>
            <w:tcW w:w="1688" w:type="dxa"/>
            <w:vAlign w:val="center"/>
          </w:tcPr>
          <w:p>
            <w:pPr>
              <w:pStyle w:val="12"/>
            </w:pPr>
            <w:r>
              <w:t>188个</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保护绿化林木面积</w:t>
            </w:r>
          </w:p>
        </w:tc>
        <w:tc>
          <w:tcPr>
            <w:tcW w:w="5386" w:type="dxa"/>
            <w:vAlign w:val="center"/>
          </w:tcPr>
          <w:p>
            <w:pPr>
              <w:pStyle w:val="12"/>
            </w:pPr>
            <w:r>
              <w:t>护林员的护林面积</w:t>
            </w:r>
          </w:p>
        </w:tc>
        <w:tc>
          <w:tcPr>
            <w:tcW w:w="1688" w:type="dxa"/>
            <w:vAlign w:val="center"/>
          </w:tcPr>
          <w:p>
            <w:pPr>
              <w:pStyle w:val="12"/>
            </w:pPr>
            <w:r>
              <w:t>≥13万亩</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2023年护林员工资的可持续影响</w:t>
            </w:r>
          </w:p>
        </w:tc>
        <w:tc>
          <w:tcPr>
            <w:tcW w:w="5386" w:type="dxa"/>
            <w:vAlign w:val="center"/>
          </w:tcPr>
          <w:p>
            <w:pPr>
              <w:pStyle w:val="12"/>
            </w:pPr>
            <w:r>
              <w:t>项目发挥效用的持续时间</w:t>
            </w:r>
          </w:p>
        </w:tc>
        <w:tc>
          <w:tcPr>
            <w:tcW w:w="1688" w:type="dxa"/>
            <w:vAlign w:val="center"/>
          </w:tcPr>
          <w:p>
            <w:pPr>
              <w:pStyle w:val="12"/>
            </w:pPr>
            <w:r>
              <w:t>≥1年</w:t>
            </w:r>
          </w:p>
        </w:tc>
        <w:tc>
          <w:tcPr>
            <w:tcW w:w="1856" w:type="dxa"/>
            <w:vAlign w:val="center"/>
          </w:tcPr>
          <w:p>
            <w:pPr>
              <w:pStyle w:val="12"/>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通过问卷调查，满意和较满意的收益对象占全部调研对象的比例</w:t>
            </w:r>
          </w:p>
        </w:tc>
        <w:tc>
          <w:tcPr>
            <w:tcW w:w="1688" w:type="dxa"/>
            <w:vAlign w:val="center"/>
          </w:tcPr>
          <w:p>
            <w:pPr>
              <w:pStyle w:val="12"/>
            </w:pPr>
            <w:r>
              <w:t>≥95%</w:t>
            </w:r>
          </w:p>
        </w:tc>
        <w:tc>
          <w:tcPr>
            <w:tcW w:w="185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4、林业发展改革资金（森林防火）绩效目标表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41"/>
        <w:gridCol w:w="170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13032224P00H8P810060P</w:t>
            </w:r>
          </w:p>
        </w:tc>
        <w:tc>
          <w:tcPr>
            <w:tcW w:w="2835" w:type="dxa"/>
            <w:vAlign w:val="center"/>
          </w:tcPr>
          <w:p>
            <w:pPr>
              <w:pStyle w:val="10"/>
            </w:pPr>
            <w:r>
              <w:t>项目名称</w:t>
            </w:r>
          </w:p>
        </w:tc>
        <w:tc>
          <w:tcPr>
            <w:tcW w:w="6095" w:type="dxa"/>
            <w:gridSpan w:val="3"/>
            <w:vAlign w:val="center"/>
          </w:tcPr>
          <w:p>
            <w:pPr>
              <w:pStyle w:val="12"/>
            </w:pPr>
            <w:r>
              <w:t>林业发展改革资金（森林防火）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1841" w:type="dxa"/>
            <w:vAlign w:val="center"/>
          </w:tcPr>
          <w:p>
            <w:pPr>
              <w:pStyle w:val="10"/>
            </w:pPr>
            <w:r>
              <w:t>其他资金</w:t>
            </w:r>
          </w:p>
        </w:tc>
        <w:tc>
          <w:tcPr>
            <w:tcW w:w="170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主要用于森林防火支出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3"/>
        <w:gridCol w:w="18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743" w:type="dxa"/>
            <w:vAlign w:val="center"/>
          </w:tcPr>
          <w:p>
            <w:pPr>
              <w:pStyle w:val="10"/>
            </w:pPr>
            <w:r>
              <w:t>指标值</w:t>
            </w:r>
          </w:p>
        </w:tc>
        <w:tc>
          <w:tcPr>
            <w:tcW w:w="1801"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受害面积</w:t>
            </w:r>
          </w:p>
        </w:tc>
        <w:tc>
          <w:tcPr>
            <w:tcW w:w="5386" w:type="dxa"/>
            <w:vAlign w:val="center"/>
          </w:tcPr>
          <w:p>
            <w:pPr>
              <w:pStyle w:val="12"/>
            </w:pPr>
            <w:r>
              <w:t>受害森林面积控制在10公顷以下</w:t>
            </w:r>
          </w:p>
        </w:tc>
        <w:tc>
          <w:tcPr>
            <w:tcW w:w="1743" w:type="dxa"/>
            <w:vAlign w:val="center"/>
          </w:tcPr>
          <w:p>
            <w:pPr>
              <w:pStyle w:val="12"/>
            </w:pPr>
            <w:r>
              <w:t>≤10公顷</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年森林受害率</w:t>
            </w:r>
          </w:p>
        </w:tc>
        <w:tc>
          <w:tcPr>
            <w:tcW w:w="5386" w:type="dxa"/>
            <w:vAlign w:val="center"/>
          </w:tcPr>
          <w:p>
            <w:pPr>
              <w:pStyle w:val="12"/>
            </w:pPr>
            <w:r>
              <w:t>保护区每年的森林火灾面积与总体林地面积的比例</w:t>
            </w:r>
          </w:p>
        </w:tc>
        <w:tc>
          <w:tcPr>
            <w:tcW w:w="1743" w:type="dxa"/>
            <w:vAlign w:val="center"/>
          </w:tcPr>
          <w:p>
            <w:pPr>
              <w:pStyle w:val="12"/>
            </w:pPr>
            <w:r>
              <w:t>&lt;3‰</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春季防火及时率</w:t>
            </w:r>
          </w:p>
        </w:tc>
        <w:tc>
          <w:tcPr>
            <w:tcW w:w="5386" w:type="dxa"/>
            <w:vAlign w:val="center"/>
          </w:tcPr>
          <w:p>
            <w:pPr>
              <w:pStyle w:val="12"/>
            </w:pPr>
            <w:r>
              <w:t>5月底之前完成春季防火任务公顷数占森林总面积的比例</w:t>
            </w:r>
          </w:p>
        </w:tc>
        <w:tc>
          <w:tcPr>
            <w:tcW w:w="1743" w:type="dxa"/>
            <w:vAlign w:val="center"/>
          </w:tcPr>
          <w:p>
            <w:pPr>
              <w:pStyle w:val="12"/>
            </w:pPr>
            <w:r>
              <w:t>≥95％</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森林防火成本</w:t>
            </w:r>
          </w:p>
        </w:tc>
        <w:tc>
          <w:tcPr>
            <w:tcW w:w="5386" w:type="dxa"/>
            <w:vAlign w:val="center"/>
          </w:tcPr>
          <w:p>
            <w:pPr>
              <w:pStyle w:val="12"/>
            </w:pPr>
            <w:r>
              <w:t>森林防火投入成本</w:t>
            </w:r>
          </w:p>
        </w:tc>
        <w:tc>
          <w:tcPr>
            <w:tcW w:w="1743" w:type="dxa"/>
            <w:vAlign w:val="center"/>
          </w:tcPr>
          <w:p>
            <w:pPr>
              <w:pStyle w:val="12"/>
            </w:pPr>
            <w:r>
              <w:t>20万元</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减少森林受害经济损失</w:t>
            </w:r>
          </w:p>
        </w:tc>
        <w:tc>
          <w:tcPr>
            <w:tcW w:w="5386" w:type="dxa"/>
            <w:vAlign w:val="center"/>
          </w:tcPr>
          <w:p>
            <w:pPr>
              <w:pStyle w:val="12"/>
            </w:pPr>
            <w:r>
              <w:t>减少森林火灾遭受的损失</w:t>
            </w:r>
          </w:p>
        </w:tc>
        <w:tc>
          <w:tcPr>
            <w:tcW w:w="1743" w:type="dxa"/>
            <w:vAlign w:val="center"/>
          </w:tcPr>
          <w:p>
            <w:pPr>
              <w:pStyle w:val="12"/>
            </w:pPr>
            <w:r>
              <w:t>进一步减少</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2023年森林防火可就业护林员岗位数</w:t>
            </w:r>
          </w:p>
        </w:tc>
        <w:tc>
          <w:tcPr>
            <w:tcW w:w="1743" w:type="dxa"/>
            <w:vAlign w:val="center"/>
          </w:tcPr>
          <w:p>
            <w:pPr>
              <w:pStyle w:val="12"/>
            </w:pPr>
            <w:r>
              <w:t>128个</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减少森林火灾受害</w:t>
            </w:r>
          </w:p>
        </w:tc>
        <w:tc>
          <w:tcPr>
            <w:tcW w:w="5386" w:type="dxa"/>
            <w:vAlign w:val="center"/>
          </w:tcPr>
          <w:p>
            <w:pPr>
              <w:pStyle w:val="12"/>
            </w:pPr>
            <w:r>
              <w:t>减少森林火灾受害</w:t>
            </w:r>
          </w:p>
        </w:tc>
        <w:tc>
          <w:tcPr>
            <w:tcW w:w="1743" w:type="dxa"/>
            <w:vAlign w:val="center"/>
          </w:tcPr>
          <w:p>
            <w:pPr>
              <w:pStyle w:val="12"/>
            </w:pPr>
            <w:r>
              <w:t>进一步减少</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2023年森林防火的可持续影响</w:t>
            </w:r>
          </w:p>
        </w:tc>
        <w:tc>
          <w:tcPr>
            <w:tcW w:w="5386" w:type="dxa"/>
            <w:vAlign w:val="center"/>
          </w:tcPr>
          <w:p>
            <w:pPr>
              <w:pStyle w:val="12"/>
            </w:pPr>
            <w:r>
              <w:t>2023年森林防火的可持续影响时限</w:t>
            </w:r>
          </w:p>
        </w:tc>
        <w:tc>
          <w:tcPr>
            <w:tcW w:w="1743" w:type="dxa"/>
            <w:vAlign w:val="center"/>
          </w:tcPr>
          <w:p>
            <w:pPr>
              <w:pStyle w:val="12"/>
            </w:pPr>
            <w:r>
              <w:t>≥1年</w:t>
            </w:r>
          </w:p>
        </w:tc>
        <w:tc>
          <w:tcPr>
            <w:tcW w:w="1801" w:type="dxa"/>
            <w:vAlign w:val="center"/>
          </w:tcPr>
          <w:p>
            <w:pPr>
              <w:pStyle w:val="12"/>
            </w:pPr>
            <w:r>
              <w:t>昌编[2021]9号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743" w:type="dxa"/>
            <w:vAlign w:val="center"/>
          </w:tcPr>
          <w:p>
            <w:pPr>
              <w:pStyle w:val="12"/>
            </w:pPr>
            <w:r>
              <w:t>≥95%</w:t>
            </w:r>
          </w:p>
        </w:tc>
        <w:tc>
          <w:tcPr>
            <w:tcW w:w="1801"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5、林业发展改革资金（造林绿化）绩效目标表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32"/>
        <w:gridCol w:w="181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13032224P00H8P810059C</w:t>
            </w:r>
          </w:p>
        </w:tc>
        <w:tc>
          <w:tcPr>
            <w:tcW w:w="2835" w:type="dxa"/>
            <w:vAlign w:val="center"/>
          </w:tcPr>
          <w:p>
            <w:pPr>
              <w:pStyle w:val="10"/>
            </w:pPr>
            <w:r>
              <w:t>项目名称</w:t>
            </w:r>
          </w:p>
        </w:tc>
        <w:tc>
          <w:tcPr>
            <w:tcW w:w="6095" w:type="dxa"/>
            <w:gridSpan w:val="3"/>
            <w:vAlign w:val="center"/>
          </w:tcPr>
          <w:p>
            <w:pPr>
              <w:pStyle w:val="12"/>
            </w:pPr>
            <w:r>
              <w:t>林业发展改革资金（造林绿化）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1732" w:type="dxa"/>
            <w:vAlign w:val="center"/>
          </w:tcPr>
          <w:p>
            <w:pPr>
              <w:pStyle w:val="10"/>
            </w:pPr>
            <w:r>
              <w:t>其他资金</w:t>
            </w:r>
          </w:p>
        </w:tc>
        <w:tc>
          <w:tcPr>
            <w:tcW w:w="1812"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主要用于造林绿化资金的支出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rPr>
                <w:rFonts w:hint="eastAsia"/>
                <w:lang w:val="en-US" w:eastAsia="zh-CN"/>
              </w:rPr>
              <w:t>75</w:t>
            </w:r>
            <w:r>
              <w:t>%</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1.通过保障造林绿化资金的支出，达到提高全县造林绿化水平和森林覆盖率，改善生态环境的效果</w:t>
            </w:r>
          </w:p>
          <w:p>
            <w:pPr>
              <w:pStyle w:val="12"/>
            </w:pPr>
            <w:r>
              <w:t>2.加强林业有害生物防治，确保森林资源安全</w:t>
            </w:r>
          </w:p>
          <w:p>
            <w:pPr>
              <w:pStyle w:val="12"/>
            </w:pPr>
            <w:r>
              <w:t>3.确保我县公益林、天保林的保有量达到100%。</w:t>
            </w:r>
          </w:p>
          <w:p>
            <w:pPr>
              <w:pStyle w:val="12"/>
            </w:pPr>
            <w:r>
              <w:t>4.通过多种宣传手段不计法律知识、对县区内的野生动物已发加强保护，达到预期效果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9"/>
        <w:gridCol w:w="1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19" w:type="dxa"/>
            <w:vAlign w:val="center"/>
          </w:tcPr>
          <w:p>
            <w:pPr>
              <w:pStyle w:val="10"/>
            </w:pPr>
            <w:r>
              <w:t>指标值</w:t>
            </w:r>
          </w:p>
        </w:tc>
        <w:tc>
          <w:tcPr>
            <w:tcW w:w="172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造林绿化资金支出完成补贴的面积</w:t>
            </w:r>
          </w:p>
        </w:tc>
        <w:tc>
          <w:tcPr>
            <w:tcW w:w="1819" w:type="dxa"/>
            <w:vAlign w:val="center"/>
          </w:tcPr>
          <w:p>
            <w:pPr>
              <w:pStyle w:val="12"/>
            </w:pPr>
            <w:r>
              <w:t>1.05万亩</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病虫害防治面积</w:t>
            </w:r>
          </w:p>
        </w:tc>
        <w:tc>
          <w:tcPr>
            <w:tcW w:w="5386" w:type="dxa"/>
            <w:vAlign w:val="center"/>
          </w:tcPr>
          <w:p>
            <w:pPr>
              <w:pStyle w:val="12"/>
            </w:pPr>
            <w:r>
              <w:t>林业有害生物防治面积</w:t>
            </w:r>
          </w:p>
        </w:tc>
        <w:tc>
          <w:tcPr>
            <w:tcW w:w="1819" w:type="dxa"/>
            <w:vAlign w:val="center"/>
          </w:tcPr>
          <w:p>
            <w:pPr>
              <w:pStyle w:val="12"/>
            </w:pPr>
            <w:r>
              <w:t>≥11万亩</w:t>
            </w:r>
          </w:p>
        </w:tc>
        <w:tc>
          <w:tcPr>
            <w:tcW w:w="1725"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国家公益林保有量</w:t>
            </w:r>
          </w:p>
        </w:tc>
        <w:tc>
          <w:tcPr>
            <w:tcW w:w="5386" w:type="dxa"/>
            <w:vAlign w:val="center"/>
          </w:tcPr>
          <w:p>
            <w:pPr>
              <w:pStyle w:val="12"/>
            </w:pPr>
            <w:r>
              <w:t>国家公益林保有量</w:t>
            </w:r>
          </w:p>
        </w:tc>
        <w:tc>
          <w:tcPr>
            <w:tcW w:w="1819" w:type="dxa"/>
            <w:vAlign w:val="center"/>
          </w:tcPr>
          <w:p>
            <w:pPr>
              <w:pStyle w:val="12"/>
            </w:pPr>
            <w:r>
              <w:t>1.92万亩</w:t>
            </w:r>
          </w:p>
        </w:tc>
        <w:tc>
          <w:tcPr>
            <w:tcW w:w="1725"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野生动物宣传普及人次</w:t>
            </w:r>
          </w:p>
        </w:tc>
        <w:tc>
          <w:tcPr>
            <w:tcW w:w="5386" w:type="dxa"/>
            <w:vAlign w:val="center"/>
          </w:tcPr>
          <w:p>
            <w:pPr>
              <w:pStyle w:val="12"/>
            </w:pPr>
            <w:r>
              <w:t>野生动物年内宣传普及人次</w:t>
            </w:r>
          </w:p>
        </w:tc>
        <w:tc>
          <w:tcPr>
            <w:tcW w:w="1819" w:type="dxa"/>
            <w:vAlign w:val="center"/>
          </w:tcPr>
          <w:p>
            <w:pPr>
              <w:pStyle w:val="12"/>
            </w:pPr>
            <w:r>
              <w:t>≥500人次</w:t>
            </w:r>
          </w:p>
        </w:tc>
        <w:tc>
          <w:tcPr>
            <w:tcW w:w="1725"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819" w:type="dxa"/>
            <w:vAlign w:val="center"/>
          </w:tcPr>
          <w:p>
            <w:pPr>
              <w:pStyle w:val="12"/>
            </w:pPr>
            <w:r>
              <w:t>≥85％</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林业有害生物防治率</w:t>
            </w:r>
          </w:p>
        </w:tc>
        <w:tc>
          <w:tcPr>
            <w:tcW w:w="5386" w:type="dxa"/>
            <w:vAlign w:val="center"/>
          </w:tcPr>
          <w:p>
            <w:pPr>
              <w:pStyle w:val="12"/>
            </w:pPr>
            <w:r>
              <w:t>各阶段完成防治任务数量占年计划任务数量的比例</w:t>
            </w:r>
          </w:p>
        </w:tc>
        <w:tc>
          <w:tcPr>
            <w:tcW w:w="1819" w:type="dxa"/>
            <w:vAlign w:val="center"/>
          </w:tcPr>
          <w:p>
            <w:pPr>
              <w:pStyle w:val="12"/>
            </w:pPr>
            <w:r>
              <w:t>≥95％</w:t>
            </w:r>
          </w:p>
        </w:tc>
        <w:tc>
          <w:tcPr>
            <w:tcW w:w="1725"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国家公益林、天保林保有量</w:t>
            </w:r>
          </w:p>
        </w:tc>
        <w:tc>
          <w:tcPr>
            <w:tcW w:w="5386" w:type="dxa"/>
            <w:vAlign w:val="center"/>
          </w:tcPr>
          <w:p>
            <w:pPr>
              <w:pStyle w:val="12"/>
            </w:pPr>
            <w:r>
              <w:t>国家公益林、天保林合格年级占总面积的比例</w:t>
            </w:r>
          </w:p>
        </w:tc>
        <w:tc>
          <w:tcPr>
            <w:tcW w:w="1819" w:type="dxa"/>
            <w:vAlign w:val="center"/>
          </w:tcPr>
          <w:p>
            <w:pPr>
              <w:pStyle w:val="12"/>
            </w:pPr>
            <w:r>
              <w:t>≥99％</w:t>
            </w:r>
          </w:p>
        </w:tc>
        <w:tc>
          <w:tcPr>
            <w:tcW w:w="1725"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野生动物存活率</w:t>
            </w:r>
          </w:p>
        </w:tc>
        <w:tc>
          <w:tcPr>
            <w:tcW w:w="5386" w:type="dxa"/>
            <w:vAlign w:val="center"/>
          </w:tcPr>
          <w:p>
            <w:pPr>
              <w:pStyle w:val="12"/>
            </w:pPr>
            <w:r>
              <w:t>野生动物存货数量占野生动物保护数量的比例</w:t>
            </w:r>
          </w:p>
        </w:tc>
        <w:tc>
          <w:tcPr>
            <w:tcW w:w="1819" w:type="dxa"/>
            <w:vAlign w:val="center"/>
          </w:tcPr>
          <w:p>
            <w:pPr>
              <w:pStyle w:val="12"/>
            </w:pPr>
            <w:r>
              <w:t>≥95％</w:t>
            </w:r>
          </w:p>
        </w:tc>
        <w:tc>
          <w:tcPr>
            <w:tcW w:w="1725"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819" w:type="dxa"/>
            <w:vAlign w:val="center"/>
          </w:tcPr>
          <w:p>
            <w:pPr>
              <w:pStyle w:val="12"/>
            </w:pPr>
            <w:r>
              <w:t>≥99％</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时限要求内对主要林业有害生物进行防治面积占森林面积的比例</w:t>
            </w:r>
          </w:p>
        </w:tc>
        <w:tc>
          <w:tcPr>
            <w:tcW w:w="1819" w:type="dxa"/>
            <w:vAlign w:val="center"/>
          </w:tcPr>
          <w:p>
            <w:pPr>
              <w:pStyle w:val="12"/>
            </w:pPr>
            <w:r>
              <w:t>≥90％</w:t>
            </w:r>
          </w:p>
        </w:tc>
        <w:tc>
          <w:tcPr>
            <w:tcW w:w="1725"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森林资源监测与管理完成及时率</w:t>
            </w:r>
          </w:p>
        </w:tc>
        <w:tc>
          <w:tcPr>
            <w:tcW w:w="5386" w:type="dxa"/>
            <w:vAlign w:val="center"/>
          </w:tcPr>
          <w:p>
            <w:pPr>
              <w:pStyle w:val="12"/>
            </w:pPr>
            <w:r>
              <w:t>按时限要求事件内完成当年公益林、天保林巡查验收数量占总面积的比例</w:t>
            </w:r>
          </w:p>
        </w:tc>
        <w:tc>
          <w:tcPr>
            <w:tcW w:w="1819" w:type="dxa"/>
            <w:vAlign w:val="center"/>
          </w:tcPr>
          <w:p>
            <w:pPr>
              <w:pStyle w:val="12"/>
            </w:pPr>
            <w:r>
              <w:t>≥95％</w:t>
            </w:r>
          </w:p>
        </w:tc>
        <w:tc>
          <w:tcPr>
            <w:tcW w:w="1725"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时限要求内完成宣传数量占当年宣传任务总数量的比例n</w:t>
            </w:r>
          </w:p>
        </w:tc>
        <w:tc>
          <w:tcPr>
            <w:tcW w:w="1819" w:type="dxa"/>
            <w:vAlign w:val="center"/>
          </w:tcPr>
          <w:p>
            <w:pPr>
              <w:pStyle w:val="12"/>
            </w:pPr>
            <w:r>
              <w:t>≥95％</w:t>
            </w:r>
          </w:p>
        </w:tc>
        <w:tc>
          <w:tcPr>
            <w:tcW w:w="1725"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每亩造林绿化资金财政补贴的成本</w:t>
            </w:r>
          </w:p>
        </w:tc>
        <w:tc>
          <w:tcPr>
            <w:tcW w:w="1819" w:type="dxa"/>
            <w:vAlign w:val="center"/>
          </w:tcPr>
          <w:p>
            <w:pPr>
              <w:pStyle w:val="12"/>
            </w:pPr>
            <w:r>
              <w:t>1000元/亩</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森林病虫害防治成本</w:t>
            </w:r>
          </w:p>
        </w:tc>
        <w:tc>
          <w:tcPr>
            <w:tcW w:w="5386" w:type="dxa"/>
            <w:vAlign w:val="center"/>
          </w:tcPr>
          <w:p>
            <w:pPr>
              <w:pStyle w:val="12"/>
            </w:pPr>
            <w:r>
              <w:t>森林病虫害防治项目的成本</w:t>
            </w:r>
          </w:p>
        </w:tc>
        <w:tc>
          <w:tcPr>
            <w:tcW w:w="1819" w:type="dxa"/>
            <w:vAlign w:val="center"/>
          </w:tcPr>
          <w:p>
            <w:pPr>
              <w:pStyle w:val="12"/>
            </w:pPr>
            <w:r>
              <w:t>≥2万元</w:t>
            </w:r>
          </w:p>
        </w:tc>
        <w:tc>
          <w:tcPr>
            <w:tcW w:w="1725" w:type="dxa"/>
            <w:vAlign w:val="center"/>
          </w:tcPr>
          <w:p>
            <w:pPr>
              <w:pStyle w:val="12"/>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森林资源监测与管理成本</w:t>
            </w:r>
          </w:p>
        </w:tc>
        <w:tc>
          <w:tcPr>
            <w:tcW w:w="5386" w:type="dxa"/>
            <w:vAlign w:val="center"/>
          </w:tcPr>
          <w:p>
            <w:pPr>
              <w:pStyle w:val="12"/>
            </w:pPr>
            <w:r>
              <w:t>森林资源监测与管理项目的成本</w:t>
            </w:r>
          </w:p>
        </w:tc>
        <w:tc>
          <w:tcPr>
            <w:tcW w:w="1819" w:type="dxa"/>
            <w:vAlign w:val="center"/>
          </w:tcPr>
          <w:p>
            <w:pPr>
              <w:pStyle w:val="12"/>
            </w:pPr>
            <w:r>
              <w:t>≥2万元</w:t>
            </w:r>
          </w:p>
        </w:tc>
        <w:tc>
          <w:tcPr>
            <w:tcW w:w="1725" w:type="dxa"/>
            <w:vAlign w:val="center"/>
          </w:tcPr>
          <w:p>
            <w:pPr>
              <w:pStyle w:val="12"/>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野生动物保护及役源疫病将空成本</w:t>
            </w:r>
          </w:p>
        </w:tc>
        <w:tc>
          <w:tcPr>
            <w:tcW w:w="5386" w:type="dxa"/>
            <w:vAlign w:val="center"/>
          </w:tcPr>
          <w:p>
            <w:pPr>
              <w:pStyle w:val="12"/>
            </w:pPr>
            <w:r>
              <w:t>野生动物保护及役源疫病将空成本</w:t>
            </w:r>
          </w:p>
        </w:tc>
        <w:tc>
          <w:tcPr>
            <w:tcW w:w="1819" w:type="dxa"/>
            <w:vAlign w:val="center"/>
          </w:tcPr>
          <w:p>
            <w:pPr>
              <w:pStyle w:val="12"/>
            </w:pPr>
            <w:r>
              <w:t>≥2万元</w:t>
            </w:r>
          </w:p>
        </w:tc>
        <w:tc>
          <w:tcPr>
            <w:tcW w:w="1725" w:type="dxa"/>
            <w:vAlign w:val="center"/>
          </w:tcPr>
          <w:p>
            <w:pPr>
              <w:pStyle w:val="12"/>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增加收入，促进经济建设</w:t>
            </w:r>
          </w:p>
        </w:tc>
        <w:tc>
          <w:tcPr>
            <w:tcW w:w="5386" w:type="dxa"/>
            <w:vAlign w:val="center"/>
          </w:tcPr>
          <w:p>
            <w:pPr>
              <w:pStyle w:val="12"/>
            </w:pPr>
            <w:r>
              <w:t>带动群众就业，进一步增加经济收入</w:t>
            </w:r>
          </w:p>
        </w:tc>
        <w:tc>
          <w:tcPr>
            <w:tcW w:w="1819" w:type="dxa"/>
            <w:vAlign w:val="center"/>
          </w:tcPr>
          <w:p>
            <w:pPr>
              <w:pStyle w:val="12"/>
            </w:pPr>
            <w:r>
              <w:t>进一步提高</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财政支出2023年造林绿化项目，提供就业岗位</w:t>
            </w:r>
          </w:p>
        </w:tc>
        <w:tc>
          <w:tcPr>
            <w:tcW w:w="1819" w:type="dxa"/>
            <w:vAlign w:val="center"/>
          </w:tcPr>
          <w:p>
            <w:pPr>
              <w:pStyle w:val="12"/>
            </w:pPr>
            <w:r>
              <w:t>≥3000个</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819" w:type="dxa"/>
            <w:vAlign w:val="center"/>
          </w:tcPr>
          <w:p>
            <w:pPr>
              <w:pStyle w:val="12"/>
            </w:pPr>
            <w:r>
              <w:t>较上年提高</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林业产业健康稳定发展可持续影响的年限</w:t>
            </w:r>
          </w:p>
        </w:tc>
        <w:tc>
          <w:tcPr>
            <w:tcW w:w="1819" w:type="dxa"/>
            <w:vAlign w:val="center"/>
          </w:tcPr>
          <w:p>
            <w:pPr>
              <w:pStyle w:val="12"/>
            </w:pPr>
            <w:r>
              <w:t>≥1年</w:t>
            </w:r>
          </w:p>
        </w:tc>
        <w:tc>
          <w:tcPr>
            <w:tcW w:w="1725" w:type="dxa"/>
            <w:vAlign w:val="center"/>
          </w:tcPr>
          <w:p>
            <w:pPr>
              <w:pStyle w:val="12"/>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819" w:type="dxa"/>
            <w:vAlign w:val="center"/>
          </w:tcPr>
          <w:p>
            <w:pPr>
              <w:pStyle w:val="12"/>
            </w:pPr>
            <w:r>
              <w:t>≥95％</w:t>
            </w:r>
          </w:p>
        </w:tc>
        <w:tc>
          <w:tcPr>
            <w:tcW w:w="1725" w:type="dxa"/>
            <w:vAlign w:val="center"/>
          </w:tcPr>
          <w:p>
            <w:pPr>
              <w:pStyle w:val="12"/>
            </w:pPr>
            <w:r>
              <w:t>造林绿化实施方案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6、提前下达2023年中央财政林业改革发展资金（林业有害生物防治）绩效目标表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52"/>
        <w:gridCol w:w="169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13032223P00H8P810042Q</w:t>
            </w:r>
          </w:p>
        </w:tc>
        <w:tc>
          <w:tcPr>
            <w:tcW w:w="2835" w:type="dxa"/>
            <w:vAlign w:val="center"/>
          </w:tcPr>
          <w:p>
            <w:pPr>
              <w:pStyle w:val="10"/>
            </w:pPr>
            <w:r>
              <w:t>项目名称</w:t>
            </w:r>
          </w:p>
        </w:tc>
        <w:tc>
          <w:tcPr>
            <w:tcW w:w="6095" w:type="dxa"/>
            <w:gridSpan w:val="3"/>
            <w:vAlign w:val="center"/>
          </w:tcPr>
          <w:p>
            <w:pPr>
              <w:pStyle w:val="12"/>
            </w:pPr>
            <w:r>
              <w:t>提前下达2023年中央财政林业改革发展资金（林业有害生物防治）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19.64</w:t>
            </w:r>
          </w:p>
        </w:tc>
        <w:tc>
          <w:tcPr>
            <w:tcW w:w="2835" w:type="dxa"/>
            <w:vAlign w:val="center"/>
          </w:tcPr>
          <w:p>
            <w:pPr>
              <w:pStyle w:val="10"/>
            </w:pPr>
            <w:r>
              <w:t>其中：财政    资金</w:t>
            </w:r>
          </w:p>
        </w:tc>
        <w:tc>
          <w:tcPr>
            <w:tcW w:w="2551" w:type="dxa"/>
            <w:vAlign w:val="center"/>
          </w:tcPr>
          <w:p>
            <w:pPr>
              <w:pStyle w:val="12"/>
            </w:pPr>
            <w:r>
              <w:t>19.64</w:t>
            </w:r>
          </w:p>
        </w:tc>
        <w:tc>
          <w:tcPr>
            <w:tcW w:w="1852" w:type="dxa"/>
            <w:vAlign w:val="center"/>
          </w:tcPr>
          <w:p>
            <w:pPr>
              <w:pStyle w:val="10"/>
            </w:pPr>
            <w:r>
              <w:t>其他资金</w:t>
            </w:r>
          </w:p>
        </w:tc>
        <w:tc>
          <w:tcPr>
            <w:tcW w:w="1692"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主要用于全县9.7万亩森林病虫害防治的所用药品等物资的支出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1.主要用于全县9.7万亩森林的病虫害防治的所用药品等物资的支出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9"/>
        <w:gridCol w:w="1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19" w:type="dxa"/>
            <w:vAlign w:val="center"/>
          </w:tcPr>
          <w:p>
            <w:pPr>
              <w:pStyle w:val="10"/>
            </w:pPr>
            <w:r>
              <w:t>指标值</w:t>
            </w:r>
          </w:p>
        </w:tc>
        <w:tc>
          <w:tcPr>
            <w:tcW w:w="1725"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森林病虫害防治面积</w:t>
            </w:r>
          </w:p>
        </w:tc>
        <w:tc>
          <w:tcPr>
            <w:tcW w:w="5386" w:type="dxa"/>
            <w:vAlign w:val="center"/>
          </w:tcPr>
          <w:p>
            <w:pPr>
              <w:pStyle w:val="12"/>
            </w:pPr>
            <w:r>
              <w:t>森林病虫害防治面积</w:t>
            </w:r>
          </w:p>
        </w:tc>
        <w:tc>
          <w:tcPr>
            <w:tcW w:w="1819" w:type="dxa"/>
            <w:vAlign w:val="center"/>
          </w:tcPr>
          <w:p>
            <w:pPr>
              <w:pStyle w:val="12"/>
            </w:pPr>
            <w:r>
              <w:t>≥9.7万亩</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林业有害生物防治率</w:t>
            </w:r>
          </w:p>
        </w:tc>
        <w:tc>
          <w:tcPr>
            <w:tcW w:w="5386" w:type="dxa"/>
            <w:vAlign w:val="center"/>
          </w:tcPr>
          <w:p>
            <w:pPr>
              <w:pStyle w:val="12"/>
            </w:pPr>
            <w:r>
              <w:t>各阶段完成防治任务数量占年计划任务数量的比例</w:t>
            </w:r>
          </w:p>
        </w:tc>
        <w:tc>
          <w:tcPr>
            <w:tcW w:w="1819" w:type="dxa"/>
            <w:vAlign w:val="center"/>
          </w:tcPr>
          <w:p>
            <w:pPr>
              <w:pStyle w:val="12"/>
            </w:pPr>
            <w:r>
              <w:t>≥95％</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时限要求内对主要林业有害生物进行防治面积占森林面积的比例</w:t>
            </w:r>
          </w:p>
        </w:tc>
        <w:tc>
          <w:tcPr>
            <w:tcW w:w="1819" w:type="dxa"/>
            <w:vAlign w:val="center"/>
          </w:tcPr>
          <w:p>
            <w:pPr>
              <w:pStyle w:val="12"/>
            </w:pPr>
            <w:r>
              <w:t>≥90％</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森林病虫害防治成本</w:t>
            </w:r>
          </w:p>
        </w:tc>
        <w:tc>
          <w:tcPr>
            <w:tcW w:w="5386" w:type="dxa"/>
            <w:vAlign w:val="center"/>
          </w:tcPr>
          <w:p>
            <w:pPr>
              <w:pStyle w:val="12"/>
            </w:pPr>
            <w:r>
              <w:t>森林病虫害防治项目的成本</w:t>
            </w:r>
          </w:p>
        </w:tc>
        <w:tc>
          <w:tcPr>
            <w:tcW w:w="1819" w:type="dxa"/>
            <w:vAlign w:val="center"/>
          </w:tcPr>
          <w:p>
            <w:pPr>
              <w:pStyle w:val="12"/>
            </w:pPr>
            <w:r>
              <w:t>≤20万元</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带动社会资金投资比</w:t>
            </w:r>
          </w:p>
        </w:tc>
        <w:tc>
          <w:tcPr>
            <w:tcW w:w="5386" w:type="dxa"/>
            <w:vAlign w:val="center"/>
          </w:tcPr>
          <w:p>
            <w:pPr>
              <w:pStyle w:val="12"/>
            </w:pPr>
            <w:r>
              <w:t>带动社会资金投入资金数与补贴资金数的比例</w:t>
            </w:r>
          </w:p>
        </w:tc>
        <w:tc>
          <w:tcPr>
            <w:tcW w:w="1819" w:type="dxa"/>
            <w:vAlign w:val="center"/>
          </w:tcPr>
          <w:p>
            <w:pPr>
              <w:pStyle w:val="12"/>
            </w:pPr>
            <w:r>
              <w:t>≥99％</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病虫害突发事件处置完成率</w:t>
            </w:r>
          </w:p>
        </w:tc>
        <w:tc>
          <w:tcPr>
            <w:tcW w:w="5386" w:type="dxa"/>
            <w:vAlign w:val="center"/>
          </w:tcPr>
          <w:p>
            <w:pPr>
              <w:pStyle w:val="12"/>
            </w:pPr>
            <w:r>
              <w:t>处置完成突发病虫害次数占突发事件次数的比例</w:t>
            </w:r>
          </w:p>
        </w:tc>
        <w:tc>
          <w:tcPr>
            <w:tcW w:w="1819" w:type="dxa"/>
            <w:vAlign w:val="center"/>
          </w:tcPr>
          <w:p>
            <w:pPr>
              <w:pStyle w:val="12"/>
            </w:pPr>
            <w:r>
              <w:t>≥95％</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有效防止森林病虫害发生，提高生态环境质量</w:t>
            </w:r>
          </w:p>
        </w:tc>
        <w:tc>
          <w:tcPr>
            <w:tcW w:w="1819" w:type="dxa"/>
            <w:vAlign w:val="center"/>
          </w:tcPr>
          <w:p>
            <w:pPr>
              <w:pStyle w:val="12"/>
            </w:pPr>
            <w:r>
              <w:t>较上年提高</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森林病虫害防治的可持续影响</w:t>
            </w:r>
          </w:p>
        </w:tc>
        <w:tc>
          <w:tcPr>
            <w:tcW w:w="5386" w:type="dxa"/>
            <w:vAlign w:val="center"/>
          </w:tcPr>
          <w:p>
            <w:pPr>
              <w:pStyle w:val="12"/>
            </w:pPr>
            <w:r>
              <w:t>森林病虫害防治可持续影响的时限</w:t>
            </w:r>
          </w:p>
        </w:tc>
        <w:tc>
          <w:tcPr>
            <w:tcW w:w="1819" w:type="dxa"/>
            <w:vAlign w:val="center"/>
          </w:tcPr>
          <w:p>
            <w:pPr>
              <w:pStyle w:val="12"/>
            </w:pPr>
            <w:r>
              <w:t>1年</w:t>
            </w:r>
          </w:p>
        </w:tc>
        <w:tc>
          <w:tcPr>
            <w:tcW w:w="1725" w:type="dxa"/>
            <w:vAlign w:val="center"/>
          </w:tcPr>
          <w:p>
            <w:pPr>
              <w:pStyle w:val="12"/>
            </w:pPr>
            <w:r>
              <w:t>冀财资环[2022]91号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通过问卷调查，满意和较满意的群众占全部调研对象的比例</w:t>
            </w:r>
          </w:p>
        </w:tc>
        <w:tc>
          <w:tcPr>
            <w:tcW w:w="1819" w:type="dxa"/>
            <w:vAlign w:val="center"/>
          </w:tcPr>
          <w:p>
            <w:pPr>
              <w:pStyle w:val="12"/>
            </w:pPr>
            <w:r>
              <w:t>≥95％</w:t>
            </w:r>
          </w:p>
        </w:tc>
        <w:tc>
          <w:tcPr>
            <w:tcW w:w="1725"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7、提前下达2024年省级林业改革发展补助资金（村庄绿化提升村）（冀财资环【2023】107号）绩效目标表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51"/>
        <w:gridCol w:w="159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13032224P00H8P810066D</w:t>
            </w:r>
          </w:p>
        </w:tc>
        <w:tc>
          <w:tcPr>
            <w:tcW w:w="2835" w:type="dxa"/>
            <w:vAlign w:val="center"/>
          </w:tcPr>
          <w:p>
            <w:pPr>
              <w:pStyle w:val="10"/>
            </w:pPr>
            <w:r>
              <w:t>项目名称</w:t>
            </w:r>
          </w:p>
        </w:tc>
        <w:tc>
          <w:tcPr>
            <w:tcW w:w="6095" w:type="dxa"/>
            <w:gridSpan w:val="3"/>
            <w:vAlign w:val="center"/>
          </w:tcPr>
          <w:p>
            <w:pPr>
              <w:pStyle w:val="12"/>
            </w:pPr>
            <w:r>
              <w:t>提前下达2024年省级林业改革发展补助资金（村庄绿化提升村）（冀财资环【2023】107号）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1951" w:type="dxa"/>
            <w:vAlign w:val="center"/>
          </w:tcPr>
          <w:p>
            <w:pPr>
              <w:pStyle w:val="10"/>
            </w:pPr>
            <w:r>
              <w:t>其他资金</w:t>
            </w:r>
          </w:p>
        </w:tc>
        <w:tc>
          <w:tcPr>
            <w:tcW w:w="159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主要用于绿化提升村的补助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1.通过保障村庄绿化提升村资金的支出，达到提高全县造林绿化水平和森林覆盖率，改善生态环境的效果。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1"/>
        <w:gridCol w:w="1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951" w:type="dxa"/>
            <w:vAlign w:val="center"/>
          </w:tcPr>
          <w:p>
            <w:pPr>
              <w:pStyle w:val="10"/>
            </w:pPr>
            <w:r>
              <w:t>指标值</w:t>
            </w:r>
          </w:p>
        </w:tc>
        <w:tc>
          <w:tcPr>
            <w:tcW w:w="159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造林绿化资金支出完成补贴造林面积</w:t>
            </w:r>
          </w:p>
        </w:tc>
        <w:tc>
          <w:tcPr>
            <w:tcW w:w="1951" w:type="dxa"/>
            <w:vAlign w:val="center"/>
          </w:tcPr>
          <w:p>
            <w:pPr>
              <w:pStyle w:val="12"/>
            </w:pPr>
            <w:r>
              <w:t>≥1.1万亩</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951" w:type="dxa"/>
            <w:vAlign w:val="center"/>
          </w:tcPr>
          <w:p>
            <w:pPr>
              <w:pStyle w:val="12"/>
            </w:pPr>
            <w:r>
              <w:t>≥85%</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951" w:type="dxa"/>
            <w:vAlign w:val="center"/>
          </w:tcPr>
          <w:p>
            <w:pPr>
              <w:pStyle w:val="12"/>
            </w:pPr>
            <w:r>
              <w:t>≥99%</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每亩造林绿化资金财政补贴的平均成本</w:t>
            </w:r>
          </w:p>
        </w:tc>
        <w:tc>
          <w:tcPr>
            <w:tcW w:w="1951" w:type="dxa"/>
            <w:vAlign w:val="center"/>
          </w:tcPr>
          <w:p>
            <w:pPr>
              <w:pStyle w:val="12"/>
            </w:pPr>
            <w:r>
              <w:t>1000元/亩</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带动社会资金的投资比例</w:t>
            </w:r>
          </w:p>
        </w:tc>
        <w:tc>
          <w:tcPr>
            <w:tcW w:w="5386" w:type="dxa"/>
            <w:vAlign w:val="center"/>
          </w:tcPr>
          <w:p>
            <w:pPr>
              <w:pStyle w:val="12"/>
            </w:pPr>
            <w:r>
              <w:t>带动社会资金投入资金数与补贴资金数的比例</w:t>
            </w:r>
          </w:p>
        </w:tc>
        <w:tc>
          <w:tcPr>
            <w:tcW w:w="1951" w:type="dxa"/>
            <w:vAlign w:val="center"/>
          </w:tcPr>
          <w:p>
            <w:pPr>
              <w:pStyle w:val="12"/>
            </w:pPr>
            <w:r>
              <w:t>≥99%</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财政支出2024年造林绿化项目，提供就业岗位</w:t>
            </w:r>
          </w:p>
        </w:tc>
        <w:tc>
          <w:tcPr>
            <w:tcW w:w="1951" w:type="dxa"/>
            <w:vAlign w:val="center"/>
          </w:tcPr>
          <w:p>
            <w:pPr>
              <w:pStyle w:val="12"/>
            </w:pPr>
            <w:r>
              <w:t>≥3000个</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951" w:type="dxa"/>
            <w:vAlign w:val="center"/>
          </w:tcPr>
          <w:p>
            <w:pPr>
              <w:pStyle w:val="12"/>
            </w:pPr>
            <w:r>
              <w:t>较上一年提高</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2024年村庄绿化的可持续影响</w:t>
            </w:r>
          </w:p>
        </w:tc>
        <w:tc>
          <w:tcPr>
            <w:tcW w:w="5386" w:type="dxa"/>
            <w:vAlign w:val="center"/>
          </w:tcPr>
          <w:p>
            <w:pPr>
              <w:pStyle w:val="12"/>
            </w:pPr>
            <w:r>
              <w:t>2024年村庄绿化提升村的可持续影响时限</w:t>
            </w:r>
          </w:p>
        </w:tc>
        <w:tc>
          <w:tcPr>
            <w:tcW w:w="1951" w:type="dxa"/>
            <w:vAlign w:val="center"/>
          </w:tcPr>
          <w:p>
            <w:pPr>
              <w:pStyle w:val="12"/>
            </w:pPr>
            <w:r>
              <w:t>≥1年</w:t>
            </w:r>
          </w:p>
        </w:tc>
        <w:tc>
          <w:tcPr>
            <w:tcW w:w="1593" w:type="dxa"/>
            <w:vAlign w:val="center"/>
          </w:tcPr>
          <w:p>
            <w:pPr>
              <w:pStyle w:val="12"/>
            </w:pPr>
            <w:r>
              <w:t>冀财资环[2023]107号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951" w:type="dxa"/>
            <w:vAlign w:val="center"/>
          </w:tcPr>
          <w:p>
            <w:pPr>
              <w:pStyle w:val="12"/>
            </w:pPr>
            <w:r>
              <w:t>≥95%</w:t>
            </w:r>
          </w:p>
        </w:tc>
        <w:tc>
          <w:tcPr>
            <w:tcW w:w="1593"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8、提前下达2024年中央财政林业改革发展资金（林业有害生物防治）冀财资环【2023】90号绩效目标表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32"/>
        <w:gridCol w:w="181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13032224P00H8P810065R</w:t>
            </w:r>
          </w:p>
        </w:tc>
        <w:tc>
          <w:tcPr>
            <w:tcW w:w="2835" w:type="dxa"/>
            <w:vAlign w:val="center"/>
          </w:tcPr>
          <w:p>
            <w:pPr>
              <w:pStyle w:val="10"/>
            </w:pPr>
            <w:r>
              <w:t>项目名称</w:t>
            </w:r>
          </w:p>
        </w:tc>
        <w:tc>
          <w:tcPr>
            <w:tcW w:w="6095" w:type="dxa"/>
            <w:gridSpan w:val="3"/>
            <w:vAlign w:val="center"/>
          </w:tcPr>
          <w:p>
            <w:pPr>
              <w:pStyle w:val="12"/>
            </w:pPr>
            <w:r>
              <w:t>提前下达2024年中央财政林业改革发展资金（林业有害生物防治）冀财资环【2023】90号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1732" w:type="dxa"/>
            <w:vAlign w:val="center"/>
          </w:tcPr>
          <w:p>
            <w:pPr>
              <w:pStyle w:val="10"/>
            </w:pPr>
            <w:r>
              <w:t>其他资金</w:t>
            </w:r>
          </w:p>
        </w:tc>
        <w:tc>
          <w:tcPr>
            <w:tcW w:w="1812"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主要用于病虫害防治药物的采购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1.主要用于全县9.8万亩森林的病虫害防治的所用药品等物资的支出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88"/>
        <w:gridCol w:w="1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88" w:type="dxa"/>
            <w:vAlign w:val="center"/>
          </w:tcPr>
          <w:p>
            <w:pPr>
              <w:pStyle w:val="10"/>
            </w:pPr>
            <w:r>
              <w:t>指标值</w:t>
            </w:r>
          </w:p>
        </w:tc>
        <w:tc>
          <w:tcPr>
            <w:tcW w:w="185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森林病虫害防治面积</w:t>
            </w:r>
          </w:p>
        </w:tc>
        <w:tc>
          <w:tcPr>
            <w:tcW w:w="5386" w:type="dxa"/>
            <w:vAlign w:val="center"/>
          </w:tcPr>
          <w:p>
            <w:pPr>
              <w:pStyle w:val="12"/>
            </w:pPr>
            <w:r>
              <w:t>森林病虫害防治面积</w:t>
            </w:r>
          </w:p>
        </w:tc>
        <w:tc>
          <w:tcPr>
            <w:tcW w:w="1688" w:type="dxa"/>
            <w:vAlign w:val="center"/>
          </w:tcPr>
          <w:p>
            <w:pPr>
              <w:pStyle w:val="12"/>
            </w:pPr>
            <w:r>
              <w:t>≥9.8万亩</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林业有害生物防治率</w:t>
            </w:r>
          </w:p>
        </w:tc>
        <w:tc>
          <w:tcPr>
            <w:tcW w:w="5386" w:type="dxa"/>
            <w:vAlign w:val="center"/>
          </w:tcPr>
          <w:p>
            <w:pPr>
              <w:pStyle w:val="12"/>
            </w:pPr>
            <w:r>
              <w:t>各阶段完成防治任务数量占年计划任务数量的比例</w:t>
            </w:r>
          </w:p>
        </w:tc>
        <w:tc>
          <w:tcPr>
            <w:tcW w:w="1688" w:type="dxa"/>
            <w:vAlign w:val="center"/>
          </w:tcPr>
          <w:p>
            <w:pPr>
              <w:pStyle w:val="12"/>
            </w:pPr>
            <w:r>
              <w:t>≥95％</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时限要求内对主要林业有害生物进行防治面积占森林面积的比例</w:t>
            </w:r>
          </w:p>
        </w:tc>
        <w:tc>
          <w:tcPr>
            <w:tcW w:w="1688" w:type="dxa"/>
            <w:vAlign w:val="center"/>
          </w:tcPr>
          <w:p>
            <w:pPr>
              <w:pStyle w:val="12"/>
            </w:pPr>
            <w:r>
              <w:t>≥90％</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森林病虫害防治成本</w:t>
            </w:r>
          </w:p>
        </w:tc>
        <w:tc>
          <w:tcPr>
            <w:tcW w:w="5386" w:type="dxa"/>
            <w:vAlign w:val="center"/>
          </w:tcPr>
          <w:p>
            <w:pPr>
              <w:pStyle w:val="12"/>
            </w:pPr>
            <w:r>
              <w:t>森林病虫害防治项目的成本</w:t>
            </w:r>
          </w:p>
        </w:tc>
        <w:tc>
          <w:tcPr>
            <w:tcW w:w="1688" w:type="dxa"/>
            <w:vAlign w:val="center"/>
          </w:tcPr>
          <w:p>
            <w:pPr>
              <w:pStyle w:val="12"/>
            </w:pPr>
            <w:r>
              <w:t>≤20万元</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带动社会资金投资比</w:t>
            </w:r>
          </w:p>
        </w:tc>
        <w:tc>
          <w:tcPr>
            <w:tcW w:w="5386" w:type="dxa"/>
            <w:vAlign w:val="center"/>
          </w:tcPr>
          <w:p>
            <w:pPr>
              <w:pStyle w:val="12"/>
            </w:pPr>
            <w:r>
              <w:t>带动社会资金投入资金数与补贴资金数的比例</w:t>
            </w:r>
          </w:p>
        </w:tc>
        <w:tc>
          <w:tcPr>
            <w:tcW w:w="1688" w:type="dxa"/>
            <w:vAlign w:val="center"/>
          </w:tcPr>
          <w:p>
            <w:pPr>
              <w:pStyle w:val="12"/>
            </w:pPr>
            <w:r>
              <w:t>≥99％</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病虫害突发事件处置完成率</w:t>
            </w:r>
          </w:p>
        </w:tc>
        <w:tc>
          <w:tcPr>
            <w:tcW w:w="5386" w:type="dxa"/>
            <w:vAlign w:val="center"/>
          </w:tcPr>
          <w:p>
            <w:pPr>
              <w:pStyle w:val="12"/>
            </w:pPr>
            <w:r>
              <w:t>处置完成突发病虫害次数占突发事件次数的比例</w:t>
            </w:r>
          </w:p>
        </w:tc>
        <w:tc>
          <w:tcPr>
            <w:tcW w:w="1688" w:type="dxa"/>
            <w:vAlign w:val="center"/>
          </w:tcPr>
          <w:p>
            <w:pPr>
              <w:pStyle w:val="12"/>
            </w:pPr>
            <w:r>
              <w:t>≥95％</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提高生态环境质量</w:t>
            </w:r>
          </w:p>
        </w:tc>
        <w:tc>
          <w:tcPr>
            <w:tcW w:w="5386" w:type="dxa"/>
            <w:vAlign w:val="center"/>
          </w:tcPr>
          <w:p>
            <w:pPr>
              <w:pStyle w:val="12"/>
            </w:pPr>
            <w:r>
              <w:t>有效防止森林病虫害发生，提高生态环境质量</w:t>
            </w:r>
          </w:p>
        </w:tc>
        <w:tc>
          <w:tcPr>
            <w:tcW w:w="1688" w:type="dxa"/>
            <w:vAlign w:val="center"/>
          </w:tcPr>
          <w:p>
            <w:pPr>
              <w:pStyle w:val="12"/>
            </w:pPr>
            <w:r>
              <w:t>较上年提高</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森林病虫害防治的可持续影响</w:t>
            </w:r>
          </w:p>
        </w:tc>
        <w:tc>
          <w:tcPr>
            <w:tcW w:w="5386" w:type="dxa"/>
            <w:vAlign w:val="center"/>
          </w:tcPr>
          <w:p>
            <w:pPr>
              <w:pStyle w:val="12"/>
            </w:pPr>
            <w:r>
              <w:t>森林病虫害防治可持续影响的时限</w:t>
            </w:r>
          </w:p>
        </w:tc>
        <w:tc>
          <w:tcPr>
            <w:tcW w:w="1688" w:type="dxa"/>
            <w:vAlign w:val="center"/>
          </w:tcPr>
          <w:p>
            <w:pPr>
              <w:pStyle w:val="12"/>
            </w:pPr>
            <w:r>
              <w:t>1年</w:t>
            </w:r>
          </w:p>
        </w:tc>
        <w:tc>
          <w:tcPr>
            <w:tcW w:w="1856" w:type="dxa"/>
            <w:vAlign w:val="center"/>
          </w:tcPr>
          <w:p>
            <w:pPr>
              <w:pStyle w:val="12"/>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通过问卷调查，满意和较满意的群众占全部调研对象的比例</w:t>
            </w:r>
          </w:p>
        </w:tc>
        <w:tc>
          <w:tcPr>
            <w:tcW w:w="1688" w:type="dxa"/>
            <w:vAlign w:val="center"/>
          </w:tcPr>
          <w:p>
            <w:pPr>
              <w:pStyle w:val="12"/>
            </w:pPr>
            <w:r>
              <w:t>≥95％</w:t>
            </w:r>
          </w:p>
        </w:tc>
        <w:tc>
          <w:tcPr>
            <w:tcW w:w="185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9、造林绿化重点奖补——村庄绿化提升村绩效目标表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18"/>
        <w:gridCol w:w="162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13032223P00D02810475C</w:t>
            </w:r>
          </w:p>
        </w:tc>
        <w:tc>
          <w:tcPr>
            <w:tcW w:w="2835" w:type="dxa"/>
            <w:vAlign w:val="center"/>
          </w:tcPr>
          <w:p>
            <w:pPr>
              <w:pStyle w:val="10"/>
            </w:pPr>
            <w:r>
              <w:t>项目名称</w:t>
            </w:r>
          </w:p>
        </w:tc>
        <w:tc>
          <w:tcPr>
            <w:tcW w:w="6095" w:type="dxa"/>
            <w:gridSpan w:val="3"/>
            <w:vAlign w:val="center"/>
          </w:tcPr>
          <w:p>
            <w:pPr>
              <w:pStyle w:val="12"/>
            </w:pPr>
            <w:r>
              <w:t>造林绿化重点奖补——村庄绿化提升村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1918" w:type="dxa"/>
            <w:vAlign w:val="center"/>
          </w:tcPr>
          <w:p>
            <w:pPr>
              <w:pStyle w:val="10"/>
            </w:pPr>
            <w:r>
              <w:t>其他资金</w:t>
            </w:r>
          </w:p>
        </w:tc>
        <w:tc>
          <w:tcPr>
            <w:tcW w:w="162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主要用于全县10个绿化提升村庄的绿化提升村资金的支出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1.通过保障村庄绿化提升村资金的支出，达到提高全县造林绿化水平和森林覆盖率，改善生态环境的效果。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1"/>
        <w:gridCol w:w="17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41" w:type="dxa"/>
            <w:vAlign w:val="center"/>
          </w:tcPr>
          <w:p>
            <w:pPr>
              <w:pStyle w:val="10"/>
            </w:pPr>
            <w:r>
              <w:t>指标值</w:t>
            </w:r>
          </w:p>
        </w:tc>
        <w:tc>
          <w:tcPr>
            <w:tcW w:w="170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造林绿化资金支出完成补贴造林面积</w:t>
            </w:r>
          </w:p>
        </w:tc>
        <w:tc>
          <w:tcPr>
            <w:tcW w:w="1841" w:type="dxa"/>
            <w:vAlign w:val="center"/>
          </w:tcPr>
          <w:p>
            <w:pPr>
              <w:pStyle w:val="12"/>
            </w:pPr>
            <w:r>
              <w:t>1.36万亩</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841" w:type="dxa"/>
            <w:vAlign w:val="center"/>
          </w:tcPr>
          <w:p>
            <w:pPr>
              <w:pStyle w:val="12"/>
            </w:pPr>
            <w:r>
              <w:t>≥85%</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841" w:type="dxa"/>
            <w:vAlign w:val="center"/>
          </w:tcPr>
          <w:p>
            <w:pPr>
              <w:pStyle w:val="12"/>
            </w:pPr>
            <w:r>
              <w:t>≥99%</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每亩造林绿化资金财政补贴的平均成本</w:t>
            </w:r>
          </w:p>
        </w:tc>
        <w:tc>
          <w:tcPr>
            <w:tcW w:w="1841" w:type="dxa"/>
            <w:vAlign w:val="center"/>
          </w:tcPr>
          <w:p>
            <w:pPr>
              <w:pStyle w:val="12"/>
            </w:pPr>
            <w:r>
              <w:t>1000元/亩</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带动社会资金的投资比例</w:t>
            </w:r>
          </w:p>
        </w:tc>
        <w:tc>
          <w:tcPr>
            <w:tcW w:w="5386" w:type="dxa"/>
            <w:vAlign w:val="center"/>
          </w:tcPr>
          <w:p>
            <w:pPr>
              <w:pStyle w:val="12"/>
            </w:pPr>
            <w:r>
              <w:t>带动社会资金投入资金数与补贴资金数的比例</w:t>
            </w:r>
          </w:p>
        </w:tc>
        <w:tc>
          <w:tcPr>
            <w:tcW w:w="1841" w:type="dxa"/>
            <w:vAlign w:val="center"/>
          </w:tcPr>
          <w:p>
            <w:pPr>
              <w:pStyle w:val="12"/>
            </w:pPr>
            <w:r>
              <w:t>≥99%</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财政支出2023年造林绿化项目，提供就业岗位</w:t>
            </w:r>
          </w:p>
        </w:tc>
        <w:tc>
          <w:tcPr>
            <w:tcW w:w="1841" w:type="dxa"/>
            <w:vAlign w:val="center"/>
          </w:tcPr>
          <w:p>
            <w:pPr>
              <w:pStyle w:val="12"/>
            </w:pPr>
            <w:r>
              <w:t>≥3000个</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841" w:type="dxa"/>
            <w:vAlign w:val="center"/>
          </w:tcPr>
          <w:p>
            <w:pPr>
              <w:pStyle w:val="12"/>
            </w:pPr>
            <w:r>
              <w:t>较上一年提高</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2023年村庄绿化的可持续影响</w:t>
            </w:r>
          </w:p>
        </w:tc>
        <w:tc>
          <w:tcPr>
            <w:tcW w:w="5386" w:type="dxa"/>
            <w:vAlign w:val="center"/>
          </w:tcPr>
          <w:p>
            <w:pPr>
              <w:pStyle w:val="12"/>
            </w:pPr>
            <w:r>
              <w:t>2023年村庄绿化提升村的可持续影响时限</w:t>
            </w:r>
          </w:p>
        </w:tc>
        <w:tc>
          <w:tcPr>
            <w:tcW w:w="1841" w:type="dxa"/>
            <w:vAlign w:val="center"/>
          </w:tcPr>
          <w:p>
            <w:pPr>
              <w:pStyle w:val="12"/>
            </w:pPr>
            <w:r>
              <w:t>1年</w:t>
            </w:r>
          </w:p>
        </w:tc>
        <w:tc>
          <w:tcPr>
            <w:tcW w:w="1703"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841" w:type="dxa"/>
            <w:vAlign w:val="center"/>
          </w:tcPr>
          <w:p>
            <w:pPr>
              <w:pStyle w:val="12"/>
            </w:pPr>
            <w:r>
              <w:t>≥95%</w:t>
            </w:r>
          </w:p>
        </w:tc>
        <w:tc>
          <w:tcPr>
            <w:tcW w:w="1703"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10、造林绿化重点奖补——省级森林乡村奖补绩效目标表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29"/>
        <w:gridCol w:w="161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13032223P00D02810474Q</w:t>
            </w:r>
          </w:p>
        </w:tc>
        <w:tc>
          <w:tcPr>
            <w:tcW w:w="2835" w:type="dxa"/>
            <w:vAlign w:val="center"/>
          </w:tcPr>
          <w:p>
            <w:pPr>
              <w:pStyle w:val="10"/>
            </w:pPr>
            <w:r>
              <w:t>项目名称</w:t>
            </w:r>
          </w:p>
        </w:tc>
        <w:tc>
          <w:tcPr>
            <w:tcW w:w="6095" w:type="dxa"/>
            <w:gridSpan w:val="3"/>
            <w:vAlign w:val="center"/>
          </w:tcPr>
          <w:p>
            <w:pPr>
              <w:pStyle w:val="12"/>
            </w:pPr>
            <w:r>
              <w:t>造林绿化重点奖补——省级森林乡村奖补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1929" w:type="dxa"/>
            <w:vAlign w:val="center"/>
          </w:tcPr>
          <w:p>
            <w:pPr>
              <w:pStyle w:val="10"/>
            </w:pPr>
            <w:r>
              <w:t>其他资金</w:t>
            </w:r>
          </w:p>
        </w:tc>
        <w:tc>
          <w:tcPr>
            <w:tcW w:w="1615"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主要用于省级森林乡村奖补资金的支出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1.通过保障森林乡村奖补资金的支出，达到提高全县造林绿化水平和森林覆盖率，改善生态环境的效果。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6"/>
        <w:gridCol w:w="1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896" w:type="dxa"/>
            <w:vAlign w:val="center"/>
          </w:tcPr>
          <w:p>
            <w:pPr>
              <w:pStyle w:val="10"/>
            </w:pPr>
            <w:r>
              <w:t>指标值</w:t>
            </w:r>
          </w:p>
        </w:tc>
        <w:tc>
          <w:tcPr>
            <w:tcW w:w="164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完成补贴造林面积</w:t>
            </w:r>
          </w:p>
        </w:tc>
        <w:tc>
          <w:tcPr>
            <w:tcW w:w="5386" w:type="dxa"/>
            <w:vAlign w:val="center"/>
          </w:tcPr>
          <w:p>
            <w:pPr>
              <w:pStyle w:val="12"/>
            </w:pPr>
            <w:r>
              <w:t>造林绿化资金支出完成补贴造林面积</w:t>
            </w:r>
          </w:p>
        </w:tc>
        <w:tc>
          <w:tcPr>
            <w:tcW w:w="1896" w:type="dxa"/>
            <w:vAlign w:val="center"/>
          </w:tcPr>
          <w:p>
            <w:pPr>
              <w:pStyle w:val="12"/>
            </w:pPr>
            <w:r>
              <w:t>1.36万亩</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苗木优良率</w:t>
            </w:r>
          </w:p>
        </w:tc>
        <w:tc>
          <w:tcPr>
            <w:tcW w:w="5386" w:type="dxa"/>
            <w:vAlign w:val="center"/>
          </w:tcPr>
          <w:p>
            <w:pPr>
              <w:pStyle w:val="12"/>
            </w:pPr>
            <w:r>
              <w:t>优良苗木占总苗木的比例</w:t>
            </w:r>
          </w:p>
        </w:tc>
        <w:tc>
          <w:tcPr>
            <w:tcW w:w="1896" w:type="dxa"/>
            <w:vAlign w:val="center"/>
          </w:tcPr>
          <w:p>
            <w:pPr>
              <w:pStyle w:val="12"/>
            </w:pPr>
            <w:r>
              <w:t>≥85%</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造林及时率</w:t>
            </w:r>
          </w:p>
        </w:tc>
        <w:tc>
          <w:tcPr>
            <w:tcW w:w="5386" w:type="dxa"/>
            <w:vAlign w:val="center"/>
          </w:tcPr>
          <w:p>
            <w:pPr>
              <w:pStyle w:val="12"/>
            </w:pPr>
            <w:r>
              <w:t>按照时间节点完成的造林任务数占造林任务总数的比例</w:t>
            </w:r>
          </w:p>
        </w:tc>
        <w:tc>
          <w:tcPr>
            <w:tcW w:w="1896" w:type="dxa"/>
            <w:vAlign w:val="center"/>
          </w:tcPr>
          <w:p>
            <w:pPr>
              <w:pStyle w:val="12"/>
            </w:pPr>
            <w:r>
              <w:t>≥99%</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造林绿化成本</w:t>
            </w:r>
          </w:p>
        </w:tc>
        <w:tc>
          <w:tcPr>
            <w:tcW w:w="5386" w:type="dxa"/>
            <w:vAlign w:val="center"/>
          </w:tcPr>
          <w:p>
            <w:pPr>
              <w:pStyle w:val="12"/>
            </w:pPr>
            <w:r>
              <w:t>每亩造林绿化资金财政补贴的平均成本</w:t>
            </w:r>
          </w:p>
        </w:tc>
        <w:tc>
          <w:tcPr>
            <w:tcW w:w="1896" w:type="dxa"/>
            <w:vAlign w:val="center"/>
          </w:tcPr>
          <w:p>
            <w:pPr>
              <w:pStyle w:val="12"/>
            </w:pPr>
            <w:r>
              <w:t>1000元/亩</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带动社会资金的投资比例</w:t>
            </w:r>
          </w:p>
        </w:tc>
        <w:tc>
          <w:tcPr>
            <w:tcW w:w="5386" w:type="dxa"/>
            <w:vAlign w:val="center"/>
          </w:tcPr>
          <w:p>
            <w:pPr>
              <w:pStyle w:val="12"/>
            </w:pPr>
            <w:r>
              <w:t>带动社会资金投入资金数与补贴资金数的比例</w:t>
            </w:r>
          </w:p>
        </w:tc>
        <w:tc>
          <w:tcPr>
            <w:tcW w:w="1896" w:type="dxa"/>
            <w:vAlign w:val="center"/>
          </w:tcPr>
          <w:p>
            <w:pPr>
              <w:pStyle w:val="12"/>
            </w:pPr>
            <w:r>
              <w:t>≥99％</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提供就业岗位</w:t>
            </w:r>
          </w:p>
        </w:tc>
        <w:tc>
          <w:tcPr>
            <w:tcW w:w="5386" w:type="dxa"/>
            <w:vAlign w:val="center"/>
          </w:tcPr>
          <w:p>
            <w:pPr>
              <w:pStyle w:val="12"/>
            </w:pPr>
            <w:r>
              <w:t>财政支出2023年造林绿化项目，提供就业岗位</w:t>
            </w:r>
          </w:p>
        </w:tc>
        <w:tc>
          <w:tcPr>
            <w:tcW w:w="1896" w:type="dxa"/>
            <w:vAlign w:val="center"/>
          </w:tcPr>
          <w:p>
            <w:pPr>
              <w:pStyle w:val="12"/>
            </w:pPr>
            <w:r>
              <w:t>≥3000个</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提高绿化环境质量</w:t>
            </w:r>
          </w:p>
        </w:tc>
        <w:tc>
          <w:tcPr>
            <w:tcW w:w="5386" w:type="dxa"/>
            <w:vAlign w:val="center"/>
          </w:tcPr>
          <w:p>
            <w:pPr>
              <w:pStyle w:val="12"/>
            </w:pPr>
            <w:r>
              <w:t>造林绿化改善生态环境质量</w:t>
            </w:r>
          </w:p>
        </w:tc>
        <w:tc>
          <w:tcPr>
            <w:tcW w:w="1896" w:type="dxa"/>
            <w:vAlign w:val="center"/>
          </w:tcPr>
          <w:p>
            <w:pPr>
              <w:pStyle w:val="12"/>
            </w:pPr>
            <w:r>
              <w:t>较上年提高</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2023年村庄绿化的可持续影响</w:t>
            </w:r>
          </w:p>
        </w:tc>
        <w:tc>
          <w:tcPr>
            <w:tcW w:w="5386" w:type="dxa"/>
            <w:vAlign w:val="center"/>
          </w:tcPr>
          <w:p>
            <w:pPr>
              <w:pStyle w:val="12"/>
            </w:pPr>
            <w:r>
              <w:t>2023年村庄绿化提升村的可持续影响时限</w:t>
            </w:r>
          </w:p>
        </w:tc>
        <w:tc>
          <w:tcPr>
            <w:tcW w:w="1896" w:type="dxa"/>
            <w:vAlign w:val="center"/>
          </w:tcPr>
          <w:p>
            <w:pPr>
              <w:pStyle w:val="12"/>
            </w:pPr>
            <w:r>
              <w:t>1年</w:t>
            </w:r>
          </w:p>
        </w:tc>
        <w:tc>
          <w:tcPr>
            <w:tcW w:w="1648" w:type="dxa"/>
            <w:vAlign w:val="center"/>
          </w:tcPr>
          <w:p>
            <w:pPr>
              <w:pStyle w:val="12"/>
            </w:pPr>
            <w:r>
              <w:t>冀财资环[2022]104号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通过问卷调查，满意和较满意的受益对象占全部调研对象的比例</w:t>
            </w:r>
          </w:p>
        </w:tc>
        <w:tc>
          <w:tcPr>
            <w:tcW w:w="1896" w:type="dxa"/>
            <w:vAlign w:val="center"/>
          </w:tcPr>
          <w:p>
            <w:pPr>
              <w:pStyle w:val="12"/>
            </w:pPr>
            <w:r>
              <w:t>≥95%</w:t>
            </w:r>
          </w:p>
        </w:tc>
        <w:tc>
          <w:tcPr>
            <w:tcW w:w="1648"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327001昌黎县林业发展中心本级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昌黎县林业发展中心本级上年末固定资产金额为1112.51万元（详见下表）。本年度拟购置固定资产总额为0.00万元，已按要求列入政府采购预算，详见政府采购预算表。</w:t>
      </w: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327001昌黎县林业发展中心本级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11</w:t>
            </w:r>
          </w:p>
        </w:tc>
        <w:tc>
          <w:tcPr>
            <w:tcW w:w="2835" w:type="dxa"/>
            <w:vAlign w:val="center"/>
          </w:tcPr>
          <w:p>
            <w:pPr>
              <w:pStyle w:val="11"/>
            </w:pPr>
            <w:r>
              <w:t>110.28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1781</w:t>
            </w:r>
          </w:p>
        </w:tc>
        <w:tc>
          <w:tcPr>
            <w:tcW w:w="2835" w:type="dxa"/>
            <w:vAlign w:val="center"/>
          </w:tcPr>
          <w:p>
            <w:pPr>
              <w:pStyle w:val="11"/>
            </w:pPr>
            <w:r>
              <w:t>950.23</w:t>
            </w:r>
          </w:p>
        </w:tc>
      </w:tr>
    </w:tbl>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6BF01"/>
    <w:multiLevelType w:val="singleLevel"/>
    <w:tmpl w:val="54D6BF0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ZDY0YWFlNTk0YTAzYWE2MTk2MjQ2YzU4NjBmMjUifQ=="/>
  </w:docVars>
  <w:rsids>
    <w:rsidRoot w:val="002D6133"/>
    <w:rsid w:val="002D6133"/>
    <w:rsid w:val="00402ACD"/>
    <w:rsid w:val="25AA7647"/>
    <w:rsid w:val="267337D4"/>
    <w:rsid w:val="35696360"/>
    <w:rsid w:val="41984312"/>
    <w:rsid w:val="435D4392"/>
    <w:rsid w:val="5BD8274E"/>
    <w:rsid w:val="662F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2024-02-05T09:57:05Z</dcterms:created>
  <dcterms:modified xsi:type="dcterms:W3CDTF">2024-02-05T01:57:04Z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2024-02-05T09:57:01Z</dcterms:created>
  <dcterms:modified xsi:type="dcterms:W3CDTF">2024-02-05T01:57:01Z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2024-02-05T09:57:04Z</dcterms:created>
  <dcterms:modified xsi:type="dcterms:W3CDTF">2024-02-05T01:57:04Z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2024-02-05T09:57:04Z</dcterms:created>
  <dcterms:modified xsi:type="dcterms:W3CDTF">2024-02-05T01:57:04Z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2024-02-05T09:57:00Z</dcterms:created>
  <dcterms:modified xsi:type="dcterms:W3CDTF">2024-02-05T01:56:59Z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2024-02-05T09:57:05Z</dcterms:created>
  <dcterms:modified xsi:type="dcterms:W3CDTF">2024-02-05T01:57:05Z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2024-02-05T09:56:55Z</dcterms:created>
  <dcterms:modified xsi:type="dcterms:W3CDTF">2024-02-05T01:56:55Z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E184CE1-2561-4E31-8968-A88BF599C26E}">
  <ds:schemaRefs/>
</ds:datastoreItem>
</file>

<file path=customXml/itemProps11.xml><?xml version="1.0" encoding="utf-8"?>
<ds:datastoreItem xmlns:ds="http://schemas.openxmlformats.org/officeDocument/2006/customXml" ds:itemID="{33518424-E8AB-4D18-A085-6511F5853B90}">
  <ds:schemaRefs/>
</ds:datastoreItem>
</file>

<file path=customXml/itemProps12.xml><?xml version="1.0" encoding="utf-8"?>
<ds:datastoreItem xmlns:ds="http://schemas.openxmlformats.org/officeDocument/2006/customXml" ds:itemID="{5CBC79AC-64E1-47A3-9885-64428D66FF43}">
  <ds:schemaRefs/>
</ds:datastoreItem>
</file>

<file path=customXml/itemProps13.xml><?xml version="1.0" encoding="utf-8"?>
<ds:datastoreItem xmlns:ds="http://schemas.openxmlformats.org/officeDocument/2006/customXml" ds:itemID="{D07B203A-AE8A-4A49-81F2-6CA1311F8584}">
  <ds:schemaRefs/>
</ds:datastoreItem>
</file>

<file path=customXml/itemProps14.xml><?xml version="1.0" encoding="utf-8"?>
<ds:datastoreItem xmlns:ds="http://schemas.openxmlformats.org/officeDocument/2006/customXml" ds:itemID="{8A13CC68-CCBA-4E4D-80B5-9C12062D16B7}">
  <ds:schemaRefs/>
</ds:datastoreItem>
</file>

<file path=customXml/itemProps15.xml><?xml version="1.0" encoding="utf-8"?>
<ds:datastoreItem xmlns:ds="http://schemas.openxmlformats.org/officeDocument/2006/customXml" ds:itemID="{0CF2914B-D39A-4A10-A0DC-9CD509C800F4}">
  <ds:schemaRefs/>
</ds:datastoreItem>
</file>

<file path=customXml/itemProps16.xml><?xml version="1.0" encoding="utf-8"?>
<ds:datastoreItem xmlns:ds="http://schemas.openxmlformats.org/officeDocument/2006/customXml" ds:itemID="{1C1E57F7-D5AD-4A96-898F-DB91A1DDCBE6}">
  <ds:schemaRefs/>
</ds:datastoreItem>
</file>

<file path=customXml/itemProps17.xml><?xml version="1.0" encoding="utf-8"?>
<ds:datastoreItem xmlns:ds="http://schemas.openxmlformats.org/officeDocument/2006/customXml" ds:itemID="{DD5F7FF1-2EC1-465F-B57F-F9ACA0F1167E}">
  <ds:schemaRefs/>
</ds:datastoreItem>
</file>

<file path=customXml/itemProps18.xml><?xml version="1.0" encoding="utf-8"?>
<ds:datastoreItem xmlns:ds="http://schemas.openxmlformats.org/officeDocument/2006/customXml" ds:itemID="{21AD111D-319A-4F3B-9E18-2A314350D329}">
  <ds:schemaRefs/>
</ds:datastoreItem>
</file>

<file path=customXml/itemProps19.xml><?xml version="1.0" encoding="utf-8"?>
<ds:datastoreItem xmlns:ds="http://schemas.openxmlformats.org/officeDocument/2006/customXml" ds:itemID="{D917EB84-2319-41BB-81A1-C6AEEBFDBE3E}">
  <ds:schemaRefs/>
</ds:datastoreItem>
</file>

<file path=customXml/itemProps2.xml><?xml version="1.0" encoding="utf-8"?>
<ds:datastoreItem xmlns:ds="http://schemas.openxmlformats.org/officeDocument/2006/customXml" ds:itemID="{4DD4D94D-B753-4760-88B0-2F9E1C0A84D1}">
  <ds:schemaRefs/>
</ds:datastoreItem>
</file>

<file path=customXml/itemProps20.xml><?xml version="1.0" encoding="utf-8"?>
<ds:datastoreItem xmlns:ds="http://schemas.openxmlformats.org/officeDocument/2006/customXml" ds:itemID="{4B61109F-74B1-4116-AF8E-9FAD127BE18D}">
  <ds:schemaRefs/>
</ds:datastoreItem>
</file>

<file path=customXml/itemProps21.xml><?xml version="1.0" encoding="utf-8"?>
<ds:datastoreItem xmlns:ds="http://schemas.openxmlformats.org/officeDocument/2006/customXml" ds:itemID="{BF9BCD99-2E6D-42C3-B46D-CED99146109E}">
  <ds:schemaRefs/>
</ds:datastoreItem>
</file>

<file path=customXml/itemProps22.xml><?xml version="1.0" encoding="utf-8"?>
<ds:datastoreItem xmlns:ds="http://schemas.openxmlformats.org/officeDocument/2006/customXml" ds:itemID="{9E4F0E40-508D-4F7C-8160-26A98D65B821}">
  <ds:schemaRefs/>
</ds:datastoreItem>
</file>

<file path=customXml/itemProps23.xml><?xml version="1.0" encoding="utf-8"?>
<ds:datastoreItem xmlns:ds="http://schemas.openxmlformats.org/officeDocument/2006/customXml" ds:itemID="{651EF78F-6F07-40DD-90F2-7962699DB832}">
  <ds:schemaRefs/>
</ds:datastoreItem>
</file>

<file path=customXml/itemProps24.xml><?xml version="1.0" encoding="utf-8"?>
<ds:datastoreItem xmlns:ds="http://schemas.openxmlformats.org/officeDocument/2006/customXml" ds:itemID="{942F7135-3957-4AFE-820F-8F80586C2EB9}">
  <ds:schemaRefs/>
</ds:datastoreItem>
</file>

<file path=customXml/itemProps25.xml><?xml version="1.0" encoding="utf-8"?>
<ds:datastoreItem xmlns:ds="http://schemas.openxmlformats.org/officeDocument/2006/customXml" ds:itemID="{55D3A3AF-4BA9-41F0-81E4-D72E40C2FB95}">
  <ds:schemaRefs/>
</ds:datastoreItem>
</file>

<file path=customXml/itemProps26.xml><?xml version="1.0" encoding="utf-8"?>
<ds:datastoreItem xmlns:ds="http://schemas.openxmlformats.org/officeDocument/2006/customXml" ds:itemID="{09B15C05-0B80-49DB-824F-A941448AD414}">
  <ds:schemaRefs/>
</ds:datastoreItem>
</file>

<file path=customXml/itemProps27.xml><?xml version="1.0" encoding="utf-8"?>
<ds:datastoreItem xmlns:ds="http://schemas.openxmlformats.org/officeDocument/2006/customXml" ds:itemID="{E4DA8F04-DDEE-4C9F-83B2-D890FC8D204E}">
  <ds:schemaRefs/>
</ds:datastoreItem>
</file>

<file path=customXml/itemProps3.xml><?xml version="1.0" encoding="utf-8"?>
<ds:datastoreItem xmlns:ds="http://schemas.openxmlformats.org/officeDocument/2006/customXml" ds:itemID="{60493A92-69D2-424F-85DF-E50F65E0E6CC}">
  <ds:schemaRefs/>
</ds:datastoreItem>
</file>

<file path=customXml/itemProps4.xml><?xml version="1.0" encoding="utf-8"?>
<ds:datastoreItem xmlns:ds="http://schemas.openxmlformats.org/officeDocument/2006/customXml" ds:itemID="{842FC768-EB3F-40D0-8C96-36CE471F5D90}">
  <ds:schemaRefs/>
</ds:datastoreItem>
</file>

<file path=customXml/itemProps5.xml><?xml version="1.0" encoding="utf-8"?>
<ds:datastoreItem xmlns:ds="http://schemas.openxmlformats.org/officeDocument/2006/customXml" ds:itemID="{6CF13F52-FC0B-46B4-A0D5-5BFF5D1C4140}">
  <ds:schemaRefs/>
</ds:datastoreItem>
</file>

<file path=customXml/itemProps6.xml><?xml version="1.0" encoding="utf-8"?>
<ds:datastoreItem xmlns:ds="http://schemas.openxmlformats.org/officeDocument/2006/customXml" ds:itemID="{1DE4B95A-0F7E-456B-B76E-A14EBACE6EE9}">
  <ds:schemaRefs/>
</ds:datastoreItem>
</file>

<file path=customXml/itemProps7.xml><?xml version="1.0" encoding="utf-8"?>
<ds:datastoreItem xmlns:ds="http://schemas.openxmlformats.org/officeDocument/2006/customXml" ds:itemID="{AA542D6B-5EB5-41C5-8103-A6C2236C027D}">
  <ds:schemaRefs/>
</ds:datastoreItem>
</file>

<file path=customXml/itemProps8.xml><?xml version="1.0" encoding="utf-8"?>
<ds:datastoreItem xmlns:ds="http://schemas.openxmlformats.org/officeDocument/2006/customXml" ds:itemID="{E5B2CE83-335D-4465-BAE3-32603751CA9E}">
  <ds:schemaRefs/>
</ds:datastoreItem>
</file>

<file path=customXml/itemProps9.xml><?xml version="1.0" encoding="utf-8"?>
<ds:datastoreItem xmlns:ds="http://schemas.openxmlformats.org/officeDocument/2006/customXml" ds:itemID="{5C18261C-192C-436C-9707-70EEF65C6A14}">
  <ds:schemaRefs/>
</ds:datastoreItem>
</file>

<file path=docProps/app.xml><?xml version="1.0" encoding="utf-8"?>
<Properties xmlns="http://schemas.openxmlformats.org/officeDocument/2006/extended-properties" xmlns:vt="http://schemas.openxmlformats.org/officeDocument/2006/docPropsVTypes">
  <Template>Normal</Template>
  <Company>腾飞伟业电脑销售有限公司</Company>
  <Pages>43</Pages>
  <Words>2820</Words>
  <Characters>16079</Characters>
  <Lines>133</Lines>
  <Paragraphs>37</Paragraphs>
  <TotalTime>55</TotalTime>
  <ScaleCrop>false</ScaleCrop>
  <LinksUpToDate>false</LinksUpToDate>
  <CharactersWithSpaces>18862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2024-02-21T02:56:00Z</dcterms:created>
  <dc:creator>Administrator</dc:creator>
  <cp:lastModifiedBy>Administrator</cp:lastModifiedBy>
  <cp:lastPrinted>2024-02-28T02:50:00Z</cp:lastPrinted>
  <dcterms:modified xsi:type="dcterms:W3CDTF">2025-11-26T01:35:02Z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8EC7BDAAE9634C52A9F84DFF09BFEC0D_12</vt:lpwstr>
  </property>
</Properties>
</file>