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</w:pPr>
      <w:bookmarkStart w:id="0" w:name="OLE_LINK4"/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eastAsia="zh-CN"/>
        </w:rPr>
        <w:t>附件：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jc w:val="center"/>
        <w:rPr>
          <w:rFonts w:ascii="仿宋_GB2312" w:hAnsi="仿宋_GB2312" w:eastAsia="仿宋_GB2312" w:cs="仿宋_GB2312"/>
          <w:color w:val="3D3D3D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</w:rPr>
        <w:t>拟注销特种设备清单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040"/>
        <w:gridCol w:w="2265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20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使用单位</w:t>
            </w:r>
          </w:p>
        </w:tc>
        <w:tc>
          <w:tcPr>
            <w:tcW w:w="2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产品编号</w:t>
            </w:r>
          </w:p>
        </w:tc>
        <w:tc>
          <w:tcPr>
            <w:tcW w:w="3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</w:rPr>
              <w:t>登记证编号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  <w:t>昌黎县荣跃货物运输有限公司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19-K-48-089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瓶3T冀CCD128(19)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B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2025-12-08T07:37:58Z</dcterms:created>
  <dc:creator>Administrator</dc:creator>
  <cp:lastModifiedBy>Administrator</cp:lastModifiedBy>
  <dcterms:modified xsi:type="dcterms:W3CDTF">2025-12-08T07:38:03Z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