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昌黎县“12·2”刘玉财运输队一般车辆伤害</w:t>
      </w:r>
    </w:p>
    <w:p>
      <w:pPr>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val="en-US" w:eastAsia="zh-CN"/>
        </w:rPr>
        <w:t>事故</w:t>
      </w:r>
      <w:r>
        <w:rPr>
          <w:rFonts w:hint="eastAsia" w:ascii="方正小标宋简体" w:hAnsi="方正小标宋简体" w:eastAsia="方正小标宋简体" w:cs="方正小标宋简体"/>
          <w:w w:val="95"/>
          <w:sz w:val="44"/>
        </w:rPr>
        <w:t>防范和整改措施落实情况评估报告</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0"/>
        <w:jc w:val="center"/>
        <w:textAlignment w:val="auto"/>
        <w:rPr>
          <w:rFonts w:ascii="宋体" w:eastAsia="宋体" w:cs="Times New Roman"/>
          <w:sz w:val="28"/>
        </w:rPr>
      </w:pPr>
      <w:r>
        <w:rPr>
          <w:rFonts w:hint="eastAsia" w:ascii="仿宋_GB2312" w:hAnsi="仿宋_GB2312" w:eastAsia="仿宋_GB2312" w:cs="仿宋_GB2312"/>
          <w:sz w:val="30"/>
        </w:rPr>
        <w:t>事故评估组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2023年12月2日5时30分许，</w:t>
      </w:r>
      <w:r>
        <w:rPr>
          <w:rFonts w:hint="eastAsia" w:ascii="仿宋_GB2312" w:hAnsi="仿宋_GB2312" w:eastAsia="仿宋_GB2312" w:cs="仿宋_GB2312"/>
          <w:lang w:val="en-US" w:eastAsia="zh-CN"/>
        </w:rPr>
        <w:t>昌黎县</w:t>
      </w:r>
      <w:r>
        <w:rPr>
          <w:rFonts w:hint="eastAsia" w:ascii="仿宋_GB2312" w:hAnsi="仿宋_GB2312" w:eastAsia="仿宋_GB2312" w:cs="仿宋_GB2312"/>
        </w:rPr>
        <w:t>秦皇岛宏兴钢铁有限公司（以下简称宏兴公司）</w:t>
      </w:r>
      <w:r>
        <w:rPr>
          <w:rFonts w:hint="eastAsia" w:ascii="仿宋_GB2312" w:hAnsi="仿宋_GB2312" w:eastAsia="仿宋_GB2312" w:cs="仿宋_GB2312"/>
          <w:lang w:val="en-US" w:eastAsia="zh-CN"/>
        </w:rPr>
        <w:t>外委运输队车辆在</w:t>
      </w:r>
      <w:r>
        <w:rPr>
          <w:rFonts w:hint="eastAsia" w:ascii="仿宋_GB2312" w:hAnsi="仿宋_GB2312" w:eastAsia="仿宋_GB2312" w:cs="仿宋_GB2312"/>
        </w:rPr>
        <w:t>厂区道路</w:t>
      </w:r>
      <w:r>
        <w:rPr>
          <w:rFonts w:hint="eastAsia" w:ascii="仿宋_GB2312" w:hAnsi="仿宋_GB2312" w:eastAsia="仿宋_GB2312" w:cs="仿宋_GB2312"/>
          <w:lang w:val="en-US" w:eastAsia="zh-CN"/>
        </w:rPr>
        <w:t>内</w:t>
      </w:r>
      <w:r>
        <w:rPr>
          <w:rFonts w:hint="eastAsia" w:ascii="仿宋_GB2312" w:hAnsi="仿宋_GB2312" w:eastAsia="仿宋_GB2312" w:cs="仿宋_GB2312"/>
        </w:rPr>
        <w:t>作业过程中与限高杆发生刮碰，</w:t>
      </w:r>
      <w:r>
        <w:rPr>
          <w:rFonts w:hint="eastAsia" w:ascii="仿宋_GB2312" w:hAnsi="仿宋_GB2312" w:eastAsia="仿宋_GB2312" w:cs="仿宋_GB2312"/>
          <w:lang w:val="en-US" w:eastAsia="zh-CN"/>
        </w:rPr>
        <w:t>导致限高杆坠落，</w:t>
      </w:r>
      <w:r>
        <w:rPr>
          <w:rFonts w:hint="eastAsia" w:ascii="仿宋_GB2312" w:hAnsi="仿宋_GB2312" w:eastAsia="仿宋_GB2312" w:cs="仿宋_GB2312"/>
        </w:rPr>
        <w:t>造成1人死亡。</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w:t>
      </w:r>
      <w:r>
        <w:rPr>
          <w:rFonts w:hint="eastAsia" w:ascii="仿宋_GB2312" w:hAnsi="仿宋_GB2312" w:eastAsia="仿宋_GB2312" w:cs="仿宋_GB2312"/>
          <w:w w:val="95"/>
          <w:lang w:val="en-US" w:eastAsia="zh-CN"/>
        </w:rPr>
        <w:t>河北省</w:t>
      </w:r>
      <w:r>
        <w:rPr>
          <w:rFonts w:hint="eastAsia" w:ascii="仿宋_GB2312" w:hAnsi="仿宋_GB2312" w:eastAsia="仿宋_GB2312" w:cs="仿宋_GB2312"/>
          <w:w w:val="95"/>
          <w:lang w:val="en-US" w:eastAsia="en-US"/>
        </w:rPr>
        <w:t>《生产安全事故防范和整改措施落实情况评估</w:t>
      </w:r>
      <w:r>
        <w:rPr>
          <w:rFonts w:hint="eastAsia" w:ascii="仿宋_GB2312" w:hAnsi="仿宋_GB2312" w:eastAsia="仿宋_GB2312" w:cs="仿宋_GB2312"/>
          <w:w w:val="95"/>
          <w:lang w:val="en-US" w:eastAsia="zh-CN"/>
        </w:rPr>
        <w:t>方法</w:t>
      </w:r>
      <w:r>
        <w:rPr>
          <w:rFonts w:hint="eastAsia" w:ascii="仿宋_GB2312" w:hAnsi="仿宋_GB2312" w:eastAsia="仿宋_GB2312" w:cs="仿宋_GB2312"/>
          <w:w w:val="95"/>
          <w:lang w:val="en-US" w:eastAsia="en-US"/>
        </w:rPr>
        <w:t>》</w:t>
      </w:r>
      <w:r>
        <w:rPr>
          <w:rFonts w:hint="eastAsia" w:ascii="仿宋_GB2312" w:hAnsi="仿宋_GB2312" w:eastAsia="仿宋_GB2312" w:cs="仿宋_GB2312"/>
          <w:w w:val="95"/>
          <w:lang w:val="en-US" w:eastAsia="zh-CN"/>
        </w:rPr>
        <w:t>冀安委办</w:t>
      </w:r>
      <w:r>
        <w:rPr>
          <w:rFonts w:hint="eastAsia" w:ascii="仿宋_GB2312" w:hAnsi="仿宋_GB2312" w:eastAsia="仿宋_GB2312" w:cs="仿宋_GB2312"/>
          <w:w w:val="95"/>
          <w:lang w:val="en-US" w:eastAsia="en-US"/>
        </w:rPr>
        <w:t>〔202</w:t>
      </w:r>
      <w:r>
        <w:rPr>
          <w:rFonts w:hint="eastAsia" w:ascii="仿宋_GB2312" w:hAnsi="仿宋_GB2312" w:eastAsia="仿宋_GB2312" w:cs="仿宋_GB2312"/>
          <w:w w:val="95"/>
          <w:lang w:val="en-US" w:eastAsia="zh-CN"/>
        </w:rPr>
        <w:t>1</w:t>
      </w:r>
      <w:r>
        <w:rPr>
          <w:rFonts w:hint="eastAsia" w:ascii="仿宋_GB2312" w:hAnsi="仿宋_GB2312" w:eastAsia="仿宋_GB2312" w:cs="仿宋_GB2312"/>
          <w:w w:val="95"/>
          <w:lang w:val="en-US" w:eastAsia="en-US"/>
        </w:rPr>
        <w:t>〕</w:t>
      </w:r>
      <w:r>
        <w:rPr>
          <w:rFonts w:hint="eastAsia" w:ascii="仿宋_GB2312" w:hAnsi="仿宋_GB2312" w:eastAsia="仿宋_GB2312" w:cs="仿宋_GB2312"/>
          <w:w w:val="95"/>
          <w:lang w:val="en-US" w:eastAsia="zh-CN"/>
        </w:rPr>
        <w:t>24</w:t>
      </w:r>
      <w:r>
        <w:rPr>
          <w:rFonts w:hint="eastAsia" w:ascii="仿宋_GB2312" w:hAnsi="仿宋_GB2312" w:eastAsia="仿宋_GB2312" w:cs="仿宋_GB2312"/>
          <w:w w:val="95"/>
          <w:lang w:val="en-US" w:eastAsia="en-US"/>
        </w:rPr>
        <w:t>号规定</w:t>
      </w:r>
      <w:r>
        <w:rPr>
          <w:rFonts w:hint="eastAsia" w:ascii="仿宋_GB2312" w:hAnsi="仿宋_GB2312" w:eastAsia="仿宋_GB2312" w:cs="仿宋_GB2312"/>
          <w:w w:val="95"/>
        </w:rPr>
        <w:t>，</w:t>
      </w:r>
      <w:r>
        <w:rPr>
          <w:rFonts w:hint="eastAsia" w:ascii="仿宋_GB2312" w:hAnsi="仿宋_GB2312" w:eastAsia="仿宋_GB2312" w:cs="仿宋_GB2312"/>
          <w:lang w:val="en-US" w:eastAsia="zh-CN"/>
        </w:rPr>
        <w:t>昌黎县“12·2”刘玉财运输队一般车辆伤害事故</w:t>
      </w:r>
      <w:r>
        <w:rPr>
          <w:rFonts w:hint="eastAsia" w:ascii="仿宋_GB2312" w:hAnsi="仿宋_GB2312" w:eastAsia="仿宋_GB2312" w:cs="仿宋_GB2312"/>
        </w:rPr>
        <w:t>防范和整改措施落实情况评估工作组(以下简称“评估组”)</w:t>
      </w:r>
      <w:r>
        <w:rPr>
          <w:rFonts w:hint="eastAsia" w:ascii="仿宋_GB2312" w:hAnsi="仿宋_GB2312" w:eastAsia="仿宋_GB2312" w:cs="仿宋_GB2312"/>
          <w:spacing w:val="1"/>
        </w:rPr>
        <w:t xml:space="preserve"> </w:t>
      </w:r>
      <w:r>
        <w:rPr>
          <w:rFonts w:hint="eastAsia" w:ascii="仿宋_GB2312" w:hAnsi="仿宋_GB2312" w:eastAsia="仿宋_GB2312" w:cs="仿宋_GB2312"/>
        </w:rPr>
        <w:t>对事故防范和整改措施落实效果情况进行了评估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现将评估情况报告如下：</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08" w:firstLineChars="200"/>
        <w:textAlignment w:val="auto"/>
        <w:rPr>
          <w:rFonts w:ascii="黑体"/>
          <w:sz w:val="31"/>
        </w:rPr>
      </w:pPr>
      <w:bookmarkStart w:id="0" w:name="一、评估工作组织及开展情况"/>
      <w:bookmarkEnd w:id="0"/>
      <w:r>
        <w:rPr>
          <w:rFonts w:hint="eastAsia" w:ascii="黑体" w:eastAsia="黑体"/>
          <w:w w:val="95"/>
        </w:rPr>
        <w:t>一、评估工作组织及开展情况</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textAlignment w:val="auto"/>
        <w:rPr>
          <w:rFonts w:hint="eastAsia" w:ascii="仿宋_GB2312" w:hAnsi="仿宋_GB2312" w:eastAsia="仿宋_GB2312" w:cs="仿宋_GB2312"/>
          <w:w w:val="95"/>
          <w:lang w:val="en-US" w:eastAsia="zh-CN"/>
        </w:rPr>
      </w:pPr>
      <w:r>
        <w:rPr>
          <w:rFonts w:hint="eastAsia" w:ascii="仿宋_GB2312" w:hAnsi="仿宋_GB2312" w:eastAsia="仿宋_GB2312" w:cs="仿宋_GB2312"/>
          <w:w w:val="95"/>
          <w:lang w:val="en-US" w:eastAsia="zh-CN"/>
        </w:rPr>
        <w:t>2025年10月10日，昌黎县安全生产委员会办公室成立评估工作组对上述事故防范和整改措施落实情况进行评估，从事故责任追究落实、强化组织领导与工作措施、树牢安全发展理念，健全安全生产责任制，吸取事故教训，举一反三，加强安全生产工作等情况等方面梳理清单，通过听取汇报、核查事故有关责任人人事档案、查阅整改措施台账资料、现场检查等方式，开展评估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黑体" w:eastAsia="黑体"/>
          <w:spacing w:val="12"/>
          <w:w w:val="95"/>
          <w:lang w:val="en-US" w:eastAsia="zh-CN"/>
        </w:rPr>
      </w:pPr>
      <w:bookmarkStart w:id="1" w:name="二、事故责任追究落实情况"/>
      <w:bookmarkEnd w:id="1"/>
      <w:r>
        <w:rPr>
          <w:rFonts w:hint="eastAsia" w:ascii="黑体" w:hAnsi="方正仿宋简体" w:eastAsia="黑体" w:cs="方正仿宋简体"/>
          <w:spacing w:val="12"/>
          <w:w w:val="95"/>
          <w:kern w:val="2"/>
          <w:sz w:val="32"/>
          <w:szCs w:val="32"/>
          <w:lang w:val="en-US" w:eastAsia="zh-CN" w:bidi="ar-SA"/>
        </w:rPr>
        <w:t>二、</w:t>
      </w:r>
      <w:r>
        <w:rPr>
          <w:rFonts w:hint="eastAsia" w:ascii="黑体" w:eastAsia="黑体"/>
          <w:spacing w:val="12"/>
          <w:w w:val="95"/>
        </w:rPr>
        <w:t>事故责任追究落实情</w:t>
      </w:r>
      <w:r>
        <w:rPr>
          <w:rFonts w:hint="eastAsia" w:ascii="黑体" w:eastAsia="黑体"/>
          <w:spacing w:val="12"/>
          <w:w w:val="95"/>
          <w:lang w:val="en-US" w:eastAsia="zh-CN"/>
        </w:rPr>
        <w:t>况</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8" w:firstLineChars="200"/>
        <w:textAlignment w:val="auto"/>
        <w:rPr>
          <w:rFonts w:hint="eastAsia" w:ascii="仿宋_GB2312" w:hAnsi="仿宋_GB2312" w:eastAsia="仿宋_GB2312" w:cs="仿宋_GB2312"/>
          <w:color w:val="auto"/>
          <w:w w:val="95"/>
          <w:lang w:val="en-US" w:eastAsia="zh-CN"/>
        </w:rPr>
      </w:pPr>
      <w:r>
        <w:rPr>
          <w:rFonts w:hint="eastAsia" w:ascii="仿宋_GB2312" w:hAnsi="仿宋_GB2312" w:eastAsia="仿宋_GB2312" w:cs="仿宋_GB2312"/>
          <w:w w:val="95"/>
          <w:lang w:val="en-US" w:eastAsia="zh-CN"/>
        </w:rPr>
        <w:t>经过事故调查组认定，对事故责任单位和责任人等相关人员进行处罚；经过评估组核查，</w:t>
      </w:r>
      <w:r>
        <w:rPr>
          <w:rFonts w:hint="eastAsia" w:ascii="仿宋_GB2312" w:hAnsi="仿宋_GB2312" w:eastAsia="仿宋_GB2312" w:cs="仿宋_GB2312"/>
          <w:color w:val="auto"/>
          <w:w w:val="95"/>
          <w:lang w:val="en-US" w:eastAsia="zh-CN"/>
        </w:rPr>
        <w:t>除刘玉财外，其他责任人和相关单位责任追究已经落实到位。</w:t>
      </w:r>
    </w:p>
    <w:p>
      <w:pPr>
        <w:keepNext w:val="0"/>
        <w:keepLines w:val="0"/>
        <w:pageBreakBefore w:val="0"/>
        <w:widowControl w:val="0"/>
        <w:kinsoku/>
        <w:wordWrap/>
        <w:overflowPunct/>
        <w:topLinePunct w:val="0"/>
        <w:autoSpaceDE/>
        <w:autoSpaceDN/>
        <w:bidi w:val="0"/>
        <w:adjustRightInd/>
        <w:snapToGrid w:val="0"/>
        <w:spacing w:after="0" w:line="59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(一)免于追究责任人员情况(1人)</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8" w:firstLineChars="200"/>
        <w:textAlignment w:val="auto"/>
      </w:pPr>
      <w:r>
        <w:rPr>
          <w:rFonts w:hint="eastAsia" w:ascii="仿宋_GB2312" w:hAnsi="仿宋_GB2312" w:eastAsia="仿宋_GB2312" w:cs="仿宋_GB2312"/>
          <w:w w:val="95"/>
          <w:lang w:val="en-US" w:eastAsia="zh-CN"/>
        </w:rPr>
        <w:t>侯贵臣，事故车辆驾驶员。未依法取得机动车驾驶证驾驶拼装车，未按操作规范安全驾驶机动车，在此事故中承担主要责任。鉴于候贵臣在事故中死亡，免予追究责任。</w:t>
      </w:r>
    </w:p>
    <w:p>
      <w:pPr>
        <w:keepNext w:val="0"/>
        <w:keepLines w:val="0"/>
        <w:pageBreakBefore w:val="0"/>
        <w:widowControl w:val="0"/>
        <w:kinsoku/>
        <w:wordWrap/>
        <w:overflowPunct/>
        <w:topLinePunct w:val="0"/>
        <w:autoSpaceDE/>
        <w:autoSpaceDN/>
        <w:bidi w:val="0"/>
        <w:adjustRightInd/>
        <w:snapToGrid w:val="0"/>
        <w:spacing w:after="0" w:line="59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bookmarkStart w:id="2" w:name="(二)相关行政处罚的人员、单位落实情况"/>
      <w:bookmarkEnd w:id="2"/>
      <w:r>
        <w:rPr>
          <w:rFonts w:hint="eastAsia" w:ascii="Times New Roman" w:hAnsi="Times New Roman" w:eastAsia="楷体_GB2312" w:cs="Times New Roman"/>
          <w:b/>
          <w:bCs/>
          <w:sz w:val="32"/>
          <w:szCs w:val="32"/>
          <w:lang w:val="en-US" w:eastAsia="zh-CN"/>
        </w:rPr>
        <w:t>(二)相关行政处罚的人员、单位落实情况</w:t>
      </w:r>
      <w:bookmarkStart w:id="3" w:name="1.相关人员(3人)"/>
      <w:bookmarkEnd w:id="3"/>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1.相关人员(2人)</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default" w:ascii="仿宋_GB2312" w:hAnsi="仿宋_GB2312" w:eastAsia="仿宋_GB2312" w:cs="仿宋_GB2312"/>
          <w:b w:val="0"/>
          <w:bCs w:val="0"/>
          <w:w w:val="95"/>
          <w:kern w:val="2"/>
          <w:sz w:val="32"/>
          <w:szCs w:val="32"/>
          <w:lang w:val="en-US" w:eastAsia="zh-CN" w:bidi="ar-SA"/>
        </w:rPr>
        <w:t>（1）</w:t>
      </w:r>
      <w:r>
        <w:rPr>
          <w:rFonts w:hint="eastAsia" w:ascii="仿宋_GB2312" w:hAnsi="仿宋_GB2312" w:eastAsia="仿宋_GB2312" w:cs="仿宋_GB2312"/>
          <w:b w:val="0"/>
          <w:bCs w:val="0"/>
          <w:w w:val="95"/>
          <w:kern w:val="2"/>
          <w:sz w:val="32"/>
          <w:szCs w:val="32"/>
          <w:lang w:val="en-US" w:eastAsia="zh-CN" w:bidi="ar-SA"/>
        </w:rPr>
        <w:t>刘某友，宏兴公司常务副总经理、生产制造部长，给予其行政处罚人民币壹万伍仟元整(小写:￥15000元)，已缴纳。</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default" w:ascii="仿宋_GB2312" w:hAnsi="仿宋_GB2312" w:eastAsia="仿宋_GB2312" w:cs="仿宋_GB2312"/>
          <w:b w:val="0"/>
          <w:bCs w:val="0"/>
          <w:w w:val="95"/>
          <w:kern w:val="2"/>
          <w:sz w:val="32"/>
          <w:szCs w:val="32"/>
          <w:lang w:val="en-US" w:eastAsia="zh-CN" w:bidi="ar-SA"/>
        </w:rPr>
        <w:t>（2）</w:t>
      </w:r>
      <w:r>
        <w:rPr>
          <w:rFonts w:hint="eastAsia" w:ascii="仿宋_GB2312" w:hAnsi="仿宋_GB2312" w:eastAsia="仿宋_GB2312" w:cs="仿宋_GB2312"/>
          <w:b w:val="0"/>
          <w:bCs w:val="0"/>
          <w:w w:val="95"/>
          <w:kern w:val="2"/>
          <w:sz w:val="32"/>
          <w:szCs w:val="32"/>
          <w:lang w:val="en-US" w:eastAsia="zh-CN" w:bidi="ar-SA"/>
        </w:rPr>
        <w:t>王某平，宏兴公司生产制造部副部长助理，给予其行政处罚人民币捌仟元整(小写:￥8000元)，已缴纳。</w:t>
      </w:r>
    </w:p>
    <w:p>
      <w:pPr>
        <w:pStyle w:val="2"/>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2.相关单位(2家)</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（1）宏兴公司，给予其行政处罚人民币壹拾柒万伍仟元整(小写￥175000元)，已缴纳。</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（2）刘某财运输队，事故车辆已由昌黎县交警大队依法予以收缴。</w:t>
      </w:r>
    </w:p>
    <w:p>
      <w:pPr>
        <w:keepNext w:val="0"/>
        <w:keepLines w:val="0"/>
        <w:pageBreakBefore w:val="0"/>
        <w:widowControl w:val="0"/>
        <w:kinsoku/>
        <w:wordWrap/>
        <w:overflowPunct/>
        <w:topLinePunct w:val="0"/>
        <w:autoSpaceDE/>
        <w:autoSpaceDN/>
        <w:bidi w:val="0"/>
        <w:adjustRightInd/>
        <w:snapToGrid w:val="0"/>
        <w:spacing w:after="0" w:line="590" w:lineRule="exact"/>
        <w:ind w:left="0" w:leftChars="0" w:right="0" w:rightChars="0"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(三)其他人员处理情况(1人)</w:t>
      </w:r>
    </w:p>
    <w:p>
      <w:pPr>
        <w:pStyle w:val="7"/>
        <w:keepNext w:val="0"/>
        <w:keepLines w:val="0"/>
        <w:pageBreakBefore w:val="0"/>
        <w:widowControl w:val="0"/>
        <w:numPr>
          <w:ilvl w:val="0"/>
          <w:numId w:val="0"/>
        </w:numPr>
        <w:tabs>
          <w:tab w:val="left" w:pos="1672"/>
        </w:tabs>
        <w:kinsoku/>
        <w:wordWrap/>
        <w:overflowPunct/>
        <w:topLinePunct w:val="0"/>
        <w:autoSpaceDE/>
        <w:autoSpaceDN/>
        <w:bidi w:val="0"/>
        <w:adjustRightInd/>
        <w:snapToGrid/>
        <w:spacing w:after="0" w:line="560" w:lineRule="exact"/>
        <w:ind w:left="0" w:leftChars="0" w:right="0" w:rightChars="0" w:firstLine="608" w:firstLineChars="200"/>
        <w:jc w:val="left"/>
        <w:textAlignment w:val="auto"/>
        <w:rPr>
          <w:rFonts w:hint="eastAsia" w:ascii="仿宋_GB2312" w:hAnsi="仿宋_GB2312" w:eastAsia="仿宋_GB2312" w:cs="仿宋_GB2312"/>
          <w:b w:val="0"/>
          <w:bCs w:val="0"/>
          <w:color w:val="auto"/>
          <w:w w:val="95"/>
          <w:kern w:val="2"/>
          <w:sz w:val="32"/>
          <w:szCs w:val="32"/>
          <w:lang w:val="en-US" w:eastAsia="zh-CN" w:bidi="ar-SA"/>
        </w:rPr>
      </w:pPr>
      <w:r>
        <w:rPr>
          <w:rFonts w:hint="eastAsia" w:ascii="仿宋_GB2312" w:hAnsi="仿宋_GB2312" w:eastAsia="仿宋_GB2312" w:cs="仿宋_GB2312"/>
          <w:b w:val="0"/>
          <w:bCs w:val="0"/>
          <w:color w:val="auto"/>
          <w:w w:val="95"/>
          <w:kern w:val="2"/>
          <w:sz w:val="32"/>
          <w:szCs w:val="32"/>
          <w:lang w:val="en-US" w:eastAsia="zh-CN" w:bidi="ar-SA"/>
        </w:rPr>
        <w:t>刘某</w:t>
      </w:r>
      <w:bookmarkStart w:id="6" w:name="_GoBack"/>
      <w:bookmarkEnd w:id="6"/>
      <w:r>
        <w:rPr>
          <w:rFonts w:hint="eastAsia" w:ascii="仿宋_GB2312" w:hAnsi="仿宋_GB2312" w:eastAsia="仿宋_GB2312" w:cs="仿宋_GB2312"/>
          <w:b w:val="0"/>
          <w:bCs w:val="0"/>
          <w:color w:val="auto"/>
          <w:w w:val="95"/>
          <w:kern w:val="2"/>
          <w:sz w:val="32"/>
          <w:szCs w:val="32"/>
          <w:lang w:val="en-US" w:eastAsia="zh-CN" w:bidi="ar-SA"/>
        </w:rPr>
        <w:t>财，玉财车队实际控制人，建议昌黎县公安机关依据相关法律立案侦查。因开展事故调查时事故死亡人员侯贵臣已经下葬，无法进行尸体检验鉴定，公安机关因无尸体检验鉴定无法接收。</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bookmarkStart w:id="4" w:name="三、事故防范和整改措施落实情况"/>
      <w:bookmarkEnd w:id="4"/>
      <w:r>
        <w:rPr>
          <w:rFonts w:hint="eastAsia" w:ascii="黑体" w:hAnsi="黑体" w:eastAsia="黑体" w:cs="黑体"/>
          <w:b w:val="0"/>
          <w:bCs w:val="0"/>
          <w:w w:val="95"/>
          <w:kern w:val="2"/>
          <w:sz w:val="32"/>
          <w:szCs w:val="32"/>
          <w:lang w:val="en-US" w:eastAsia="zh-CN" w:bidi="ar-SA"/>
        </w:rPr>
        <w:t>三、事故防范和整改措施落实情况</w:t>
      </w:r>
    </w:p>
    <w:p>
      <w:pPr>
        <w:pStyle w:val="7"/>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after="0" w:line="560" w:lineRule="exact"/>
        <w:ind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宏兴公司自事故发生后，加强外委施工队伍的管理，重新修订了《外包工程及外委作业安全管理制度》，做到入场前资质有人审核，进场后现场有人管理。加强新员工入厂三级教育和老员工的年度在培训工作，提高全体员工的安全意识和劳动技能。严抓特殊工种的取证和复审工作，保证特殊作业和特种设备操作人员持证上岗。</w:t>
      </w:r>
    </w:p>
    <w:p>
      <w:pPr>
        <w:pStyle w:val="7"/>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after="0" w:line="560" w:lineRule="exact"/>
        <w:ind w:right="0" w:rightChars="0" w:firstLine="608" w:firstLineChars="200"/>
        <w:jc w:val="left"/>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事故发生后，各监管部门根据各自职责制定统一标准、强化技术监控与开展专项整治行动等方式实施日常监管，要求从事营运活动的民间运输企业须在属地交通运输部门登记备案，并接受定期复查，采取“定点检查+流动巡查”结合的方式，重点打击非法营运（“黑车”）、超限超载、“两客一危”违规等行为</w:t>
      </w:r>
      <w:r>
        <w:rPr>
          <w:rFonts w:hint="default" w:ascii="仿宋_GB2312" w:hAnsi="仿宋_GB2312" w:eastAsia="仿宋_GB2312" w:cs="仿宋_GB2312"/>
          <w:b w:val="0"/>
          <w:bCs w:val="0"/>
          <w:w w:val="95"/>
          <w:kern w:val="2"/>
          <w:sz w:val="32"/>
          <w:szCs w:val="32"/>
          <w:lang w:val="en-US" w:eastAsia="zh-CN" w:bidi="ar-SA"/>
        </w:rPr>
        <w:t> </w:t>
      </w:r>
      <w:r>
        <w:rPr>
          <w:rFonts w:hint="eastAsia" w:ascii="仿宋_GB2312" w:hAnsi="仿宋_GB2312" w:eastAsia="仿宋_GB2312" w:cs="仿宋_GB2312"/>
          <w:b w:val="0"/>
          <w:bCs w:val="0"/>
          <w:w w:val="95"/>
          <w:kern w:val="2"/>
          <w:sz w:val="32"/>
          <w:szCs w:val="32"/>
          <w:lang w:val="en-US" w:eastAsia="zh-CN" w:bidi="ar-SA"/>
        </w:rPr>
        <w:t>。建立公安交通管理部门、交通运输、应急管理等部门建立联动机制，在重点时段（如节假日、秋收季）开展联合整治行动，提升执法效能</w:t>
      </w:r>
      <w:r>
        <w:rPr>
          <w:rFonts w:hint="default" w:ascii="仿宋_GB2312" w:hAnsi="仿宋_GB2312" w:eastAsia="仿宋_GB2312" w:cs="仿宋_GB2312"/>
          <w:b w:val="0"/>
          <w:bCs w:val="0"/>
          <w:w w:val="95"/>
          <w:kern w:val="2"/>
          <w:sz w:val="32"/>
          <w:szCs w:val="32"/>
          <w:lang w:val="en-US" w:eastAsia="zh-CN" w:bidi="ar-SA"/>
        </w:rPr>
        <w:t> </w:t>
      </w:r>
      <w:r>
        <w:rPr>
          <w:rFonts w:hint="eastAsia" w:ascii="仿宋_GB2312" w:hAnsi="仿宋_GB2312" w:eastAsia="仿宋_GB2312" w:cs="仿宋_GB2312"/>
          <w:b w:val="0"/>
          <w:bCs w:val="0"/>
          <w:w w:val="95"/>
          <w:kern w:val="2"/>
          <w:sz w:val="32"/>
          <w:szCs w:val="32"/>
          <w:lang w:val="en-US" w:eastAsia="zh-CN" w:bidi="ar-SA"/>
        </w:rPr>
        <w:t>。</w:t>
      </w:r>
    </w:p>
    <w:p>
      <w:pPr>
        <w:pStyle w:val="7"/>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after="0" w:line="560" w:lineRule="exact"/>
        <w:ind w:right="0" w:rightChars="0" w:firstLine="608" w:firstLineChars="200"/>
        <w:jc w:val="left"/>
        <w:textAlignment w:val="auto"/>
        <w:rPr>
          <w:rFonts w:hint="default"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3.县公安交通管理部门持续加强道路交通安全宣传教育工作，多次深入涉货运、危化品运输、特种机械车辆等企业，通过召开座谈会、发放资料、播放警示片等方式对企业负责人、货运司机、设备操作人员进行宣传教育。</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08" w:firstLineChars="200"/>
        <w:textAlignment w:val="auto"/>
        <w:rPr>
          <w:rFonts w:hint="eastAsia" w:ascii="黑体" w:hAnsi="黑体" w:eastAsia="黑体" w:cs="黑体"/>
          <w:b w:val="0"/>
          <w:bCs w:val="0"/>
          <w:w w:val="95"/>
          <w:kern w:val="2"/>
          <w:sz w:val="32"/>
          <w:szCs w:val="32"/>
          <w:lang w:val="en-US" w:eastAsia="zh-CN" w:bidi="ar-SA"/>
        </w:rPr>
      </w:pPr>
      <w:bookmarkStart w:id="5" w:name="四、评估意见"/>
      <w:bookmarkEnd w:id="5"/>
      <w:r>
        <w:rPr>
          <w:rFonts w:hint="eastAsia" w:ascii="黑体" w:hAnsi="黑体" w:eastAsia="黑体" w:cs="黑体"/>
          <w:b w:val="0"/>
          <w:bCs w:val="0"/>
          <w:w w:val="95"/>
          <w:kern w:val="2"/>
          <w:sz w:val="32"/>
          <w:szCs w:val="32"/>
          <w:lang w:val="en-US" w:eastAsia="zh-CN" w:bidi="ar-SA"/>
        </w:rPr>
        <w:t>四、评估意见</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1、根据调阅的有关书面材料，昌黎县应急管理局、昌黎县公安交通部门、宏兴公司等单位依法依规落实了对昌黎县“12·2”刘玉财运输队一般车辆伤害事故相关责任单位及责任人员的责任追究意见。</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2、根据审查材料、听取汇报、谈话问询和现场评估情况，宏兴公司对于事故整改和防范措施已经落实，并做到举一反三，在事故发生后未再发生生产安全事故，安全生产工作稳定向好。</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304" w:firstLineChars="100"/>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 xml:space="preserve"> 综上所述，评估组认为，昌黎县“12·2”刘玉财运输队一般车辆伤害事故调查报告提出的事故整改和防范措施落实建议，已全部落实。 </w:t>
      </w:r>
    </w:p>
    <w:p>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b w:val="0"/>
          <w:bCs w:val="0"/>
          <w:w w:val="95"/>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b w:val="0"/>
          <w:bCs w:val="0"/>
          <w:w w:val="95"/>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right="0" w:firstLine="4560" w:firstLineChars="1500"/>
        <w:jc w:val="both"/>
        <w:textAlignment w:val="auto"/>
        <w:rPr>
          <w:rFonts w:hint="eastAsia" w:ascii="仿宋_GB2312" w:hAnsi="仿宋_GB2312" w:eastAsia="仿宋_GB2312" w:cs="仿宋_GB2312"/>
          <w:b w:val="0"/>
          <w:bCs w:val="0"/>
          <w:w w:val="95"/>
          <w:kern w:val="2"/>
          <w:sz w:val="32"/>
          <w:szCs w:val="32"/>
          <w:lang w:val="en-US" w:eastAsia="zh-CN" w:bidi="ar-SA"/>
        </w:rPr>
      </w:pPr>
      <w:r>
        <w:rPr>
          <w:rFonts w:hint="eastAsia" w:ascii="仿宋_GB2312" w:hAnsi="仿宋_GB2312" w:eastAsia="仿宋_GB2312" w:cs="仿宋_GB2312"/>
          <w:b w:val="0"/>
          <w:bCs w:val="0"/>
          <w:w w:val="95"/>
          <w:kern w:val="2"/>
          <w:sz w:val="32"/>
          <w:szCs w:val="32"/>
          <w:lang w:val="en-US" w:eastAsia="zh-CN" w:bidi="ar-SA"/>
        </w:rPr>
        <w:t xml:space="preserve">昌黎县安全生产委员会办公室                            </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5472" w:firstLineChars="1800"/>
        <w:jc w:val="both"/>
        <w:textAlignment w:val="auto"/>
        <w:rPr>
          <w:rFonts w:hint="default" w:ascii="仿宋_GB2312" w:hAnsi="仿宋_GB2312" w:eastAsia="仿宋_GB2312" w:cs="仿宋_GB2312"/>
          <w:b w:val="0"/>
          <w:bCs w:val="0"/>
          <w:w w:val="95"/>
          <w:kern w:val="2"/>
          <w:sz w:val="32"/>
          <w:szCs w:val="32"/>
          <w:lang w:val="en-US" w:eastAsia="zh-CN" w:bidi="ar-SA"/>
        </w:rPr>
        <w:sectPr>
          <w:footerReference r:id="rId3" w:type="default"/>
          <w:pgSz w:w="11906" w:h="16838"/>
          <w:pgMar w:top="2098" w:right="1474" w:bottom="1984" w:left="1587" w:header="851" w:footer="992" w:gutter="0"/>
          <w:pgNumType w:fmt="decimal" w:start="1"/>
          <w:cols w:space="720" w:num="1"/>
          <w:rtlGutter w:val="0"/>
          <w:docGrid w:type="lines" w:linePitch="312" w:charSpace="0"/>
        </w:sectPr>
      </w:pPr>
      <w:r>
        <w:rPr>
          <w:rFonts w:hint="eastAsia" w:ascii="仿宋_GB2312" w:hAnsi="仿宋_GB2312" w:eastAsia="仿宋_GB2312" w:cs="仿宋_GB2312"/>
          <w:b w:val="0"/>
          <w:bCs w:val="0"/>
          <w:w w:val="95"/>
          <w:kern w:val="2"/>
          <w:sz w:val="32"/>
          <w:szCs w:val="32"/>
          <w:lang w:val="en-US" w:eastAsia="zh-CN" w:bidi="ar-SA"/>
        </w:rPr>
        <w:t>2025年11月5日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cs="Times New Roman"/>
                              <w:lang w:eastAsia="zh-CN"/>
                            </w:rPr>
                          </w:pPr>
                          <w:r>
                            <w:rPr>
                              <w:rFonts w:hint="eastAsia" w:eastAsia="宋体" w:cs="Times New Roman"/>
                              <w:lang w:eastAsia="zh-CN"/>
                            </w:rPr>
                            <w:t xml:space="preserve">— </w:t>
                          </w:r>
                          <w:r>
                            <w:rPr>
                              <w:rFonts w:hint="eastAsia" w:eastAsia="宋体" w:cs="Times New Roman"/>
                              <w:lang w:eastAsia="zh-CN"/>
                            </w:rPr>
                            <w:fldChar w:fldCharType="begin"/>
                          </w:r>
                          <w:r>
                            <w:rPr>
                              <w:rFonts w:hint="eastAsia" w:eastAsia="宋体" w:cs="Times New Roman"/>
                              <w:lang w:eastAsia="zh-CN"/>
                            </w:rPr>
                            <w:instrText xml:space="preserve"> PAGE  \* MERGEFORMAT </w:instrText>
                          </w:r>
                          <w:r>
                            <w:rPr>
                              <w:rFonts w:hint="eastAsia" w:eastAsia="宋体" w:cs="Times New Roman"/>
                              <w:lang w:eastAsia="zh-CN"/>
                            </w:rPr>
                            <w:fldChar w:fldCharType="separate"/>
                          </w:r>
                          <w:r>
                            <w:rPr>
                              <w:rFonts w:hint="eastAsia" w:eastAsia="宋体" w:cs="Times New Roman"/>
                              <w:lang w:eastAsia="zh-CN"/>
                            </w:rPr>
                            <w:t>3</w:t>
                          </w:r>
                          <w:r>
                            <w:rPr>
                              <w:rFonts w:hint="eastAsia" w:eastAsia="宋体" w:cs="Times New Roman"/>
                              <w:lang w:eastAsia="zh-CN"/>
                            </w:rPr>
                            <w:fldChar w:fldCharType="end"/>
                          </w:r>
                          <w:r>
                            <w:rPr>
                              <w:rFonts w:hint="eastAsia" w:eastAsia="宋体" w:cs="Times New Roman"/>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cs="Times New Roman"/>
                        <w:lang w:eastAsia="zh-CN"/>
                      </w:rPr>
                    </w:pPr>
                    <w:r>
                      <w:rPr>
                        <w:rFonts w:hint="eastAsia" w:eastAsia="宋体" w:cs="Times New Roman"/>
                        <w:lang w:eastAsia="zh-CN"/>
                      </w:rPr>
                      <w:t xml:space="preserve">— </w:t>
                    </w:r>
                    <w:r>
                      <w:rPr>
                        <w:rFonts w:hint="eastAsia" w:eastAsia="宋体" w:cs="Times New Roman"/>
                        <w:lang w:eastAsia="zh-CN"/>
                      </w:rPr>
                      <w:fldChar w:fldCharType="begin"/>
                    </w:r>
                    <w:r>
                      <w:rPr>
                        <w:rFonts w:hint="eastAsia" w:eastAsia="宋体" w:cs="Times New Roman"/>
                        <w:lang w:eastAsia="zh-CN"/>
                      </w:rPr>
                      <w:instrText xml:space="preserve"> PAGE  \* MERGEFORMAT </w:instrText>
                    </w:r>
                    <w:r>
                      <w:rPr>
                        <w:rFonts w:hint="eastAsia" w:eastAsia="宋体" w:cs="Times New Roman"/>
                        <w:lang w:eastAsia="zh-CN"/>
                      </w:rPr>
                      <w:fldChar w:fldCharType="separate"/>
                    </w:r>
                    <w:r>
                      <w:rPr>
                        <w:rFonts w:hint="eastAsia" w:eastAsia="宋体" w:cs="Times New Roman"/>
                        <w:lang w:eastAsia="zh-CN"/>
                      </w:rPr>
                      <w:t>3</w:t>
                    </w:r>
                    <w:r>
                      <w:rPr>
                        <w:rFonts w:hint="eastAsia" w:eastAsia="宋体" w:cs="Times New Roman"/>
                        <w:lang w:eastAsia="zh-CN"/>
                      </w:rPr>
                      <w:fldChar w:fldCharType="end"/>
                    </w:r>
                    <w:r>
                      <w:rPr>
                        <w:rFonts w:hint="eastAsia" w:eastAsia="宋体" w:cs="Times New Roman"/>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B7314"/>
    <w:rsid w:val="20B45813"/>
    <w:rsid w:val="29CB1D6C"/>
    <w:rsid w:val="3278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1"/>
    <w:pPr>
      <w:widowControl w:val="0"/>
      <w:ind w:left="747"/>
      <w:jc w:val="both"/>
      <w:outlineLvl w:val="1"/>
    </w:pPr>
    <w:rPr>
      <w:rFonts w:ascii="微软雅黑" w:hAnsi="微软雅黑" w:eastAsia="微软雅黑" w:cs="微软雅黑"/>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qFormat/>
    <w:uiPriority w:val="1"/>
    <w:pPr>
      <w:widowControl w:val="0"/>
      <w:jc w:val="both"/>
    </w:pPr>
    <w:rPr>
      <w:rFonts w:ascii="方正仿宋简体" w:hAnsi="方正仿宋简体" w:eastAsia="方正仿宋简体" w:cs="方正仿宋简体"/>
      <w:kern w:val="2"/>
      <w:sz w:val="32"/>
      <w:szCs w:val="32"/>
      <w:lang w:val="en-US" w:eastAsia="zh-CN" w:bidi="ar-SA"/>
    </w:rPr>
  </w:style>
  <w:style w:type="paragraph" w:styleId="4">
    <w:name w:val="footer"/>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List Paragraph"/>
    <w:qFormat/>
    <w:uiPriority w:val="1"/>
    <w:pPr>
      <w:widowControl w:val="0"/>
      <w:ind w:left="232" w:firstLine="638"/>
      <w:jc w:val="both"/>
    </w:pPr>
    <w:rPr>
      <w:rFonts w:ascii="方正仿宋简体" w:hAnsi="方正仿宋简体" w:eastAsia="方正仿宋简体" w:cs="方正仿宋简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2023-12-13T00:44:00Z</dcterms:created>
  <dc:creator>86152</dc:creator>
  <cp:lastModifiedBy>86152</cp:lastModifiedBy>
  <dcterms:modified xsi:type="dcterms:W3CDTF">2025-12-16T00:31:28Z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