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bookmarkStart w:id="0" w:name="_GoBack"/>
      <w:bookmarkEnd w:id="0"/>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3">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438001</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：昌黎县政府投资项目代建中心(本级)</w:t>
      </w:r>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rPr>
          <w:rFonts w:hint="eastAsia" w:ascii="黑体" w:hAnsi="黑体" w:eastAsia="黑体" w:cs="黑体"/>
          <w:b/>
          <w:bCs/>
          <w:sz w:val="32"/>
          <w:szCs w:val="36"/>
          <w:highlight w:val="yellow"/>
        </w:rPr>
      </w:pP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昌黎县政府投资项目代建中心(本级)</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昌黎县政府投资项目代建中心(本级)(单位名称，加盖公章）</w:t>
      </w: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二〇二五年八月</w:t>
      </w:r>
    </w:p>
    <w:p>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第一部分单位概况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第一部分单位概况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加强对政府投资项目的统一管理，发挥政府投资的最大效益。负责政府投资项目的建设与管理，管理项目建设资金。 参与工程的可行性研究、初步设计及投资计划的报批；负责申办建设用地规划许可证、建设工程规划许可证、国有土地使用证、建筑工程施工许可证及绿化、人防、消防、防震等开工前各项手续；组织开展施工图设计、勘察设计、施工、监理和设备材料招标；负责工程合同的洽谈、签订和管理工作，对工程建设施工现场和质量实行全程管理；负责按项目进度申请资金及拨付工程款，并及时向发展改革局、财政局报送有关报表；负责组织工程验收，对工程质量实行终身负责制；负责编制工程决算报告和工程竣工后有关技术材料的整理、移交工作。</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从决算编报单位构成看，纳入2024年度本部门决算汇编范围的独立核算单位（以下简称“单位”）共1个，具体情况如下：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昌黎县政府投资项目代建中心(本级)</w:t>
            </w:r>
          </w:p>
        </w:tc>
        <w:tc>
          <w:tcPr>
            <w:tcW w:w="2445" w:type="dxa"/>
          </w:tcPr>
          <w:p>
            <w:pPr>
              <w:spacing w:line="560" w:lineRule="exact"/>
              <w:jc w:val="center"/>
              <w:rPr>
                <w:rFonts w:ascii="仿宋_GB2312" w:hAnsi="Calibri" w:eastAsia="仿宋_GB2312" w:cs="ArialUnicodeMS"/>
                <w:kern w:val="0"/>
                <w:sz w:val="28"/>
                <w:szCs w:val="28"/>
              </w:rPr>
            </w:pP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部门（单位）：昌黎县政府投资项目代建中心(本级)</w:t>
            </w:r>
          </w:p>
        </w:tc>
        <w:tc>
          <w:tcPr>
            <w:tcW w:w="1262"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1,277.01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1,277.01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1,277.01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1,277.01</w:t>
            </w:r>
          </w:p>
        </w:tc>
        <w:tc>
          <w:tcPr>
            <w:tcW w:w="1361"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1,277.01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部门（单位）：昌黎县政府投资项目代建中心(本级)                                                                                                         </w:t>
            </w:r>
          </w:p>
        </w:tc>
        <w:tc>
          <w:tcPr>
            <w:tcW w:w="3405" w:type="dxa"/>
            <w:gridSpan w:val="4"/>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1,277.01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1,277.01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39.64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39.64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39.64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39.64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28.19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28.19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机关事业单位职业年金缴费支出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11.45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11.45</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17.44</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1,205.13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1,205.13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21203</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城乡社区公共设施</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1,205.13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1,205.13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2120399</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其他城乡社区公共设施支出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1,205.13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1,205.13</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14.81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部门（单位）：昌黎县政府投资项目代建中心(本级)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1,277.01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277.01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11.45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11.45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17.44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17.44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17.44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17.44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1,205.13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205.13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城乡社区公共设施</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1,205.13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205.13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2120399</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其他城乡社区公共设施支出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1,205.13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205.13</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1,000.00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14.81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14.81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14.81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14.81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部门（单位）：昌黎县政府投资项目代建中心(本级)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1,277.01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39.64</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39.64</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17.44</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17.44</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1,205.13</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1,205.13</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14.81</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14.81</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1,277.01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1,277.01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1,277.01</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1,277.01</w:t>
            </w:r>
          </w:p>
        </w:tc>
        <w:tc>
          <w:tcPr>
            <w:tcW w:w="895"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1,277.01</w:t>
            </w: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1,277.01</w:t>
            </w:r>
          </w:p>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39"/>
        <w:gridCol w:w="3235"/>
        <w:gridCol w:w="1061"/>
        <w:gridCol w:w="499"/>
        <w:gridCol w:w="522"/>
        <w:gridCol w:w="360"/>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编制部门（单位）：昌黎县政府投资项目代建中心(本级)</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1,277.01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277.01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39.64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11.45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11.45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17.44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17.44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17.44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17.44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17.44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17.44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1,205.13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205.13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城乡社区公共设施</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1,205.13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205.13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其他城乡社区公共设施支出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1,205.13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205.13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14.81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14.81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14.81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14.81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部门（单位）：昌黎县政府投资项目代建中心(本级)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271.13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5.88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119.72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1.77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6.64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70.81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28.19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11.45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17.44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2.08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0.13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14.81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2.70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1.29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271.13</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部门（单位）：昌黎县政府投资项目代建中心(本级)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部门（单位）：昌黎县政府投资项目代建中心(本级)</w:t>
            </w:r>
          </w:p>
        </w:tc>
        <w:tc>
          <w:tcPr>
            <w:tcW w:w="1421"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部门（单位）：昌黎县政府投资项目代建中心(本级)</w:t>
            </w:r>
          </w:p>
        </w:tc>
        <w:tc>
          <w:tcPr>
            <w:tcW w:w="93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3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6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8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4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年度部门决算情况说明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收、支总计（含结转和结余）均为1,277.01万元。与2023年度决算相比，收支各减少3,201.29万元，下降71.5%，主要原因是23年中追加了金丰地产返迁安置房资金项目4200万元，24年度没有;(2)人员经费减少了0.29万元,减少0.11%;(3)公用经费减少0.99万元,较少14.45%。。</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1,277.01万元，其中：财政拨款收入1,277.01万元，占100.0%；上级补助收入0.00万元，占0.0%；事业收入0.00万元，占0.0%；经营收入0.00万元，占0.0%；附属单位上缴收入0.00万元，占0.0%；其他收入0.00万元，占0.0%。</w:t>
      </w:r>
    </w:p>
    <w:p>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本单位2024年度本年支出合计1,277.01万元，其中：基本支出277.01万元，占21.7%；项目支出1,000.00万元，占78.3%；上缴上级支出0.00万元，占0.0%；经营支出0.00万元，占0.0%；对附属单位补助支出0.00万元，占0.0%。</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收、支总计（含结转和结余）均为1,277.01万元。与2023年度相比，财政拨款收支各减少3,201.29万元，降低71.5%，主要原因是23年中追加了金丰地产返迁安置房资金项目4200万元，24年度没有;(2)人员经费减少了0.29万元,减少0.11%;(3)公用经费减少0.99万元,较少14.45%。。</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1,277.01万元,比上年减少3,201.29万元，降低71.5%，主要原因是23年中追加了金丰地产返迁安置房资金项目4200万元，24年度没有;(2)人员经费减少了0.29万元,减少0.11%;(3)公用经费减少0.99万元,较少14.45%。；本年支出1,277.01万元，比上年减少3,201.29万元，降低71.5%，主要原因是23年中追加了金丰地产返迁安置房资金项目4200万元，24年度没有;(2)人员经费减少了0.29万元,减少0.11%;(3)公用经费减少0.99万元,较少14.45%。。具体情况如下：</w:t>
      </w:r>
    </w:p>
    <w:p>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 一般公共预算财政拨款本年收入1,277.01万元,比上年增加998.71万元，增长358.9%，主要原因是增加了职工绩效奖金及金丰地产返迁安置房资金等；本年支出1,277.01万元，比上年增加998.71万元，增长358.9%，主要原因是增加了职工绩效奖金及金丰地产返迁安置房资金等。</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0.00万元，比上年减少4,200.00万元，降低100.0%，主要原因是23年中追加了金丰地产返迁安置房资金项目4200万元，24年度无政府性基金预算项目；本年支出0.00万元，比上年减少4,200.00万元，降低100.0%，主要原因是23年中追加了金丰地产返迁安置房资金项目4200万元，24年度无政府性基金预算项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0.00万元，比上年增加0.00万元，增长0.00%，主要原因是我单位无国有资本经营预算收入；本年支出0.00万元，比上年增加0.00万元，增长0.00%，主要原因是我单位无国有资本经营预算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1,277.01万元，完成年初预算的439.1%，比年初预算增加986.21万元，决算数大于预算数主要原因是增加了职工绩效奖金及金丰地产返迁安置房资金等；本年支出1,277.01万元，完成年初预算的439.1%，比年初预算增加986.21万元，决算数大于预算数主要原因是增加了职工绩效奖金及金丰地产返迁安置房资金支出等。具体情况如下：</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439.1%，比年初预算增加986.21万元，主要原因是年中追加金丰地产返迁安置房资金；支出完成年初预算的439.1%，比年初预算增加986.21万元，主要原因是年中追加金丰地产返迁安置房资金。。</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完成年初预算的0.0%，比年初预算增加0.00万元，主要原因是我单位无政府性基金支收入及支出；支出完成年初预算的0.0%，比年初预算增加0.00万元，主要原因是我单位无政府性基金收入及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完成年初预算的0.0%，比年初预算增加0.00万元，主要原因是我单位无国有资本经营预算收入；支出完成年初预算的0.0%，比年初预算增加0.00万元，主要原因是我单位无国有资本经营预算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2024年度财政拨款支出1,277.01万元，主要用于以下方面：</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主要用于无等支出；外交（类）支出0.00万元，占0.0%，主要用于无等支出；国防（类）支出0.00万元，占0.0%，主要用于无等支出；公共安全类（类）支出0.00万元，占0.0%，主要用于无等支出；教育（类）支出0.00万元，占0.0%，主要用于无等支出；科学技术（类）支出0.00万元，占0.0%，主要用于无等支出；文化旅游体育与传媒（类）支出0.00万元，占0.0%，主要用于无等支出；社会保障和就业 （类）支出39.64万元，占3.1%，主要用于职工养老保险及职业年金缴费等支出；卫生健康（类）支出17.44万元，占1.4%，主要用于职工医疗、生育保险缴费等支出；节能环保（类）支出0.00万元，占0.0%，主要用于无等支出；城乡社区（类）支出1,205.13万元，占94.4%，主要用于职工工资福利、公用经费、金丰地产返迁安置房项目等支出；农林水（类）支出0.00万元，占0.0%，主要用于无等支出；交通运输（类）支出0.00万元，占0.0%，主要用于无等支出；资源勘探信息等（类）支出0.00万元，占0.0%，主要用于无等支出；商业服务业等（类）支出0.00万元，占0.0%，主要用于无等支出；金融（类）支出0.00万元，占0.0%，主要用于无等支出；援助其他地区（类）支出0.00万元，占0.0%，主要用于无等支出；自然资源海洋气象等（类）支出0.00万元，占0.0%，主要用于无等支出；住房保障（类）支出14.81万元，占1.2%，主要用于职工住房公积金缴纳等支出；粮油物资储备（类）支出0.00万元，占0.0%，主要用于无等支出；国有资本经营预算支出0.00万元，占0.0%，主要用于无等支出；害防治及应急管理（类）支出0.00万元，占0.0%，主要用于无等支出；其他（类）支出0.00万元，占0.0%，主要用于无等支出；债务还本（类）支出0.00万元，占0.0%，主要用于无等支出；债务付息（类）支出0.00万元，占0.0%，主要用于无等支出；抗疫特别国债安排的支出0.00万元，占0.0%，主要用于无等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主要用于无等支出；外交（类）支出0.00万元，占0.0%，主要用于无等支出；国防（类）支出0.00万元，占0.0%，主要用于无等支出；公共安全类（类）支出0.00万元，占0.0%，主要用于无等支出；教育（类）支出0.00万元，占0.0%，主要用于无等支出；科学技术（类）支出0.00万元，占0.0%，主要用于无等支出；文化旅游体育与传媒（类）支出0.00万元，占0.0%，主要用于无等支出；社会保障和就业 （类）支出0.00万元，占0.0%，主要用于无等支出；卫生健康（类）支出0.00万元，占0.0%，主要用于无等支出；节能环保（类）支出0.00万元，占0.0%，主要用于无等支出；城乡社区（类）支出0.00万元，占0.0%，主要用于无等支出；农林水（类）支出0.00万元，占0.0%，主要用于无等支出；交通运输（类）支出0.00万元，占0.0%，主要用于无等支出；资源勘探信息等（类）支出0.00万元，占0.0%，主要用于无等支出；商业服务业等（类）支出0.00万元，占0.0%，主要用于无等支出；金融（类）支出0.00万元，占0.0%，主要用于无等支出；援助其他地区（类）支出0.00万元，占0.0%，主要用于无等支出；自然资源海洋气象等（类）支出0.00万元，占0.0%，主要用于无等支出；住房保障（类）支出0.00万元，占0.0%，主要用于无等支出；粮油物资储备（类）支出0.00万元，占0.0%，主要用于无等支出；国有资本经营预算支出0.00万元，占0.0%，主要用于无等支出；害防治及应急管理（类）支出0.00万元，占0.0%，主要用于无等支出；其他（类）支出0.00万元，占0.0%，主要用于无等支出；债务还本（类）支出0.00万元，占0.0%，主要用于无等支出；债务付息（类）支出0.00万元，占0.0%，主要用于无等支出；抗疫特别国债安排的支出0.00万元，占0.00%，主要用于无等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国有资本经营预算财政拨款支出：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主要用于无等支出；外交（类）支出0.00万元，占0.0%，主要用于无等支出；国防（类）支出0.00万元，占0.0%，主要用于无等支出；公共安全（类）支出0.00万元，占0.0%，主要用于无等支出；教育（类）支出0.00万元，占0.0%，主要用于无等支出；科学技术（类）支出0.00万元，占0.0%，主要用于无等支出；文化旅游体育与传媒（类）支出0.00万元，占0.0%，主要用于无等支出；社会保障和就业 （类）支出0.00万元，占0.0%，主要用于无等支出；卫生健康（类）支出0.00万元，占0.0%，主要用于无等支出；节能环保（类）支出0.00万元，占0.0%，主要用于无等支出；城乡社区（类）支出0.00万元，占0.0%，主要用于无等支出；农林水（类）支出0.00万元，占0.0%，主要用于无等支出；交通运输（类）支出0.00万元，占0.0%，主要用于无等支出；资源勘探信息等（类）支出0.00万元，占0.0%，主要用于无等支出；商业服务业等（类）支出0.00万元，占0.0%，主要用于无等支出；金融（类）支出0.00万元，占0.0%，主要用于无等支出；援助其他地区（类）支出0.00万元，占0.0%，主要用于无等支出；自然资源海洋气象等（类）支出0.00万元，占0.0%，主要用于无等支出；住房保障（类）支出0.00万元，占0.0%，主要用于无等支出；粮油物资储备（类）支出0.00万元，占0.0%，主要用于无等支出；国有资本经营预算支出0.00万元，占0.0%，主要用于无等支出；害防治及应急管理（类）支出0.00万元，占0.0%，主要用于无等支出；其他（类）支出0.00万元，占0.0%，主要用于无等支出；债务还本（类）支出0.00万元，占0.0%，主要用于无等支出；债务付息（类）支出0.00万元，占0.0%，主要用于无等支出；抗疫特别国债安排的支出0.00万元，占0.0%，主要用于无等支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2024年度财政拨款基本支出277.01万元，其中：</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271.13万元，主要包括基本工资、津贴补贴、奖金、伙食补助费、绩效工资、机关事业部门基本养老保险缴费、职业年金缴费、职工基本医疗保险缴费、公务员医疗补助缴费、住房公积金、医疗费、其他社会保障缴费、其他工资福利支出、离休费、 退休费、 抚恤金、生活补助、医疗费补助、奖励金、其他对个人和家庭的补助支出。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公用经费5.88万元，主要包括办公费、印刷费、咨询费、手续费、水费、电费、邮电费、取 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0.00万元，支出决算为0.00万元，完成预算的0.0%，较预算增加0.00万元，增长0.0%，主要原因是本年无三公经费支出；较2023年度决算增加0.00万元，增长0.00%，主要原因是无三公经费支出。</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单位2024年度因公出国（境）费支出预算为0.00万元,支出决算0.00万元。完成预算的0.0%。因公出国（境）费支出较预算增加0.00万元，增长0.0%,主要原因是无三公经费支出；较上年增加0.00万元，增长0.00%,主要原因是无三公经费支出。因公出国（境）团组0个、共0人、参加其他单位组织的因公出国（境）团组0个、共0人/无本部门组织的出国（境）团组。</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单位2024年度公务用车购置及运行维护费预算为0.00万元，支出决算0.00万元，完成预算的0.0%,较预算增加0.00万元，增长0.0%,主要原因是本单位无公务用车，无相关费用支出；较上年增加0.00万元，增长0.00%,主要原因是本单位无公务用车，无相关费用支出。其中：</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b w:val="0"/>
          <w:sz w:val="32"/>
          <w:szCs w:val="32"/>
        </w:rPr>
        <w:t>本单位2024年度公务用车购置量0辆，发生“公务用车购置”经费支出0.00万元。公务用车购置费支出较预算增加0.00万元，增长0.0%,主要原因是本单位无公务用车，无相关费用支出；较上年增加0.00万元，增长0.00%,主要原因是本单位无公务用车，无相关费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公务用车运行维护费支出0.00万元：</w:t>
      </w:r>
      <w:r>
        <w:rPr>
          <w:rFonts w:ascii="Times New Roman" w:eastAsia="仿宋_GB2312"/>
          <w:b w:val="0"/>
          <w:sz w:val="32"/>
          <w:szCs w:val="32"/>
        </w:rPr>
        <w:t>本单位2024年度单位公务用车保有量0辆，发生运行维护费支出0.00万元。公车运行维护费支出较预算增加0.00万元，增长0.0%,主要原因是本单位无公务用车，无相关费用支出；较上年增加0.00万元，增长0.00%，主要原因是本单位无公务用车，无相关费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单位2024年度公务接待费支出预算为0.00万元，支出决算0.00万元，完成预算的0.0%。公务接待费支出较预算增加0.00万元，增长0.0%,主要原因是本年无公接待，无相关费用支出；较上年度增加0.00万元，增长0.00%,主要原因是无公接待，无相关费用支出。本年度共发生公务接待0批次、0人次。</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本单位2024年度机关运行经费支出0.00万元，较2023年度增加0.00万元，增长0.00%。主要原因是无机关运行经费支出。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政府采购支出总额0.00万元，从采购类型来看，政府采购货物支出0.00万元、政府采购工程支出0.00万元、政府采购服务支出0.00万元。授予中小企业合同金额0.00万元，占政府采购支出总额的0.0%，其中授予小微企业合同金额0.00万元，占政府采购支出总额的0.0%。</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0辆，比上年增加0辆，主要是本单位无公务用车。其中，副部（省）级及以上领导用车0辆，主要负责人用车0辆，机要通信用车0辆，应急保障用车0辆，执法执勤用车0辆，特种专业技术用车0辆，离退休干部用车0辆，其他用车0辆，其他用车主要是无公务用车。单位价值100万元（含）以上设备（不含车辆）0台（套）。</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单位组织对2024年度本级预算项目支出全面开展绩效自评，共涉及资金1,000万元（决算金额）。其中，一般公共预算项目1个，涉及资金1,000万元，占一般公共预算项目支出总额的100%；政府性基金预算项目0个，涉及资金0万元，占政府性基金预算项目支出总额的0%；国有资本经营预算项目0个，涉及资金0万元，占国有资本经营预算项目支出总额的0%。</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组织对金丰地产返迁安置房项目等1个项目开展了部门重点评价，涉及一般公共预算支出1,000万元，政府性基金预算支出0万元，国有资本经营预算支出0万元，从评价情况来看，完成了当年绩效目标。</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本单位在今年部门决算公开中反映金丰地产返迁安置房项目等1个项目绩效自评结果。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金丰地产返迁安置房项目项目绩效自评情况：根据年初设定的绩效目标，金丰地产返迁安置房项目项目绩效自评得分为95.7分（绩效自评表附后）。全年预算数为1,000万元，执行数为1,000万元，完成预算的100%。项目绩效目标完成情况：一是加强对政府投资项目的统一管理；发挥政府投资的最大效益；二是金丰地产返迁安置房建设资金项目已完成。发现的主要问题及原因是：一是无；二是无。下一步改进措施：一是无；二是无。</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（三）部门评价项目绩效评价结果（如有）</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结果得分 95.7 分，评价等级为优</w:t>
      </w:r>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1.本单位2024年度政府性基金预算财政拨款收入支出决算表（公开07表）、国有资本经营预算财政拨款支出决算表（公开08表）、财政拨款“三公”经费支出决算表（公开09表）无相应收支，故空表列示。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footerReference r:id="rId11" w:type="default"/>
      <w:pgSz w:w="11906" w:h="16838"/>
      <w:pgMar w:top="2098" w:right="1417" w:bottom="1871" w:left="1417" w:header="851" w:footer="992" w:gutter="0"/>
      <w:pgBorders>
        <w:top w:val="none" w:sz="0" w:space="0"/>
        <w:left w:val="none" w:sz="0" w:space="0"/>
        <w:bottom w:val="none" w:sz="0" w:space="0"/>
        <w:right w:val="none" w:sz="0" w:space="0"/>
      </w:pgBorders>
      <w:pgNumType w:start="1"/>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B637D70-6211-4D7B-A66A-3913E3B2E9C9}"/>
  </w:font>
  <w:font w:name="黑体">
    <w:panose1 w:val="02010609060101010101"/>
    <w:charset w:val="86"/>
    <w:family w:val="auto"/>
    <w:pitch w:val="default"/>
    <w:sig w:usb0="800002BF" w:usb1="38CF7CFA" w:usb2="00000016" w:usb3="00000000" w:csb0="00040001" w:csb1="00000000"/>
    <w:embedRegular r:id="rId2" w:fontKey="{57DA0601-2A1A-4036-B576-D1443BCC2C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A501C173-825D-4894-BDBB-0BB0D6F531BE}"/>
  </w:font>
  <w:font w:name="仿宋">
    <w:panose1 w:val="02010609060101010101"/>
    <w:charset w:val="86"/>
    <w:family w:val="modern"/>
    <w:pitch w:val="default"/>
    <w:sig w:usb0="800002BF" w:usb1="38CF7CFA" w:usb2="00000016" w:usb3="00000000" w:csb0="00040001" w:csb1="00000000"/>
    <w:embedRegular r:id="rId4" w:fontKey="{95727F07-A4E0-46BB-94C1-4A177FEB1886}"/>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F4BF72B2-819C-4390-8FA7-ED363D864F01}"/>
  </w:font>
  <w:font w:name="方正小标宋_GBK">
    <w:panose1 w:val="02000000000000000000"/>
    <w:charset w:val="86"/>
    <w:family w:val="script"/>
    <w:pitch w:val="default"/>
    <w:sig w:usb0="A00002BF" w:usb1="38CF7CFA" w:usb2="00082016" w:usb3="00000000" w:csb0="00040001" w:csb1="00000000"/>
    <w:embedRegular r:id="rId6" w:fontKey="{B0CFA853-02A6-4C4A-944A-3E94C2A9936E}"/>
  </w:font>
  <w:font w:name="仿宋_GB2312">
    <w:panose1 w:val="02010609030101010101"/>
    <w:charset w:val="86"/>
    <w:family w:val="auto"/>
    <w:pitch w:val="default"/>
    <w:sig w:usb0="00000001" w:usb1="080E0000" w:usb2="00000000" w:usb3="00000000" w:csb0="00040000" w:csb1="00000000"/>
    <w:embedRegular r:id="rId7" w:fontKey="{975E7A7F-BB03-4751-8D70-F15EE28AE9A1}"/>
  </w:font>
  <w:font w:name="ArialUnicodeMS">
    <w:altName w:val="Malgun Gothic"/>
    <w:panose1 w:val="00000000000000000000"/>
    <w:charset w:val="81"/>
    <w:family w:val="auto"/>
    <w:pitch w:val="default"/>
    <w:sig w:usb0="00000000" w:usb1="00000000" w:usb2="00000010" w:usb3="00000000" w:csb0="00080001" w:csb1="00000000"/>
    <w:embedRegular r:id="rId8" w:fontKey="{426FF0D8-CF6F-420B-AA09-5F4F6F134736}"/>
  </w:font>
  <w:font w:name="方正仿宋_GB2312">
    <w:panose1 w:val="02000000000000000000"/>
    <w:charset w:val="86"/>
    <w:family w:val="auto"/>
    <w:pitch w:val="default"/>
    <w:sig w:usb0="A00002BF" w:usb1="184F6CFA" w:usb2="00000012" w:usb3="00000000" w:csb0="00040001" w:csb1="00000000"/>
    <w:embedRegular r:id="rId9" w:fontKey="{ED68C290-07EF-45D9-91A4-DFCC19175218}"/>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7478F"/>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4478.3</c:v>
                </c:pt>
                <c:pt idx="1">
                  <c:v>1277.01</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0.00_);[Red]\(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12770123.12</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2770123.12</c:v>
                </c:pt>
                <c:pt idx="1">
                  <c:v>10000000</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4478.3</c:v>
                </c:pt>
                <c:pt idx="1">
                  <c:v>4478.3</c:v>
                </c:pt>
                <c:pt idx="2">
                  <c:v>278.3</c:v>
                </c:pt>
                <c:pt idx="3">
                  <c:v>278.3</c:v>
                </c:pt>
                <c:pt idx="4">
                  <c:v>4200</c:v>
                </c:pt>
                <c:pt idx="5">
                  <c:v>4200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1277.01</c:v>
                </c:pt>
                <c:pt idx="1">
                  <c:v>1277.01</c:v>
                </c:pt>
                <c:pt idx="2">
                  <c:v>1277.01</c:v>
                </c:pt>
                <c:pt idx="3">
                  <c:v>1277.01</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290.81</c:v>
                </c:pt>
                <c:pt idx="1">
                  <c:v>290.81</c:v>
                </c:pt>
                <c:pt idx="2">
                  <c:v>290.81</c:v>
                </c:pt>
                <c:pt idx="3">
                  <c:v>290.81</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1277.01</c:v>
                </c:pt>
                <c:pt idx="1">
                  <c:v>1277.01</c:v>
                </c:pt>
                <c:pt idx="2">
                  <c:v>1277.01</c:v>
                </c:pt>
                <c:pt idx="3">
                  <c:v>1277.01</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39.64</c:v>
                </c:pt>
                <c:pt idx="8">
                  <c:v>17.44</c:v>
                </c:pt>
                <c:pt idx="9">
                  <c:v>0</c:v>
                </c:pt>
                <c:pt idx="10">
                  <c:v>1205.13</c:v>
                </c:pt>
                <c:pt idx="11">
                  <c:v>0</c:v>
                </c:pt>
                <c:pt idx="12">
                  <c:v>0</c:v>
                </c:pt>
                <c:pt idx="13">
                  <c:v>0</c:v>
                </c:pt>
                <c:pt idx="14">
                  <c:v>0</c:v>
                </c:pt>
                <c:pt idx="15">
                  <c:v>0</c:v>
                </c:pt>
                <c:pt idx="16">
                  <c:v>0</c:v>
                </c:pt>
                <c:pt idx="17">
                  <c:v>0</c:v>
                </c:pt>
                <c:pt idx="18">
                  <c:v>14.81</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25</Pages>
  <Words>611</Words>
  <Characters>2169</Characters>
  <Lines>86</Lines>
  <Paragraphs>24</Paragraphs>
  <TotalTime>16</TotalTime>
  <ScaleCrop>false</ScaleCrop>
  <LinksUpToDate>false</LinksUpToDate>
  <CharactersWithSpaces>2170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你吗个大腿</cp:lastModifiedBy>
  <cp:lastPrinted>2023-08-04T01:00:00Z</cp:lastPrinted>
  <dcterms:modified xsi:type="dcterms:W3CDTF">2025-10-16T06:02:23Z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DA20E54A2643478984041F84B3F8667A_13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