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一、昌黎县城市管理综合行政执法局本级收支预算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一、昌黎县城市管理综合行政执法局本级收支预算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4623.63</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r>
              <w:t>2600.00</w:t>
            </w: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276.27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110.66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6742.76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93.94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r>
              <w:t>7880.00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7223.63</w:t>
            </w:r>
          </w:p>
        </w:tc>
        <w:tc>
          <w:tcPr>
            <w:tcW w:w="2959" w:type="dxa"/>
            <w:vAlign w:val="center"/>
          </w:tcPr>
          <w:p>
            <w:pPr>
              <w:pStyle w:val="14"/>
            </w:pPr>
            <w:r>
              <w:t>本年支出合计</w:t>
            </w:r>
          </w:p>
        </w:tc>
        <w:tc>
          <w:tcPr>
            <w:tcW w:w="2959" w:type="dxa"/>
            <w:vAlign w:val="center"/>
          </w:tcPr>
          <w:p>
            <w:pPr>
              <w:pStyle w:val="15"/>
            </w:pPr>
            <w:r>
              <w:t>15103.63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r>
              <w:t>7880.00</w:t>
            </w: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15103.63</w:t>
            </w:r>
          </w:p>
        </w:tc>
        <w:tc>
          <w:tcPr>
            <w:tcW w:w="2959" w:type="dxa"/>
            <w:vAlign w:val="center"/>
          </w:tcPr>
          <w:p>
            <w:pPr>
              <w:pStyle w:val="14"/>
            </w:pPr>
            <w:r>
              <w:t>支出总计</w:t>
            </w:r>
          </w:p>
        </w:tc>
        <w:tc>
          <w:tcPr>
            <w:tcW w:w="2959" w:type="dxa"/>
            <w:vAlign w:val="center"/>
          </w:tcPr>
          <w:p>
            <w:pPr>
              <w:pStyle w:val="15"/>
            </w:pPr>
            <w:r>
              <w:t>15103.63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15103.63</w:t>
            </w:r>
          </w:p>
        </w:tc>
        <w:tc>
          <w:tcPr>
            <w:tcW w:w="758" w:type="dxa"/>
            <w:vAlign w:val="center"/>
          </w:tcPr>
          <w:p>
            <w:pPr>
              <w:pStyle w:val="15"/>
            </w:pPr>
            <w:r>
              <w:t>7223.63</w:t>
            </w:r>
          </w:p>
        </w:tc>
        <w:tc>
          <w:tcPr>
            <w:tcW w:w="758" w:type="dxa"/>
            <w:vAlign w:val="center"/>
          </w:tcPr>
          <w:p>
            <w:pPr>
              <w:pStyle w:val="15"/>
            </w:pPr>
            <w:r>
              <w:t>7223.63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7880.00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276.27</w:t>
            </w:r>
          </w:p>
        </w:tc>
        <w:tc>
          <w:tcPr>
            <w:tcW w:w="758" w:type="dxa"/>
            <w:vAlign w:val="center"/>
          </w:tcPr>
          <w:p>
            <w:pPr>
              <w:pStyle w:val="11"/>
            </w:pPr>
            <w:r>
              <w:t>276.27</w:t>
            </w:r>
          </w:p>
        </w:tc>
        <w:tc>
          <w:tcPr>
            <w:tcW w:w="758" w:type="dxa"/>
            <w:vAlign w:val="center"/>
          </w:tcPr>
          <w:p>
            <w:pPr>
              <w:pStyle w:val="11"/>
            </w:pPr>
            <w:r>
              <w:t>276.27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276.27</w:t>
            </w:r>
          </w:p>
        </w:tc>
        <w:tc>
          <w:tcPr>
            <w:tcW w:w="758" w:type="dxa"/>
            <w:vAlign w:val="center"/>
          </w:tcPr>
          <w:p>
            <w:pPr>
              <w:pStyle w:val="11"/>
            </w:pPr>
            <w:r>
              <w:t>276.27</w:t>
            </w:r>
          </w:p>
        </w:tc>
        <w:tc>
          <w:tcPr>
            <w:tcW w:w="758" w:type="dxa"/>
            <w:vAlign w:val="center"/>
          </w:tcPr>
          <w:p>
            <w:pPr>
              <w:pStyle w:val="11"/>
            </w:pPr>
            <w:r>
              <w:t>276.27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187.87</w:t>
            </w:r>
          </w:p>
        </w:tc>
        <w:tc>
          <w:tcPr>
            <w:tcW w:w="758" w:type="dxa"/>
            <w:vAlign w:val="center"/>
          </w:tcPr>
          <w:p>
            <w:pPr>
              <w:pStyle w:val="11"/>
            </w:pPr>
            <w:r>
              <w:t>187.87</w:t>
            </w:r>
          </w:p>
        </w:tc>
        <w:tc>
          <w:tcPr>
            <w:tcW w:w="758" w:type="dxa"/>
            <w:vAlign w:val="center"/>
          </w:tcPr>
          <w:p>
            <w:pPr>
              <w:pStyle w:val="11"/>
            </w:pPr>
            <w:r>
              <w:t>187.87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2080506</w:t>
            </w:r>
          </w:p>
        </w:tc>
        <w:tc>
          <w:tcPr>
            <w:tcW w:w="758" w:type="dxa"/>
            <w:vAlign w:val="center"/>
          </w:tcPr>
          <w:p>
            <w:pPr>
              <w:pStyle w:val="12"/>
            </w:pPr>
            <w:r>
              <w:t>机关事业单位职业年金缴费支出</w:t>
            </w:r>
          </w:p>
        </w:tc>
        <w:tc>
          <w:tcPr>
            <w:tcW w:w="758" w:type="dxa"/>
            <w:vAlign w:val="center"/>
          </w:tcPr>
          <w:p>
            <w:pPr>
              <w:pStyle w:val="11"/>
            </w:pPr>
            <w:r>
              <w:t>88.40</w:t>
            </w:r>
          </w:p>
        </w:tc>
        <w:tc>
          <w:tcPr>
            <w:tcW w:w="758" w:type="dxa"/>
            <w:vAlign w:val="center"/>
          </w:tcPr>
          <w:p>
            <w:pPr>
              <w:pStyle w:val="11"/>
            </w:pPr>
            <w:r>
              <w:t>88.40</w:t>
            </w:r>
          </w:p>
        </w:tc>
        <w:tc>
          <w:tcPr>
            <w:tcW w:w="758" w:type="dxa"/>
            <w:vAlign w:val="center"/>
          </w:tcPr>
          <w:p>
            <w:pPr>
              <w:pStyle w:val="11"/>
            </w:pPr>
            <w:r>
              <w:t>88.40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110.66</w:t>
            </w:r>
          </w:p>
        </w:tc>
        <w:tc>
          <w:tcPr>
            <w:tcW w:w="758" w:type="dxa"/>
            <w:vAlign w:val="center"/>
          </w:tcPr>
          <w:p>
            <w:pPr>
              <w:pStyle w:val="11"/>
            </w:pPr>
            <w:r>
              <w:t>110.66</w:t>
            </w:r>
          </w:p>
        </w:tc>
        <w:tc>
          <w:tcPr>
            <w:tcW w:w="758" w:type="dxa"/>
            <w:vAlign w:val="center"/>
          </w:tcPr>
          <w:p>
            <w:pPr>
              <w:pStyle w:val="11"/>
            </w:pPr>
            <w:r>
              <w:t>110.66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110.66</w:t>
            </w:r>
          </w:p>
        </w:tc>
        <w:tc>
          <w:tcPr>
            <w:tcW w:w="758" w:type="dxa"/>
            <w:vAlign w:val="center"/>
          </w:tcPr>
          <w:p>
            <w:pPr>
              <w:pStyle w:val="11"/>
            </w:pPr>
            <w:r>
              <w:t>110.66</w:t>
            </w:r>
          </w:p>
        </w:tc>
        <w:tc>
          <w:tcPr>
            <w:tcW w:w="758" w:type="dxa"/>
            <w:vAlign w:val="center"/>
          </w:tcPr>
          <w:p>
            <w:pPr>
              <w:pStyle w:val="11"/>
            </w:pPr>
            <w:r>
              <w:t>110.66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5.17</w:t>
            </w:r>
          </w:p>
        </w:tc>
        <w:tc>
          <w:tcPr>
            <w:tcW w:w="758" w:type="dxa"/>
            <w:vAlign w:val="center"/>
          </w:tcPr>
          <w:p>
            <w:pPr>
              <w:pStyle w:val="11"/>
            </w:pPr>
            <w:r>
              <w:t>5.17</w:t>
            </w:r>
          </w:p>
        </w:tc>
        <w:tc>
          <w:tcPr>
            <w:tcW w:w="758" w:type="dxa"/>
            <w:vAlign w:val="center"/>
          </w:tcPr>
          <w:p>
            <w:pPr>
              <w:pStyle w:val="11"/>
            </w:pPr>
            <w:r>
              <w:t>5.17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2101102</w:t>
            </w:r>
          </w:p>
        </w:tc>
        <w:tc>
          <w:tcPr>
            <w:tcW w:w="758" w:type="dxa"/>
            <w:vAlign w:val="center"/>
          </w:tcPr>
          <w:p>
            <w:pPr>
              <w:pStyle w:val="12"/>
            </w:pPr>
            <w:r>
              <w:t>事业单位医疗</w:t>
            </w:r>
          </w:p>
        </w:tc>
        <w:tc>
          <w:tcPr>
            <w:tcW w:w="758" w:type="dxa"/>
            <w:vAlign w:val="center"/>
          </w:tcPr>
          <w:p>
            <w:pPr>
              <w:pStyle w:val="11"/>
            </w:pPr>
            <w:r>
              <w:t>105.49</w:t>
            </w:r>
          </w:p>
        </w:tc>
        <w:tc>
          <w:tcPr>
            <w:tcW w:w="758" w:type="dxa"/>
            <w:vAlign w:val="center"/>
          </w:tcPr>
          <w:p>
            <w:pPr>
              <w:pStyle w:val="11"/>
            </w:pPr>
            <w:r>
              <w:t>105.49</w:t>
            </w:r>
          </w:p>
        </w:tc>
        <w:tc>
          <w:tcPr>
            <w:tcW w:w="758" w:type="dxa"/>
            <w:vAlign w:val="center"/>
          </w:tcPr>
          <w:p>
            <w:pPr>
              <w:pStyle w:val="11"/>
            </w:pPr>
            <w:r>
              <w:t>105.49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212</w:t>
            </w:r>
          </w:p>
        </w:tc>
        <w:tc>
          <w:tcPr>
            <w:tcW w:w="758" w:type="dxa"/>
            <w:vAlign w:val="center"/>
          </w:tcPr>
          <w:p>
            <w:pPr>
              <w:pStyle w:val="12"/>
            </w:pPr>
            <w:r>
              <w:t>城乡社区支出</w:t>
            </w:r>
          </w:p>
        </w:tc>
        <w:tc>
          <w:tcPr>
            <w:tcW w:w="758" w:type="dxa"/>
            <w:vAlign w:val="center"/>
          </w:tcPr>
          <w:p>
            <w:pPr>
              <w:pStyle w:val="11"/>
            </w:pPr>
            <w:r>
              <w:t>6742.76</w:t>
            </w:r>
          </w:p>
        </w:tc>
        <w:tc>
          <w:tcPr>
            <w:tcW w:w="758" w:type="dxa"/>
            <w:vAlign w:val="center"/>
          </w:tcPr>
          <w:p>
            <w:pPr>
              <w:pStyle w:val="11"/>
            </w:pPr>
            <w:r>
              <w:t>6742.76</w:t>
            </w:r>
          </w:p>
        </w:tc>
        <w:tc>
          <w:tcPr>
            <w:tcW w:w="758" w:type="dxa"/>
            <w:vAlign w:val="center"/>
          </w:tcPr>
          <w:p>
            <w:pPr>
              <w:pStyle w:val="11"/>
            </w:pPr>
            <w:r>
              <w:t>6742.76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21201</w:t>
            </w:r>
          </w:p>
        </w:tc>
        <w:tc>
          <w:tcPr>
            <w:tcW w:w="758" w:type="dxa"/>
            <w:vAlign w:val="center"/>
          </w:tcPr>
          <w:p>
            <w:pPr>
              <w:pStyle w:val="12"/>
            </w:pPr>
            <w:r>
              <w:t>城乡社区管理事务</w:t>
            </w:r>
          </w:p>
        </w:tc>
        <w:tc>
          <w:tcPr>
            <w:tcW w:w="758" w:type="dxa"/>
            <w:vAlign w:val="center"/>
          </w:tcPr>
          <w:p>
            <w:pPr>
              <w:pStyle w:val="11"/>
            </w:pPr>
            <w:r>
              <w:t>265.23</w:t>
            </w:r>
          </w:p>
        </w:tc>
        <w:tc>
          <w:tcPr>
            <w:tcW w:w="758" w:type="dxa"/>
            <w:vAlign w:val="center"/>
          </w:tcPr>
          <w:p>
            <w:pPr>
              <w:pStyle w:val="11"/>
            </w:pPr>
            <w:r>
              <w:t>265.23</w:t>
            </w:r>
          </w:p>
        </w:tc>
        <w:tc>
          <w:tcPr>
            <w:tcW w:w="758" w:type="dxa"/>
            <w:vAlign w:val="center"/>
          </w:tcPr>
          <w:p>
            <w:pPr>
              <w:pStyle w:val="11"/>
            </w:pPr>
            <w:r>
              <w:t>265.23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2120104</w:t>
            </w:r>
          </w:p>
        </w:tc>
        <w:tc>
          <w:tcPr>
            <w:tcW w:w="758" w:type="dxa"/>
            <w:vAlign w:val="center"/>
          </w:tcPr>
          <w:p>
            <w:pPr>
              <w:pStyle w:val="12"/>
            </w:pPr>
            <w:r>
              <w:t>城管执法</w:t>
            </w:r>
          </w:p>
        </w:tc>
        <w:tc>
          <w:tcPr>
            <w:tcW w:w="758" w:type="dxa"/>
            <w:vAlign w:val="center"/>
          </w:tcPr>
          <w:p>
            <w:pPr>
              <w:pStyle w:val="11"/>
            </w:pPr>
            <w:r>
              <w:t>265.23</w:t>
            </w:r>
          </w:p>
        </w:tc>
        <w:tc>
          <w:tcPr>
            <w:tcW w:w="758" w:type="dxa"/>
            <w:vAlign w:val="center"/>
          </w:tcPr>
          <w:p>
            <w:pPr>
              <w:pStyle w:val="11"/>
            </w:pPr>
            <w:r>
              <w:t>265.23</w:t>
            </w:r>
          </w:p>
        </w:tc>
        <w:tc>
          <w:tcPr>
            <w:tcW w:w="758" w:type="dxa"/>
            <w:vAlign w:val="center"/>
          </w:tcPr>
          <w:p>
            <w:pPr>
              <w:pStyle w:val="11"/>
            </w:pPr>
            <w:r>
              <w:t>265.23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21205</w:t>
            </w:r>
          </w:p>
        </w:tc>
        <w:tc>
          <w:tcPr>
            <w:tcW w:w="758" w:type="dxa"/>
            <w:vAlign w:val="center"/>
          </w:tcPr>
          <w:p>
            <w:pPr>
              <w:pStyle w:val="12"/>
            </w:pPr>
            <w:r>
              <w:t>城乡社区环境卫生</w:t>
            </w:r>
          </w:p>
        </w:tc>
        <w:tc>
          <w:tcPr>
            <w:tcW w:w="758" w:type="dxa"/>
            <w:vAlign w:val="center"/>
          </w:tcPr>
          <w:p>
            <w:pPr>
              <w:pStyle w:val="11"/>
            </w:pPr>
            <w:r>
              <w:t>3877.53</w:t>
            </w:r>
          </w:p>
        </w:tc>
        <w:tc>
          <w:tcPr>
            <w:tcW w:w="758" w:type="dxa"/>
            <w:vAlign w:val="center"/>
          </w:tcPr>
          <w:p>
            <w:pPr>
              <w:pStyle w:val="11"/>
            </w:pPr>
            <w:r>
              <w:t>3877.53</w:t>
            </w:r>
          </w:p>
        </w:tc>
        <w:tc>
          <w:tcPr>
            <w:tcW w:w="758" w:type="dxa"/>
            <w:vAlign w:val="center"/>
          </w:tcPr>
          <w:p>
            <w:pPr>
              <w:pStyle w:val="11"/>
            </w:pPr>
            <w:r>
              <w:t>3877.53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2120501</w:t>
            </w:r>
          </w:p>
        </w:tc>
        <w:tc>
          <w:tcPr>
            <w:tcW w:w="758" w:type="dxa"/>
            <w:vAlign w:val="center"/>
          </w:tcPr>
          <w:p>
            <w:pPr>
              <w:pStyle w:val="12"/>
            </w:pPr>
            <w:r>
              <w:t>城乡社区环境卫生</w:t>
            </w:r>
          </w:p>
        </w:tc>
        <w:tc>
          <w:tcPr>
            <w:tcW w:w="758" w:type="dxa"/>
            <w:vAlign w:val="center"/>
          </w:tcPr>
          <w:p>
            <w:pPr>
              <w:pStyle w:val="11"/>
            </w:pPr>
            <w:r>
              <w:t>3877.53</w:t>
            </w:r>
          </w:p>
        </w:tc>
        <w:tc>
          <w:tcPr>
            <w:tcW w:w="758" w:type="dxa"/>
            <w:vAlign w:val="center"/>
          </w:tcPr>
          <w:p>
            <w:pPr>
              <w:pStyle w:val="11"/>
            </w:pPr>
            <w:r>
              <w:t>3877.53</w:t>
            </w:r>
          </w:p>
        </w:tc>
        <w:tc>
          <w:tcPr>
            <w:tcW w:w="758" w:type="dxa"/>
            <w:vAlign w:val="center"/>
          </w:tcPr>
          <w:p>
            <w:pPr>
              <w:pStyle w:val="11"/>
            </w:pPr>
            <w:r>
              <w:t>3877.53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2"/>
            </w:pPr>
            <w:r>
              <w:t>21208</w:t>
            </w:r>
          </w:p>
        </w:tc>
        <w:tc>
          <w:tcPr>
            <w:tcW w:w="758" w:type="dxa"/>
            <w:vAlign w:val="center"/>
          </w:tcPr>
          <w:p>
            <w:pPr>
              <w:pStyle w:val="12"/>
            </w:pPr>
            <w:r>
              <w:t>国有土地使用权出让收入安排的支出</w:t>
            </w:r>
          </w:p>
        </w:tc>
        <w:tc>
          <w:tcPr>
            <w:tcW w:w="758" w:type="dxa"/>
            <w:vAlign w:val="center"/>
          </w:tcPr>
          <w:p>
            <w:pPr>
              <w:pStyle w:val="11"/>
            </w:pPr>
            <w:r>
              <w:t>2600.00</w:t>
            </w:r>
          </w:p>
        </w:tc>
        <w:tc>
          <w:tcPr>
            <w:tcW w:w="758" w:type="dxa"/>
            <w:vAlign w:val="center"/>
          </w:tcPr>
          <w:p>
            <w:pPr>
              <w:pStyle w:val="11"/>
            </w:pPr>
            <w:r>
              <w:t>2600.00</w:t>
            </w:r>
          </w:p>
        </w:tc>
        <w:tc>
          <w:tcPr>
            <w:tcW w:w="758" w:type="dxa"/>
            <w:vAlign w:val="center"/>
          </w:tcPr>
          <w:p>
            <w:pPr>
              <w:pStyle w:val="11"/>
            </w:pPr>
            <w:r>
              <w:t>2600.00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2"/>
            </w:pPr>
            <w:r>
              <w:t>2120899</w:t>
            </w:r>
          </w:p>
        </w:tc>
        <w:tc>
          <w:tcPr>
            <w:tcW w:w="758" w:type="dxa"/>
            <w:vAlign w:val="center"/>
          </w:tcPr>
          <w:p>
            <w:pPr>
              <w:pStyle w:val="12"/>
            </w:pPr>
            <w:r>
              <w:t>其他国有土地使用权出让收入安排的支出</w:t>
            </w:r>
          </w:p>
        </w:tc>
        <w:tc>
          <w:tcPr>
            <w:tcW w:w="758" w:type="dxa"/>
            <w:vAlign w:val="center"/>
          </w:tcPr>
          <w:p>
            <w:pPr>
              <w:pStyle w:val="11"/>
            </w:pPr>
            <w:r>
              <w:t>2600.00</w:t>
            </w:r>
          </w:p>
        </w:tc>
        <w:tc>
          <w:tcPr>
            <w:tcW w:w="758" w:type="dxa"/>
            <w:vAlign w:val="center"/>
          </w:tcPr>
          <w:p>
            <w:pPr>
              <w:pStyle w:val="11"/>
            </w:pPr>
            <w:r>
              <w:t>2600.00</w:t>
            </w:r>
          </w:p>
        </w:tc>
        <w:tc>
          <w:tcPr>
            <w:tcW w:w="758" w:type="dxa"/>
            <w:vAlign w:val="center"/>
          </w:tcPr>
          <w:p>
            <w:pPr>
              <w:pStyle w:val="11"/>
            </w:pPr>
            <w:r>
              <w:t>2600.00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17</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93.94</w:t>
            </w:r>
          </w:p>
        </w:tc>
        <w:tc>
          <w:tcPr>
            <w:tcW w:w="758" w:type="dxa"/>
            <w:vAlign w:val="center"/>
          </w:tcPr>
          <w:p>
            <w:pPr>
              <w:pStyle w:val="11"/>
            </w:pPr>
            <w:r>
              <w:t>93.94</w:t>
            </w:r>
          </w:p>
        </w:tc>
        <w:tc>
          <w:tcPr>
            <w:tcW w:w="758" w:type="dxa"/>
            <w:vAlign w:val="center"/>
          </w:tcPr>
          <w:p>
            <w:pPr>
              <w:pStyle w:val="11"/>
            </w:pPr>
            <w:r>
              <w:t>93.94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18</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93.94</w:t>
            </w:r>
          </w:p>
        </w:tc>
        <w:tc>
          <w:tcPr>
            <w:tcW w:w="758" w:type="dxa"/>
            <w:vAlign w:val="center"/>
          </w:tcPr>
          <w:p>
            <w:pPr>
              <w:pStyle w:val="11"/>
            </w:pPr>
            <w:r>
              <w:t>93.94</w:t>
            </w:r>
          </w:p>
        </w:tc>
        <w:tc>
          <w:tcPr>
            <w:tcW w:w="758" w:type="dxa"/>
            <w:vAlign w:val="center"/>
          </w:tcPr>
          <w:p>
            <w:pPr>
              <w:pStyle w:val="11"/>
            </w:pPr>
            <w:r>
              <w:t>93.94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19</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93.94</w:t>
            </w:r>
          </w:p>
        </w:tc>
        <w:tc>
          <w:tcPr>
            <w:tcW w:w="758" w:type="dxa"/>
            <w:vAlign w:val="center"/>
          </w:tcPr>
          <w:p>
            <w:pPr>
              <w:pStyle w:val="11"/>
            </w:pPr>
            <w:r>
              <w:t>93.94</w:t>
            </w:r>
          </w:p>
        </w:tc>
        <w:tc>
          <w:tcPr>
            <w:tcW w:w="758" w:type="dxa"/>
            <w:vAlign w:val="center"/>
          </w:tcPr>
          <w:p>
            <w:pPr>
              <w:pStyle w:val="11"/>
            </w:pPr>
            <w:r>
              <w:t>93.94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20</w:t>
            </w:r>
          </w:p>
        </w:tc>
        <w:tc>
          <w:tcPr>
            <w:tcW w:w="758" w:type="dxa"/>
            <w:vAlign w:val="center"/>
          </w:tcPr>
          <w:p>
            <w:pPr>
              <w:pStyle w:val="12"/>
            </w:pPr>
            <w:r>
              <w:t>229</w:t>
            </w:r>
          </w:p>
        </w:tc>
        <w:tc>
          <w:tcPr>
            <w:tcW w:w="758" w:type="dxa"/>
            <w:vAlign w:val="center"/>
          </w:tcPr>
          <w:p>
            <w:pPr>
              <w:pStyle w:val="12"/>
            </w:pPr>
            <w:r>
              <w:t>其他支出</w:t>
            </w:r>
          </w:p>
        </w:tc>
        <w:tc>
          <w:tcPr>
            <w:tcW w:w="758" w:type="dxa"/>
            <w:vAlign w:val="center"/>
          </w:tcPr>
          <w:p>
            <w:pPr>
              <w:pStyle w:val="11"/>
            </w:pPr>
            <w:r>
              <w:t>7880.00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21</w:t>
            </w:r>
          </w:p>
        </w:tc>
        <w:tc>
          <w:tcPr>
            <w:tcW w:w="758" w:type="dxa"/>
            <w:vAlign w:val="center"/>
          </w:tcPr>
          <w:p>
            <w:pPr>
              <w:pStyle w:val="12"/>
            </w:pPr>
            <w:r>
              <w:t>22904</w:t>
            </w:r>
          </w:p>
        </w:tc>
        <w:tc>
          <w:tcPr>
            <w:tcW w:w="758" w:type="dxa"/>
            <w:vAlign w:val="center"/>
          </w:tcPr>
          <w:p>
            <w:pPr>
              <w:pStyle w:val="12"/>
            </w:pPr>
            <w:r>
              <w:t>其他政府性基金及对应专项债务收入安排的支出</w:t>
            </w:r>
          </w:p>
        </w:tc>
        <w:tc>
          <w:tcPr>
            <w:tcW w:w="758" w:type="dxa"/>
            <w:vAlign w:val="center"/>
          </w:tcPr>
          <w:p>
            <w:pPr>
              <w:pStyle w:val="11"/>
            </w:pPr>
            <w:r>
              <w:t>7880.00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22</w:t>
            </w:r>
          </w:p>
        </w:tc>
        <w:tc>
          <w:tcPr>
            <w:tcW w:w="758" w:type="dxa"/>
            <w:vAlign w:val="center"/>
          </w:tcPr>
          <w:p>
            <w:pPr>
              <w:pStyle w:val="12"/>
            </w:pPr>
            <w:r>
              <w:t>2290402</w:t>
            </w:r>
          </w:p>
        </w:tc>
        <w:tc>
          <w:tcPr>
            <w:tcW w:w="758" w:type="dxa"/>
            <w:vAlign w:val="center"/>
          </w:tcPr>
          <w:p>
            <w:pPr>
              <w:pStyle w:val="12"/>
            </w:pPr>
            <w:r>
              <w:t>其他地方自行试点项目收益专项债券收入安排的支出</w:t>
            </w:r>
          </w:p>
        </w:tc>
        <w:tc>
          <w:tcPr>
            <w:tcW w:w="758" w:type="dxa"/>
            <w:vAlign w:val="center"/>
          </w:tcPr>
          <w:p>
            <w:pPr>
              <w:pStyle w:val="11"/>
            </w:pPr>
            <w:r>
              <w:t>7880.00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15103.63</w:t>
            </w:r>
          </w:p>
        </w:tc>
        <w:tc>
          <w:tcPr>
            <w:tcW w:w="1095" w:type="dxa"/>
            <w:vAlign w:val="center"/>
          </w:tcPr>
          <w:p>
            <w:pPr>
              <w:pStyle w:val="15"/>
            </w:pPr>
            <w:r>
              <w:t>2023.63</w:t>
            </w:r>
          </w:p>
        </w:tc>
        <w:tc>
          <w:tcPr>
            <w:tcW w:w="1095" w:type="dxa"/>
            <w:vAlign w:val="center"/>
          </w:tcPr>
          <w:p>
            <w:pPr>
              <w:pStyle w:val="15"/>
            </w:pPr>
            <w:r>
              <w:t>13080.00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276.27</w:t>
            </w:r>
          </w:p>
        </w:tc>
        <w:tc>
          <w:tcPr>
            <w:tcW w:w="1095" w:type="dxa"/>
            <w:vAlign w:val="center"/>
          </w:tcPr>
          <w:p>
            <w:pPr>
              <w:pStyle w:val="11"/>
            </w:pPr>
            <w:r>
              <w:t>276.27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276.27</w:t>
            </w:r>
          </w:p>
        </w:tc>
        <w:tc>
          <w:tcPr>
            <w:tcW w:w="1095" w:type="dxa"/>
            <w:vAlign w:val="center"/>
          </w:tcPr>
          <w:p>
            <w:pPr>
              <w:pStyle w:val="11"/>
            </w:pPr>
            <w:r>
              <w:t>276.27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187.87</w:t>
            </w:r>
          </w:p>
        </w:tc>
        <w:tc>
          <w:tcPr>
            <w:tcW w:w="1095" w:type="dxa"/>
            <w:vAlign w:val="center"/>
          </w:tcPr>
          <w:p>
            <w:pPr>
              <w:pStyle w:val="11"/>
            </w:pPr>
            <w:r>
              <w:t>187.87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2080506</w:t>
            </w:r>
          </w:p>
        </w:tc>
        <w:tc>
          <w:tcPr>
            <w:tcW w:w="1095" w:type="dxa"/>
            <w:vAlign w:val="center"/>
          </w:tcPr>
          <w:p>
            <w:pPr>
              <w:pStyle w:val="12"/>
            </w:pPr>
            <w:r>
              <w:t>机关事业单位职业年金缴费支出</w:t>
            </w:r>
          </w:p>
        </w:tc>
        <w:tc>
          <w:tcPr>
            <w:tcW w:w="1095" w:type="dxa"/>
            <w:vAlign w:val="center"/>
          </w:tcPr>
          <w:p>
            <w:pPr>
              <w:pStyle w:val="11"/>
            </w:pPr>
            <w:r>
              <w:t>88.40</w:t>
            </w:r>
          </w:p>
        </w:tc>
        <w:tc>
          <w:tcPr>
            <w:tcW w:w="1095" w:type="dxa"/>
            <w:vAlign w:val="center"/>
          </w:tcPr>
          <w:p>
            <w:pPr>
              <w:pStyle w:val="11"/>
            </w:pPr>
            <w:r>
              <w:t>88.40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110.66</w:t>
            </w:r>
          </w:p>
        </w:tc>
        <w:tc>
          <w:tcPr>
            <w:tcW w:w="1095" w:type="dxa"/>
            <w:vAlign w:val="center"/>
          </w:tcPr>
          <w:p>
            <w:pPr>
              <w:pStyle w:val="11"/>
            </w:pPr>
            <w:r>
              <w:t>110.66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110.66</w:t>
            </w:r>
          </w:p>
        </w:tc>
        <w:tc>
          <w:tcPr>
            <w:tcW w:w="1095" w:type="dxa"/>
            <w:vAlign w:val="center"/>
          </w:tcPr>
          <w:p>
            <w:pPr>
              <w:pStyle w:val="11"/>
            </w:pPr>
            <w:r>
              <w:t>110.66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5.17</w:t>
            </w:r>
          </w:p>
        </w:tc>
        <w:tc>
          <w:tcPr>
            <w:tcW w:w="1095" w:type="dxa"/>
            <w:vAlign w:val="center"/>
          </w:tcPr>
          <w:p>
            <w:pPr>
              <w:pStyle w:val="11"/>
            </w:pPr>
            <w:r>
              <w:t>5.17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105.49</w:t>
            </w:r>
          </w:p>
        </w:tc>
        <w:tc>
          <w:tcPr>
            <w:tcW w:w="1095" w:type="dxa"/>
            <w:vAlign w:val="center"/>
          </w:tcPr>
          <w:p>
            <w:pPr>
              <w:pStyle w:val="11"/>
            </w:pPr>
            <w:r>
              <w:t>105.49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212</w:t>
            </w:r>
          </w:p>
        </w:tc>
        <w:tc>
          <w:tcPr>
            <w:tcW w:w="1095" w:type="dxa"/>
            <w:vAlign w:val="center"/>
          </w:tcPr>
          <w:p>
            <w:pPr>
              <w:pStyle w:val="12"/>
            </w:pPr>
            <w:r>
              <w:t>城乡社区支出</w:t>
            </w:r>
          </w:p>
        </w:tc>
        <w:tc>
          <w:tcPr>
            <w:tcW w:w="1095" w:type="dxa"/>
            <w:vAlign w:val="center"/>
          </w:tcPr>
          <w:p>
            <w:pPr>
              <w:pStyle w:val="11"/>
            </w:pPr>
            <w:r>
              <w:t>6742.76</w:t>
            </w:r>
          </w:p>
        </w:tc>
        <w:tc>
          <w:tcPr>
            <w:tcW w:w="1095" w:type="dxa"/>
            <w:vAlign w:val="center"/>
          </w:tcPr>
          <w:p>
            <w:pPr>
              <w:pStyle w:val="11"/>
            </w:pPr>
            <w:r>
              <w:t>1542.76</w:t>
            </w:r>
          </w:p>
        </w:tc>
        <w:tc>
          <w:tcPr>
            <w:tcW w:w="1095" w:type="dxa"/>
            <w:vAlign w:val="center"/>
          </w:tcPr>
          <w:p>
            <w:pPr>
              <w:pStyle w:val="11"/>
            </w:pPr>
            <w:r>
              <w:t>5200.00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21201</w:t>
            </w:r>
          </w:p>
        </w:tc>
        <w:tc>
          <w:tcPr>
            <w:tcW w:w="1095" w:type="dxa"/>
            <w:vAlign w:val="center"/>
          </w:tcPr>
          <w:p>
            <w:pPr>
              <w:pStyle w:val="12"/>
            </w:pPr>
            <w:r>
              <w:t>城乡社区管理事务</w:t>
            </w:r>
          </w:p>
        </w:tc>
        <w:tc>
          <w:tcPr>
            <w:tcW w:w="1095" w:type="dxa"/>
            <w:vAlign w:val="center"/>
          </w:tcPr>
          <w:p>
            <w:pPr>
              <w:pStyle w:val="11"/>
            </w:pPr>
            <w:r>
              <w:t>265.23</w:t>
            </w:r>
          </w:p>
        </w:tc>
        <w:tc>
          <w:tcPr>
            <w:tcW w:w="1095" w:type="dxa"/>
            <w:vAlign w:val="center"/>
          </w:tcPr>
          <w:p>
            <w:pPr>
              <w:pStyle w:val="11"/>
            </w:pPr>
            <w:r>
              <w:t>265.23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2120104</w:t>
            </w:r>
          </w:p>
        </w:tc>
        <w:tc>
          <w:tcPr>
            <w:tcW w:w="1095" w:type="dxa"/>
            <w:vAlign w:val="center"/>
          </w:tcPr>
          <w:p>
            <w:pPr>
              <w:pStyle w:val="12"/>
            </w:pPr>
            <w:r>
              <w:t>城管执法</w:t>
            </w:r>
          </w:p>
        </w:tc>
        <w:tc>
          <w:tcPr>
            <w:tcW w:w="1095" w:type="dxa"/>
            <w:vAlign w:val="center"/>
          </w:tcPr>
          <w:p>
            <w:pPr>
              <w:pStyle w:val="11"/>
            </w:pPr>
            <w:r>
              <w:t>265.23</w:t>
            </w:r>
          </w:p>
        </w:tc>
        <w:tc>
          <w:tcPr>
            <w:tcW w:w="1095" w:type="dxa"/>
            <w:vAlign w:val="center"/>
          </w:tcPr>
          <w:p>
            <w:pPr>
              <w:pStyle w:val="11"/>
            </w:pPr>
            <w:r>
              <w:t>265.23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21205</w:t>
            </w:r>
          </w:p>
        </w:tc>
        <w:tc>
          <w:tcPr>
            <w:tcW w:w="1095" w:type="dxa"/>
            <w:vAlign w:val="center"/>
          </w:tcPr>
          <w:p>
            <w:pPr>
              <w:pStyle w:val="12"/>
            </w:pPr>
            <w:r>
              <w:t>城乡社区环境卫生</w:t>
            </w:r>
          </w:p>
        </w:tc>
        <w:tc>
          <w:tcPr>
            <w:tcW w:w="1095" w:type="dxa"/>
            <w:vAlign w:val="center"/>
          </w:tcPr>
          <w:p>
            <w:pPr>
              <w:pStyle w:val="11"/>
            </w:pPr>
            <w:r>
              <w:t>3877.53</w:t>
            </w:r>
          </w:p>
        </w:tc>
        <w:tc>
          <w:tcPr>
            <w:tcW w:w="1095" w:type="dxa"/>
            <w:vAlign w:val="center"/>
          </w:tcPr>
          <w:p>
            <w:pPr>
              <w:pStyle w:val="11"/>
            </w:pPr>
            <w:r>
              <w:t>1277.53</w:t>
            </w:r>
          </w:p>
        </w:tc>
        <w:tc>
          <w:tcPr>
            <w:tcW w:w="1095" w:type="dxa"/>
            <w:vAlign w:val="center"/>
          </w:tcPr>
          <w:p>
            <w:pPr>
              <w:pStyle w:val="11"/>
            </w:pPr>
            <w:r>
              <w:t>2600.00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2120501</w:t>
            </w:r>
          </w:p>
        </w:tc>
        <w:tc>
          <w:tcPr>
            <w:tcW w:w="1095" w:type="dxa"/>
            <w:vAlign w:val="center"/>
          </w:tcPr>
          <w:p>
            <w:pPr>
              <w:pStyle w:val="12"/>
            </w:pPr>
            <w:r>
              <w:t>城乡社区环境卫生</w:t>
            </w:r>
          </w:p>
        </w:tc>
        <w:tc>
          <w:tcPr>
            <w:tcW w:w="1095" w:type="dxa"/>
            <w:vAlign w:val="center"/>
          </w:tcPr>
          <w:p>
            <w:pPr>
              <w:pStyle w:val="11"/>
            </w:pPr>
            <w:r>
              <w:t>3877.53</w:t>
            </w:r>
          </w:p>
        </w:tc>
        <w:tc>
          <w:tcPr>
            <w:tcW w:w="1095" w:type="dxa"/>
            <w:vAlign w:val="center"/>
          </w:tcPr>
          <w:p>
            <w:pPr>
              <w:pStyle w:val="11"/>
            </w:pPr>
            <w:r>
              <w:t>1277.53</w:t>
            </w:r>
          </w:p>
        </w:tc>
        <w:tc>
          <w:tcPr>
            <w:tcW w:w="1095" w:type="dxa"/>
            <w:vAlign w:val="center"/>
          </w:tcPr>
          <w:p>
            <w:pPr>
              <w:pStyle w:val="11"/>
            </w:pPr>
            <w:r>
              <w:t>2600.00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2"/>
            </w:pPr>
            <w:r>
              <w:t>21208</w:t>
            </w:r>
          </w:p>
        </w:tc>
        <w:tc>
          <w:tcPr>
            <w:tcW w:w="1095" w:type="dxa"/>
            <w:vAlign w:val="center"/>
          </w:tcPr>
          <w:p>
            <w:pPr>
              <w:pStyle w:val="12"/>
            </w:pPr>
            <w:r>
              <w:t>国有土地使用权出让收入安排的支出</w:t>
            </w:r>
          </w:p>
        </w:tc>
        <w:tc>
          <w:tcPr>
            <w:tcW w:w="1095" w:type="dxa"/>
            <w:vAlign w:val="center"/>
          </w:tcPr>
          <w:p>
            <w:pPr>
              <w:pStyle w:val="11"/>
            </w:pPr>
            <w:r>
              <w:t>2600.00</w:t>
            </w:r>
          </w:p>
        </w:tc>
        <w:tc>
          <w:tcPr>
            <w:tcW w:w="1095" w:type="dxa"/>
            <w:vAlign w:val="center"/>
          </w:tcPr>
          <w:p>
            <w:pPr>
              <w:pStyle w:val="11"/>
            </w:pPr>
          </w:p>
        </w:tc>
        <w:tc>
          <w:tcPr>
            <w:tcW w:w="1095" w:type="dxa"/>
            <w:vAlign w:val="center"/>
          </w:tcPr>
          <w:p>
            <w:pPr>
              <w:pStyle w:val="11"/>
            </w:pPr>
            <w:r>
              <w:t>2600.00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2"/>
            </w:pPr>
            <w:r>
              <w:t>2120899</w:t>
            </w:r>
          </w:p>
        </w:tc>
        <w:tc>
          <w:tcPr>
            <w:tcW w:w="1095" w:type="dxa"/>
            <w:vAlign w:val="center"/>
          </w:tcPr>
          <w:p>
            <w:pPr>
              <w:pStyle w:val="12"/>
            </w:pPr>
            <w:r>
              <w:t>其他国有土地使用权出让收入安排的支出</w:t>
            </w:r>
          </w:p>
        </w:tc>
        <w:tc>
          <w:tcPr>
            <w:tcW w:w="1095" w:type="dxa"/>
            <w:vAlign w:val="center"/>
          </w:tcPr>
          <w:p>
            <w:pPr>
              <w:pStyle w:val="11"/>
            </w:pPr>
            <w:r>
              <w:t>2600.00</w:t>
            </w:r>
          </w:p>
        </w:tc>
        <w:tc>
          <w:tcPr>
            <w:tcW w:w="1095" w:type="dxa"/>
            <w:vAlign w:val="center"/>
          </w:tcPr>
          <w:p>
            <w:pPr>
              <w:pStyle w:val="11"/>
            </w:pPr>
          </w:p>
        </w:tc>
        <w:tc>
          <w:tcPr>
            <w:tcW w:w="1095" w:type="dxa"/>
            <w:vAlign w:val="center"/>
          </w:tcPr>
          <w:p>
            <w:pPr>
              <w:pStyle w:val="11"/>
            </w:pPr>
            <w:r>
              <w:t>2600.00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17</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93.94</w:t>
            </w:r>
          </w:p>
        </w:tc>
        <w:tc>
          <w:tcPr>
            <w:tcW w:w="1095" w:type="dxa"/>
            <w:vAlign w:val="center"/>
          </w:tcPr>
          <w:p>
            <w:pPr>
              <w:pStyle w:val="11"/>
            </w:pPr>
            <w:r>
              <w:t>93.94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18</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93.94</w:t>
            </w:r>
          </w:p>
        </w:tc>
        <w:tc>
          <w:tcPr>
            <w:tcW w:w="1095" w:type="dxa"/>
            <w:vAlign w:val="center"/>
          </w:tcPr>
          <w:p>
            <w:pPr>
              <w:pStyle w:val="11"/>
            </w:pPr>
            <w:r>
              <w:t>93.94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19</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93.94</w:t>
            </w:r>
          </w:p>
        </w:tc>
        <w:tc>
          <w:tcPr>
            <w:tcW w:w="1095" w:type="dxa"/>
            <w:vAlign w:val="center"/>
          </w:tcPr>
          <w:p>
            <w:pPr>
              <w:pStyle w:val="11"/>
            </w:pPr>
            <w:r>
              <w:t>93.94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20</w:t>
            </w:r>
          </w:p>
        </w:tc>
        <w:tc>
          <w:tcPr>
            <w:tcW w:w="1095" w:type="dxa"/>
            <w:vAlign w:val="center"/>
          </w:tcPr>
          <w:p>
            <w:pPr>
              <w:pStyle w:val="12"/>
            </w:pPr>
            <w:r>
              <w:t>229</w:t>
            </w:r>
          </w:p>
        </w:tc>
        <w:tc>
          <w:tcPr>
            <w:tcW w:w="1095" w:type="dxa"/>
            <w:vAlign w:val="center"/>
          </w:tcPr>
          <w:p>
            <w:pPr>
              <w:pStyle w:val="12"/>
            </w:pPr>
            <w:r>
              <w:t>其他支出</w:t>
            </w:r>
          </w:p>
        </w:tc>
        <w:tc>
          <w:tcPr>
            <w:tcW w:w="1095" w:type="dxa"/>
            <w:vAlign w:val="center"/>
          </w:tcPr>
          <w:p>
            <w:pPr>
              <w:pStyle w:val="11"/>
            </w:pPr>
            <w:r>
              <w:t>7880.00</w:t>
            </w:r>
          </w:p>
        </w:tc>
        <w:tc>
          <w:tcPr>
            <w:tcW w:w="1095" w:type="dxa"/>
            <w:vAlign w:val="center"/>
          </w:tcPr>
          <w:p>
            <w:pPr>
              <w:pStyle w:val="11"/>
            </w:pPr>
          </w:p>
        </w:tc>
        <w:tc>
          <w:tcPr>
            <w:tcW w:w="1095" w:type="dxa"/>
            <w:vAlign w:val="center"/>
          </w:tcPr>
          <w:p>
            <w:pPr>
              <w:pStyle w:val="11"/>
            </w:pPr>
            <w:r>
              <w:t>7880.00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21</w:t>
            </w:r>
          </w:p>
        </w:tc>
        <w:tc>
          <w:tcPr>
            <w:tcW w:w="1095" w:type="dxa"/>
            <w:vAlign w:val="center"/>
          </w:tcPr>
          <w:p>
            <w:pPr>
              <w:pStyle w:val="12"/>
            </w:pPr>
            <w:r>
              <w:t>22904</w:t>
            </w:r>
          </w:p>
        </w:tc>
        <w:tc>
          <w:tcPr>
            <w:tcW w:w="1095" w:type="dxa"/>
            <w:vAlign w:val="center"/>
          </w:tcPr>
          <w:p>
            <w:pPr>
              <w:pStyle w:val="12"/>
            </w:pPr>
            <w:r>
              <w:t>其他政府性基金及对应专项债务收入安排的支出</w:t>
            </w:r>
          </w:p>
        </w:tc>
        <w:tc>
          <w:tcPr>
            <w:tcW w:w="1095" w:type="dxa"/>
            <w:vAlign w:val="center"/>
          </w:tcPr>
          <w:p>
            <w:pPr>
              <w:pStyle w:val="11"/>
            </w:pPr>
            <w:r>
              <w:t>7880.00</w:t>
            </w:r>
          </w:p>
        </w:tc>
        <w:tc>
          <w:tcPr>
            <w:tcW w:w="1095" w:type="dxa"/>
            <w:vAlign w:val="center"/>
          </w:tcPr>
          <w:p>
            <w:pPr>
              <w:pStyle w:val="11"/>
            </w:pPr>
          </w:p>
        </w:tc>
        <w:tc>
          <w:tcPr>
            <w:tcW w:w="1095" w:type="dxa"/>
            <w:vAlign w:val="center"/>
          </w:tcPr>
          <w:p>
            <w:pPr>
              <w:pStyle w:val="11"/>
            </w:pPr>
            <w:r>
              <w:t>7880.00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22</w:t>
            </w:r>
          </w:p>
        </w:tc>
        <w:tc>
          <w:tcPr>
            <w:tcW w:w="1095" w:type="dxa"/>
            <w:vAlign w:val="center"/>
          </w:tcPr>
          <w:p>
            <w:pPr>
              <w:pStyle w:val="12"/>
            </w:pPr>
            <w:r>
              <w:t>2290402</w:t>
            </w:r>
          </w:p>
        </w:tc>
        <w:tc>
          <w:tcPr>
            <w:tcW w:w="1095" w:type="dxa"/>
            <w:vAlign w:val="center"/>
          </w:tcPr>
          <w:p>
            <w:pPr>
              <w:pStyle w:val="12"/>
            </w:pPr>
            <w:r>
              <w:t>其他地方自行试点项目收益专项债券收入安排的支出</w:t>
            </w:r>
          </w:p>
        </w:tc>
        <w:tc>
          <w:tcPr>
            <w:tcW w:w="1095" w:type="dxa"/>
            <w:vAlign w:val="center"/>
          </w:tcPr>
          <w:p>
            <w:pPr>
              <w:pStyle w:val="11"/>
            </w:pPr>
            <w:r>
              <w:t>7880.00</w:t>
            </w:r>
          </w:p>
        </w:tc>
        <w:tc>
          <w:tcPr>
            <w:tcW w:w="1095" w:type="dxa"/>
            <w:vAlign w:val="center"/>
          </w:tcPr>
          <w:p>
            <w:pPr>
              <w:pStyle w:val="11"/>
            </w:pPr>
          </w:p>
        </w:tc>
        <w:tc>
          <w:tcPr>
            <w:tcW w:w="1095" w:type="dxa"/>
            <w:vAlign w:val="center"/>
          </w:tcPr>
          <w:p>
            <w:pPr>
              <w:pStyle w:val="11"/>
            </w:pPr>
            <w:r>
              <w:t>7880.00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4623.63</w:t>
            </w:r>
          </w:p>
        </w:tc>
        <w:tc>
          <w:tcPr>
            <w:tcW w:w="123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r>
              <w:t>2600.00</w:t>
            </w: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276.27</w:t>
            </w:r>
          </w:p>
        </w:tc>
        <w:tc>
          <w:tcPr>
            <w:tcW w:w="1232" w:type="dxa"/>
            <w:vAlign w:val="center"/>
          </w:tcPr>
          <w:p>
            <w:pPr>
              <w:pStyle w:val="11"/>
            </w:pPr>
            <w:r>
              <w:t>276.27</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110.66</w:t>
            </w:r>
          </w:p>
        </w:tc>
        <w:tc>
          <w:tcPr>
            <w:tcW w:w="1232" w:type="dxa"/>
            <w:vAlign w:val="center"/>
          </w:tcPr>
          <w:p>
            <w:pPr>
              <w:pStyle w:val="11"/>
            </w:pPr>
            <w:r>
              <w:t>110.66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r>
              <w:t>6742.76</w:t>
            </w:r>
          </w:p>
        </w:tc>
        <w:tc>
          <w:tcPr>
            <w:tcW w:w="1232" w:type="dxa"/>
            <w:vAlign w:val="center"/>
          </w:tcPr>
          <w:p>
            <w:pPr>
              <w:pStyle w:val="11"/>
            </w:pPr>
            <w:r>
              <w:t>4142.76</w:t>
            </w:r>
          </w:p>
        </w:tc>
        <w:tc>
          <w:tcPr>
            <w:tcW w:w="1232" w:type="dxa"/>
            <w:vAlign w:val="center"/>
          </w:tcPr>
          <w:p>
            <w:pPr>
              <w:pStyle w:val="11"/>
            </w:pPr>
            <w:r>
              <w:t>2600.00</w:t>
            </w: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93.94</w:t>
            </w:r>
          </w:p>
        </w:tc>
        <w:tc>
          <w:tcPr>
            <w:tcW w:w="1232" w:type="dxa"/>
            <w:vAlign w:val="center"/>
          </w:tcPr>
          <w:p>
            <w:pPr>
              <w:pStyle w:val="11"/>
            </w:pPr>
            <w:r>
              <w:t>93.94</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r>
              <w:t>7880.00</w:t>
            </w:r>
          </w:p>
        </w:tc>
        <w:tc>
          <w:tcPr>
            <w:tcW w:w="1232" w:type="dxa"/>
            <w:vAlign w:val="center"/>
          </w:tcPr>
          <w:p>
            <w:pPr>
              <w:pStyle w:val="11"/>
            </w:pPr>
          </w:p>
        </w:tc>
        <w:tc>
          <w:tcPr>
            <w:tcW w:w="1232" w:type="dxa"/>
            <w:vAlign w:val="center"/>
          </w:tcPr>
          <w:p>
            <w:pPr>
              <w:pStyle w:val="11"/>
            </w:pPr>
            <w:r>
              <w:t>7880.00</w:t>
            </w: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7223.63</w:t>
            </w:r>
          </w:p>
        </w:tc>
        <w:tc>
          <w:tcPr>
            <w:tcW w:w="1232" w:type="dxa"/>
            <w:vAlign w:val="center"/>
          </w:tcPr>
          <w:p>
            <w:pPr>
              <w:pStyle w:val="14"/>
            </w:pPr>
            <w:r>
              <w:t>本年支出合计</w:t>
            </w:r>
          </w:p>
        </w:tc>
        <w:tc>
          <w:tcPr>
            <w:tcW w:w="1232" w:type="dxa"/>
            <w:vAlign w:val="center"/>
          </w:tcPr>
          <w:p>
            <w:pPr>
              <w:pStyle w:val="15"/>
            </w:pPr>
            <w:r>
              <w:t>15103.63</w:t>
            </w:r>
          </w:p>
        </w:tc>
        <w:tc>
          <w:tcPr>
            <w:tcW w:w="1232" w:type="dxa"/>
            <w:vAlign w:val="center"/>
          </w:tcPr>
          <w:p>
            <w:pPr>
              <w:pStyle w:val="15"/>
            </w:pPr>
            <w:r>
              <w:t>4623.63</w:t>
            </w:r>
          </w:p>
        </w:tc>
        <w:tc>
          <w:tcPr>
            <w:tcW w:w="1232" w:type="dxa"/>
            <w:vAlign w:val="center"/>
          </w:tcPr>
          <w:p>
            <w:pPr>
              <w:pStyle w:val="15"/>
            </w:pPr>
            <w:r>
              <w:t>10480.00</w:t>
            </w: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r>
              <w:t>7880.00</w:t>
            </w: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r>
              <w:t>7880.00</w:t>
            </w: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15103.63</w:t>
            </w:r>
          </w:p>
        </w:tc>
        <w:tc>
          <w:tcPr>
            <w:tcW w:w="1232" w:type="dxa"/>
            <w:vAlign w:val="center"/>
          </w:tcPr>
          <w:p>
            <w:pPr>
              <w:pStyle w:val="14"/>
            </w:pPr>
            <w:r>
              <w:t>支出总计</w:t>
            </w:r>
          </w:p>
        </w:tc>
        <w:tc>
          <w:tcPr>
            <w:tcW w:w="1232" w:type="dxa"/>
            <w:vAlign w:val="center"/>
          </w:tcPr>
          <w:p>
            <w:pPr>
              <w:pStyle w:val="15"/>
            </w:pPr>
            <w:r>
              <w:t>15103.63</w:t>
            </w:r>
          </w:p>
        </w:tc>
        <w:tc>
          <w:tcPr>
            <w:tcW w:w="1232" w:type="dxa"/>
            <w:vAlign w:val="center"/>
          </w:tcPr>
          <w:p>
            <w:pPr>
              <w:pStyle w:val="15"/>
            </w:pPr>
            <w:r>
              <w:t>4623.63</w:t>
            </w:r>
          </w:p>
        </w:tc>
        <w:tc>
          <w:tcPr>
            <w:tcW w:w="1232" w:type="dxa"/>
            <w:vAlign w:val="center"/>
          </w:tcPr>
          <w:p>
            <w:pPr>
              <w:pStyle w:val="15"/>
            </w:pPr>
            <w:r>
              <w:t>10480.00</w:t>
            </w: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4623.63</w:t>
            </w:r>
          </w:p>
        </w:tc>
        <w:tc>
          <w:tcPr>
            <w:tcW w:w="1643" w:type="dxa"/>
            <w:vAlign w:val="center"/>
          </w:tcPr>
          <w:p>
            <w:pPr>
              <w:pStyle w:val="15"/>
            </w:pPr>
            <w:r>
              <w:t>2023.63</w:t>
            </w:r>
          </w:p>
        </w:tc>
        <w:tc>
          <w:tcPr>
            <w:tcW w:w="1643" w:type="dxa"/>
            <w:vAlign w:val="center"/>
          </w:tcPr>
          <w:p>
            <w:pPr>
              <w:pStyle w:val="15"/>
            </w:pPr>
            <w:r>
              <w:t>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276.27</w:t>
            </w:r>
          </w:p>
        </w:tc>
        <w:tc>
          <w:tcPr>
            <w:tcW w:w="1643" w:type="dxa"/>
            <w:vAlign w:val="center"/>
          </w:tcPr>
          <w:p>
            <w:pPr>
              <w:pStyle w:val="11"/>
            </w:pPr>
            <w:r>
              <w:t>276.27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276.27</w:t>
            </w:r>
          </w:p>
        </w:tc>
        <w:tc>
          <w:tcPr>
            <w:tcW w:w="1643" w:type="dxa"/>
            <w:vAlign w:val="center"/>
          </w:tcPr>
          <w:p>
            <w:pPr>
              <w:pStyle w:val="11"/>
            </w:pPr>
            <w:r>
              <w:t>276.27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187.87</w:t>
            </w:r>
          </w:p>
        </w:tc>
        <w:tc>
          <w:tcPr>
            <w:tcW w:w="1643" w:type="dxa"/>
            <w:vAlign w:val="center"/>
          </w:tcPr>
          <w:p>
            <w:pPr>
              <w:pStyle w:val="11"/>
            </w:pPr>
            <w:r>
              <w:t>187.87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2080506</w:t>
            </w:r>
          </w:p>
        </w:tc>
        <w:tc>
          <w:tcPr>
            <w:tcW w:w="1643" w:type="dxa"/>
            <w:vAlign w:val="center"/>
          </w:tcPr>
          <w:p>
            <w:pPr>
              <w:pStyle w:val="12"/>
            </w:pPr>
            <w:r>
              <w:t>机关事业单位职业年金缴费支出</w:t>
            </w:r>
          </w:p>
        </w:tc>
        <w:tc>
          <w:tcPr>
            <w:tcW w:w="1643" w:type="dxa"/>
            <w:vAlign w:val="center"/>
          </w:tcPr>
          <w:p>
            <w:pPr>
              <w:pStyle w:val="11"/>
            </w:pPr>
            <w:r>
              <w:t>88.40</w:t>
            </w:r>
          </w:p>
        </w:tc>
        <w:tc>
          <w:tcPr>
            <w:tcW w:w="1643" w:type="dxa"/>
            <w:vAlign w:val="center"/>
          </w:tcPr>
          <w:p>
            <w:pPr>
              <w:pStyle w:val="11"/>
            </w:pPr>
            <w:r>
              <w:t>88.40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110.66</w:t>
            </w:r>
          </w:p>
        </w:tc>
        <w:tc>
          <w:tcPr>
            <w:tcW w:w="1643" w:type="dxa"/>
            <w:vAlign w:val="center"/>
          </w:tcPr>
          <w:p>
            <w:pPr>
              <w:pStyle w:val="11"/>
            </w:pPr>
            <w:r>
              <w:t>110.66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110.66</w:t>
            </w:r>
          </w:p>
        </w:tc>
        <w:tc>
          <w:tcPr>
            <w:tcW w:w="1643" w:type="dxa"/>
            <w:vAlign w:val="center"/>
          </w:tcPr>
          <w:p>
            <w:pPr>
              <w:pStyle w:val="11"/>
            </w:pPr>
            <w:r>
              <w:t>110.66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5.17</w:t>
            </w:r>
          </w:p>
        </w:tc>
        <w:tc>
          <w:tcPr>
            <w:tcW w:w="1643" w:type="dxa"/>
            <w:vAlign w:val="center"/>
          </w:tcPr>
          <w:p>
            <w:pPr>
              <w:pStyle w:val="11"/>
            </w:pPr>
            <w:r>
              <w:t>5.17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105.49</w:t>
            </w:r>
          </w:p>
        </w:tc>
        <w:tc>
          <w:tcPr>
            <w:tcW w:w="1643" w:type="dxa"/>
            <w:vAlign w:val="center"/>
          </w:tcPr>
          <w:p>
            <w:pPr>
              <w:pStyle w:val="11"/>
            </w:pPr>
            <w:r>
              <w:t>105.49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212</w:t>
            </w:r>
          </w:p>
        </w:tc>
        <w:tc>
          <w:tcPr>
            <w:tcW w:w="1643" w:type="dxa"/>
            <w:vAlign w:val="center"/>
          </w:tcPr>
          <w:p>
            <w:pPr>
              <w:pStyle w:val="12"/>
            </w:pPr>
            <w:r>
              <w:t>城乡社区支出</w:t>
            </w:r>
          </w:p>
        </w:tc>
        <w:tc>
          <w:tcPr>
            <w:tcW w:w="1643" w:type="dxa"/>
            <w:vAlign w:val="center"/>
          </w:tcPr>
          <w:p>
            <w:pPr>
              <w:pStyle w:val="11"/>
            </w:pPr>
            <w:r>
              <w:t>4142.76</w:t>
            </w:r>
          </w:p>
        </w:tc>
        <w:tc>
          <w:tcPr>
            <w:tcW w:w="1643" w:type="dxa"/>
            <w:vAlign w:val="center"/>
          </w:tcPr>
          <w:p>
            <w:pPr>
              <w:pStyle w:val="11"/>
            </w:pPr>
            <w:r>
              <w:t>1542.76</w:t>
            </w:r>
          </w:p>
        </w:tc>
        <w:tc>
          <w:tcPr>
            <w:tcW w:w="1643" w:type="dxa"/>
            <w:vAlign w:val="center"/>
          </w:tcPr>
          <w:p>
            <w:pPr>
              <w:pStyle w:val="11"/>
            </w:pPr>
            <w:r>
              <w:t>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21201</w:t>
            </w:r>
          </w:p>
        </w:tc>
        <w:tc>
          <w:tcPr>
            <w:tcW w:w="1643" w:type="dxa"/>
            <w:vAlign w:val="center"/>
          </w:tcPr>
          <w:p>
            <w:pPr>
              <w:pStyle w:val="12"/>
            </w:pPr>
            <w:r>
              <w:t>城乡社区管理事务</w:t>
            </w:r>
          </w:p>
        </w:tc>
        <w:tc>
          <w:tcPr>
            <w:tcW w:w="1643" w:type="dxa"/>
            <w:vAlign w:val="center"/>
          </w:tcPr>
          <w:p>
            <w:pPr>
              <w:pStyle w:val="11"/>
            </w:pPr>
            <w:r>
              <w:t>265.23</w:t>
            </w:r>
          </w:p>
        </w:tc>
        <w:tc>
          <w:tcPr>
            <w:tcW w:w="1643" w:type="dxa"/>
            <w:vAlign w:val="center"/>
          </w:tcPr>
          <w:p>
            <w:pPr>
              <w:pStyle w:val="11"/>
            </w:pPr>
            <w:r>
              <w:t>265.23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2120104</w:t>
            </w:r>
          </w:p>
        </w:tc>
        <w:tc>
          <w:tcPr>
            <w:tcW w:w="1643" w:type="dxa"/>
            <w:vAlign w:val="center"/>
          </w:tcPr>
          <w:p>
            <w:pPr>
              <w:pStyle w:val="12"/>
            </w:pPr>
            <w:r>
              <w:t>城管执法</w:t>
            </w:r>
          </w:p>
        </w:tc>
        <w:tc>
          <w:tcPr>
            <w:tcW w:w="1643" w:type="dxa"/>
            <w:vAlign w:val="center"/>
          </w:tcPr>
          <w:p>
            <w:pPr>
              <w:pStyle w:val="11"/>
            </w:pPr>
            <w:r>
              <w:t>265.23</w:t>
            </w:r>
          </w:p>
        </w:tc>
        <w:tc>
          <w:tcPr>
            <w:tcW w:w="1643" w:type="dxa"/>
            <w:vAlign w:val="center"/>
          </w:tcPr>
          <w:p>
            <w:pPr>
              <w:pStyle w:val="11"/>
            </w:pPr>
            <w:r>
              <w:t>265.23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21205</w:t>
            </w:r>
          </w:p>
        </w:tc>
        <w:tc>
          <w:tcPr>
            <w:tcW w:w="1643" w:type="dxa"/>
            <w:vAlign w:val="center"/>
          </w:tcPr>
          <w:p>
            <w:pPr>
              <w:pStyle w:val="12"/>
            </w:pPr>
            <w:r>
              <w:t>城乡社区环境卫生</w:t>
            </w:r>
          </w:p>
        </w:tc>
        <w:tc>
          <w:tcPr>
            <w:tcW w:w="1643" w:type="dxa"/>
            <w:vAlign w:val="center"/>
          </w:tcPr>
          <w:p>
            <w:pPr>
              <w:pStyle w:val="11"/>
            </w:pPr>
            <w:r>
              <w:t>3877.53</w:t>
            </w:r>
          </w:p>
        </w:tc>
        <w:tc>
          <w:tcPr>
            <w:tcW w:w="1643" w:type="dxa"/>
            <w:vAlign w:val="center"/>
          </w:tcPr>
          <w:p>
            <w:pPr>
              <w:pStyle w:val="11"/>
            </w:pPr>
            <w:r>
              <w:t>1277.53</w:t>
            </w:r>
          </w:p>
        </w:tc>
        <w:tc>
          <w:tcPr>
            <w:tcW w:w="1643" w:type="dxa"/>
            <w:vAlign w:val="center"/>
          </w:tcPr>
          <w:p>
            <w:pPr>
              <w:pStyle w:val="11"/>
            </w:pPr>
            <w:r>
              <w:t>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2120501</w:t>
            </w:r>
          </w:p>
        </w:tc>
        <w:tc>
          <w:tcPr>
            <w:tcW w:w="1643" w:type="dxa"/>
            <w:vAlign w:val="center"/>
          </w:tcPr>
          <w:p>
            <w:pPr>
              <w:pStyle w:val="12"/>
            </w:pPr>
            <w:r>
              <w:t>城乡社区环境卫生</w:t>
            </w:r>
          </w:p>
        </w:tc>
        <w:tc>
          <w:tcPr>
            <w:tcW w:w="1643" w:type="dxa"/>
            <w:vAlign w:val="center"/>
          </w:tcPr>
          <w:p>
            <w:pPr>
              <w:pStyle w:val="11"/>
            </w:pPr>
            <w:r>
              <w:t>3877.53</w:t>
            </w:r>
          </w:p>
        </w:tc>
        <w:tc>
          <w:tcPr>
            <w:tcW w:w="1643" w:type="dxa"/>
            <w:vAlign w:val="center"/>
          </w:tcPr>
          <w:p>
            <w:pPr>
              <w:pStyle w:val="11"/>
            </w:pPr>
            <w:r>
              <w:t>1277.53</w:t>
            </w:r>
          </w:p>
        </w:tc>
        <w:tc>
          <w:tcPr>
            <w:tcW w:w="1643" w:type="dxa"/>
            <w:vAlign w:val="center"/>
          </w:tcPr>
          <w:p>
            <w:pPr>
              <w:pStyle w:val="11"/>
            </w:pPr>
            <w:r>
              <w:t>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93.94</w:t>
            </w:r>
          </w:p>
        </w:tc>
        <w:tc>
          <w:tcPr>
            <w:tcW w:w="1643" w:type="dxa"/>
            <w:vAlign w:val="center"/>
          </w:tcPr>
          <w:p>
            <w:pPr>
              <w:pStyle w:val="11"/>
            </w:pPr>
            <w:r>
              <w:t>93.94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93.94</w:t>
            </w:r>
          </w:p>
        </w:tc>
        <w:tc>
          <w:tcPr>
            <w:tcW w:w="1643" w:type="dxa"/>
            <w:vAlign w:val="center"/>
          </w:tcPr>
          <w:p>
            <w:pPr>
              <w:pStyle w:val="11"/>
            </w:pPr>
            <w:r>
              <w:t>93.94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93.94</w:t>
            </w:r>
          </w:p>
        </w:tc>
        <w:tc>
          <w:tcPr>
            <w:tcW w:w="1643" w:type="dxa"/>
            <w:vAlign w:val="center"/>
          </w:tcPr>
          <w:p>
            <w:pPr>
              <w:pStyle w:val="11"/>
            </w:pPr>
            <w:r>
              <w:t>93.94</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2023.63</w:t>
            </w:r>
          </w:p>
        </w:tc>
        <w:tc>
          <w:tcPr>
            <w:tcW w:w="1643" w:type="dxa"/>
            <w:vAlign w:val="center"/>
          </w:tcPr>
          <w:p>
            <w:pPr>
              <w:pStyle w:val="15"/>
            </w:pPr>
            <w:r>
              <w:t>1964.14</w:t>
            </w:r>
          </w:p>
        </w:tc>
        <w:tc>
          <w:tcPr>
            <w:tcW w:w="1643" w:type="dxa"/>
            <w:vAlign w:val="center"/>
          </w:tcPr>
          <w:p>
            <w:pPr>
              <w:pStyle w:val="15"/>
            </w:pPr>
            <w:r>
              <w:t>59.50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1895.61</w:t>
            </w:r>
          </w:p>
        </w:tc>
        <w:tc>
          <w:tcPr>
            <w:tcW w:w="1643" w:type="dxa"/>
            <w:vAlign w:val="center"/>
          </w:tcPr>
          <w:p>
            <w:pPr>
              <w:pStyle w:val="11"/>
            </w:pPr>
            <w:r>
              <w:t>1895.61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779.62</w:t>
            </w:r>
          </w:p>
        </w:tc>
        <w:tc>
          <w:tcPr>
            <w:tcW w:w="1643" w:type="dxa"/>
            <w:vAlign w:val="center"/>
          </w:tcPr>
          <w:p>
            <w:pPr>
              <w:pStyle w:val="11"/>
            </w:pPr>
            <w:r>
              <w:t>779.62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91.71</w:t>
            </w:r>
          </w:p>
        </w:tc>
        <w:tc>
          <w:tcPr>
            <w:tcW w:w="1643" w:type="dxa"/>
            <w:vAlign w:val="center"/>
          </w:tcPr>
          <w:p>
            <w:pPr>
              <w:pStyle w:val="11"/>
            </w:pPr>
            <w:r>
              <w:t>91.71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7.32</w:t>
            </w:r>
          </w:p>
        </w:tc>
        <w:tc>
          <w:tcPr>
            <w:tcW w:w="1643" w:type="dxa"/>
            <w:vAlign w:val="center"/>
          </w:tcPr>
          <w:p>
            <w:pPr>
              <w:pStyle w:val="11"/>
            </w:pPr>
            <w:r>
              <w:t>7.32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419.30</w:t>
            </w:r>
          </w:p>
        </w:tc>
        <w:tc>
          <w:tcPr>
            <w:tcW w:w="1643" w:type="dxa"/>
            <w:vAlign w:val="center"/>
          </w:tcPr>
          <w:p>
            <w:pPr>
              <w:pStyle w:val="11"/>
            </w:pPr>
            <w:r>
              <w:t>419.30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187.87</w:t>
            </w:r>
          </w:p>
        </w:tc>
        <w:tc>
          <w:tcPr>
            <w:tcW w:w="1643" w:type="dxa"/>
            <w:vAlign w:val="center"/>
          </w:tcPr>
          <w:p>
            <w:pPr>
              <w:pStyle w:val="11"/>
            </w:pPr>
            <w:r>
              <w:t>187.87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30109</w:t>
            </w:r>
          </w:p>
        </w:tc>
        <w:tc>
          <w:tcPr>
            <w:tcW w:w="1643" w:type="dxa"/>
            <w:vAlign w:val="center"/>
          </w:tcPr>
          <w:p>
            <w:pPr>
              <w:pStyle w:val="12"/>
            </w:pPr>
            <w:r>
              <w:t>职业年金缴费</w:t>
            </w:r>
          </w:p>
        </w:tc>
        <w:tc>
          <w:tcPr>
            <w:tcW w:w="1643" w:type="dxa"/>
            <w:vAlign w:val="center"/>
          </w:tcPr>
          <w:p>
            <w:pPr>
              <w:pStyle w:val="11"/>
            </w:pPr>
            <w:r>
              <w:t>88.40</w:t>
            </w:r>
          </w:p>
        </w:tc>
        <w:tc>
          <w:tcPr>
            <w:tcW w:w="1643" w:type="dxa"/>
            <w:vAlign w:val="center"/>
          </w:tcPr>
          <w:p>
            <w:pPr>
              <w:pStyle w:val="11"/>
            </w:pPr>
            <w:r>
              <w:t>88.40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108.13</w:t>
            </w:r>
          </w:p>
        </w:tc>
        <w:tc>
          <w:tcPr>
            <w:tcW w:w="1643" w:type="dxa"/>
            <w:vAlign w:val="center"/>
          </w:tcPr>
          <w:p>
            <w:pPr>
              <w:pStyle w:val="11"/>
            </w:pPr>
            <w:r>
              <w:t>108.13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33.91</w:t>
            </w:r>
          </w:p>
        </w:tc>
        <w:tc>
          <w:tcPr>
            <w:tcW w:w="1643" w:type="dxa"/>
            <w:vAlign w:val="center"/>
          </w:tcPr>
          <w:p>
            <w:pPr>
              <w:pStyle w:val="11"/>
            </w:pPr>
            <w:r>
              <w:t>33.91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93.94</w:t>
            </w:r>
          </w:p>
        </w:tc>
        <w:tc>
          <w:tcPr>
            <w:tcW w:w="1643" w:type="dxa"/>
            <w:vAlign w:val="center"/>
          </w:tcPr>
          <w:p>
            <w:pPr>
              <w:pStyle w:val="11"/>
            </w:pPr>
            <w:r>
              <w:t>93.94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30199</w:t>
            </w:r>
          </w:p>
        </w:tc>
        <w:tc>
          <w:tcPr>
            <w:tcW w:w="1643" w:type="dxa"/>
            <w:vAlign w:val="center"/>
          </w:tcPr>
          <w:p>
            <w:pPr>
              <w:pStyle w:val="12"/>
            </w:pPr>
            <w:r>
              <w:t>其他工资福利支出</w:t>
            </w:r>
          </w:p>
        </w:tc>
        <w:tc>
          <w:tcPr>
            <w:tcW w:w="1643" w:type="dxa"/>
            <w:vAlign w:val="center"/>
          </w:tcPr>
          <w:p>
            <w:pPr>
              <w:pStyle w:val="11"/>
            </w:pPr>
            <w:r>
              <w:t>85.42</w:t>
            </w:r>
          </w:p>
        </w:tc>
        <w:tc>
          <w:tcPr>
            <w:tcW w:w="1643" w:type="dxa"/>
            <w:vAlign w:val="center"/>
          </w:tcPr>
          <w:p>
            <w:pPr>
              <w:pStyle w:val="11"/>
            </w:pPr>
            <w:r>
              <w:t>85.42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59.50</w:t>
            </w:r>
          </w:p>
        </w:tc>
        <w:tc>
          <w:tcPr>
            <w:tcW w:w="1643" w:type="dxa"/>
            <w:vAlign w:val="center"/>
          </w:tcPr>
          <w:p>
            <w:pPr>
              <w:pStyle w:val="11"/>
            </w:pPr>
          </w:p>
        </w:tc>
        <w:tc>
          <w:tcPr>
            <w:tcW w:w="1643" w:type="dxa"/>
            <w:vAlign w:val="center"/>
          </w:tcPr>
          <w:p>
            <w:pPr>
              <w:pStyle w:val="11"/>
            </w:pPr>
            <w:r>
              <w:t>59.50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12.70</w:t>
            </w:r>
          </w:p>
        </w:tc>
        <w:tc>
          <w:tcPr>
            <w:tcW w:w="1643" w:type="dxa"/>
            <w:vAlign w:val="center"/>
          </w:tcPr>
          <w:p>
            <w:pPr>
              <w:pStyle w:val="11"/>
            </w:pPr>
          </w:p>
        </w:tc>
        <w:tc>
          <w:tcPr>
            <w:tcW w:w="1643" w:type="dxa"/>
            <w:vAlign w:val="center"/>
          </w:tcPr>
          <w:p>
            <w:pPr>
              <w:pStyle w:val="11"/>
            </w:pPr>
            <w:r>
              <w:t>12.70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30203</w:t>
            </w:r>
          </w:p>
        </w:tc>
        <w:tc>
          <w:tcPr>
            <w:tcW w:w="1643" w:type="dxa"/>
            <w:vAlign w:val="center"/>
          </w:tcPr>
          <w:p>
            <w:pPr>
              <w:pStyle w:val="12"/>
            </w:pPr>
            <w:r>
              <w:t>咨询费</w:t>
            </w:r>
          </w:p>
        </w:tc>
        <w:tc>
          <w:tcPr>
            <w:tcW w:w="1643" w:type="dxa"/>
            <w:vAlign w:val="center"/>
          </w:tcPr>
          <w:p>
            <w:pPr>
              <w:pStyle w:val="11"/>
            </w:pPr>
            <w:r>
              <w:t>1.20</w:t>
            </w:r>
          </w:p>
        </w:tc>
        <w:tc>
          <w:tcPr>
            <w:tcW w:w="1643" w:type="dxa"/>
            <w:vAlign w:val="center"/>
          </w:tcPr>
          <w:p>
            <w:pPr>
              <w:pStyle w:val="11"/>
            </w:pPr>
          </w:p>
        </w:tc>
        <w:tc>
          <w:tcPr>
            <w:tcW w:w="1643"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30205</w:t>
            </w:r>
          </w:p>
        </w:tc>
        <w:tc>
          <w:tcPr>
            <w:tcW w:w="1643" w:type="dxa"/>
            <w:vAlign w:val="center"/>
          </w:tcPr>
          <w:p>
            <w:pPr>
              <w:pStyle w:val="12"/>
            </w:pPr>
            <w:r>
              <w:t>水费</w:t>
            </w:r>
          </w:p>
        </w:tc>
        <w:tc>
          <w:tcPr>
            <w:tcW w:w="1643" w:type="dxa"/>
            <w:vAlign w:val="center"/>
          </w:tcPr>
          <w:p>
            <w:pPr>
              <w:pStyle w:val="11"/>
            </w:pPr>
            <w:r>
              <w:t>0.20</w:t>
            </w:r>
          </w:p>
        </w:tc>
        <w:tc>
          <w:tcPr>
            <w:tcW w:w="1643" w:type="dxa"/>
            <w:vAlign w:val="center"/>
          </w:tcPr>
          <w:p>
            <w:pPr>
              <w:pStyle w:val="11"/>
            </w:pPr>
          </w:p>
        </w:tc>
        <w:tc>
          <w:tcPr>
            <w:tcW w:w="1643"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30206</w:t>
            </w:r>
          </w:p>
        </w:tc>
        <w:tc>
          <w:tcPr>
            <w:tcW w:w="1643" w:type="dxa"/>
            <w:vAlign w:val="center"/>
          </w:tcPr>
          <w:p>
            <w:pPr>
              <w:pStyle w:val="12"/>
            </w:pPr>
            <w:r>
              <w:t>电费</w:t>
            </w:r>
          </w:p>
        </w:tc>
        <w:tc>
          <w:tcPr>
            <w:tcW w:w="1643" w:type="dxa"/>
            <w:vAlign w:val="center"/>
          </w:tcPr>
          <w:p>
            <w:pPr>
              <w:pStyle w:val="11"/>
            </w:pPr>
            <w:r>
              <w:t>4.80</w:t>
            </w:r>
          </w:p>
        </w:tc>
        <w:tc>
          <w:tcPr>
            <w:tcW w:w="1643" w:type="dxa"/>
            <w:vAlign w:val="center"/>
          </w:tcPr>
          <w:p>
            <w:pPr>
              <w:pStyle w:val="11"/>
            </w:pPr>
          </w:p>
        </w:tc>
        <w:tc>
          <w:tcPr>
            <w:tcW w:w="1643"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1.20</w:t>
            </w:r>
          </w:p>
        </w:tc>
        <w:tc>
          <w:tcPr>
            <w:tcW w:w="1643" w:type="dxa"/>
            <w:vAlign w:val="center"/>
          </w:tcPr>
          <w:p>
            <w:pPr>
              <w:pStyle w:val="11"/>
            </w:pPr>
          </w:p>
        </w:tc>
        <w:tc>
          <w:tcPr>
            <w:tcW w:w="1643"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2"/>
            </w:pPr>
            <w:r>
              <w:t>30211</w:t>
            </w:r>
          </w:p>
        </w:tc>
        <w:tc>
          <w:tcPr>
            <w:tcW w:w="1643" w:type="dxa"/>
            <w:vAlign w:val="center"/>
          </w:tcPr>
          <w:p>
            <w:pPr>
              <w:pStyle w:val="12"/>
            </w:pPr>
            <w:r>
              <w:t>差旅费</w:t>
            </w:r>
          </w:p>
        </w:tc>
        <w:tc>
          <w:tcPr>
            <w:tcW w:w="1643" w:type="dxa"/>
            <w:vAlign w:val="center"/>
          </w:tcPr>
          <w:p>
            <w:pPr>
              <w:pStyle w:val="11"/>
            </w:pPr>
            <w:r>
              <w:t>2.00</w:t>
            </w:r>
          </w:p>
        </w:tc>
        <w:tc>
          <w:tcPr>
            <w:tcW w:w="1643" w:type="dxa"/>
            <w:vAlign w:val="center"/>
          </w:tcPr>
          <w:p>
            <w:pPr>
              <w:pStyle w:val="11"/>
            </w:pP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2"/>
            </w:pPr>
            <w:r>
              <w:t>30213</w:t>
            </w:r>
          </w:p>
        </w:tc>
        <w:tc>
          <w:tcPr>
            <w:tcW w:w="1643" w:type="dxa"/>
            <w:vAlign w:val="center"/>
          </w:tcPr>
          <w:p>
            <w:pPr>
              <w:pStyle w:val="12"/>
            </w:pPr>
            <w:r>
              <w:t>维修(护)费</w:t>
            </w:r>
          </w:p>
        </w:tc>
        <w:tc>
          <w:tcPr>
            <w:tcW w:w="1643" w:type="dxa"/>
            <w:vAlign w:val="center"/>
          </w:tcPr>
          <w:p>
            <w:pPr>
              <w:pStyle w:val="11"/>
            </w:pPr>
            <w:r>
              <w:t>4.00</w:t>
            </w:r>
          </w:p>
        </w:tc>
        <w:tc>
          <w:tcPr>
            <w:tcW w:w="1643" w:type="dxa"/>
            <w:vAlign w:val="center"/>
          </w:tcPr>
          <w:p>
            <w:pPr>
              <w:pStyle w:val="11"/>
            </w:pPr>
          </w:p>
        </w:tc>
        <w:tc>
          <w:tcPr>
            <w:tcW w:w="1643"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2"/>
            </w:pPr>
            <w:r>
              <w:t>30215</w:t>
            </w:r>
          </w:p>
        </w:tc>
        <w:tc>
          <w:tcPr>
            <w:tcW w:w="1643" w:type="dxa"/>
            <w:vAlign w:val="center"/>
          </w:tcPr>
          <w:p>
            <w:pPr>
              <w:pStyle w:val="12"/>
            </w:pPr>
            <w:r>
              <w:t>会议费</w:t>
            </w:r>
          </w:p>
        </w:tc>
        <w:tc>
          <w:tcPr>
            <w:tcW w:w="1643" w:type="dxa"/>
            <w:vAlign w:val="center"/>
          </w:tcPr>
          <w:p>
            <w:pPr>
              <w:pStyle w:val="11"/>
            </w:pPr>
            <w:r>
              <w:t>1.85</w:t>
            </w:r>
          </w:p>
        </w:tc>
        <w:tc>
          <w:tcPr>
            <w:tcW w:w="1643" w:type="dxa"/>
            <w:vAlign w:val="center"/>
          </w:tcPr>
          <w:p>
            <w:pPr>
              <w:pStyle w:val="11"/>
            </w:pPr>
          </w:p>
        </w:tc>
        <w:tc>
          <w:tcPr>
            <w:tcW w:w="1643" w:type="dxa"/>
            <w:vAlign w:val="center"/>
          </w:tcPr>
          <w:p>
            <w:pPr>
              <w:pStyle w:val="11"/>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2"/>
            </w:pPr>
            <w:r>
              <w:t>30216</w:t>
            </w:r>
          </w:p>
        </w:tc>
        <w:tc>
          <w:tcPr>
            <w:tcW w:w="1643" w:type="dxa"/>
            <w:vAlign w:val="center"/>
          </w:tcPr>
          <w:p>
            <w:pPr>
              <w:pStyle w:val="12"/>
            </w:pPr>
            <w:r>
              <w:t>培训费</w:t>
            </w:r>
          </w:p>
        </w:tc>
        <w:tc>
          <w:tcPr>
            <w:tcW w:w="1643" w:type="dxa"/>
            <w:vAlign w:val="center"/>
          </w:tcPr>
          <w:p>
            <w:pPr>
              <w:pStyle w:val="11"/>
            </w:pPr>
            <w:r>
              <w:t>0.95</w:t>
            </w:r>
          </w:p>
        </w:tc>
        <w:tc>
          <w:tcPr>
            <w:tcW w:w="1643" w:type="dxa"/>
            <w:vAlign w:val="center"/>
          </w:tcPr>
          <w:p>
            <w:pPr>
              <w:pStyle w:val="11"/>
            </w:pPr>
          </w:p>
        </w:tc>
        <w:tc>
          <w:tcPr>
            <w:tcW w:w="1643" w:type="dxa"/>
            <w:vAlign w:val="center"/>
          </w:tcPr>
          <w:p>
            <w:pPr>
              <w:pStyle w:val="11"/>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1.40</w:t>
            </w:r>
          </w:p>
        </w:tc>
        <w:tc>
          <w:tcPr>
            <w:tcW w:w="1643" w:type="dxa"/>
            <w:vAlign w:val="center"/>
          </w:tcPr>
          <w:p>
            <w:pPr>
              <w:pStyle w:val="11"/>
            </w:pPr>
          </w:p>
        </w:tc>
        <w:tc>
          <w:tcPr>
            <w:tcW w:w="1643"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2"/>
            </w:pPr>
            <w:r>
              <w:t>30226</w:t>
            </w:r>
          </w:p>
        </w:tc>
        <w:tc>
          <w:tcPr>
            <w:tcW w:w="1643" w:type="dxa"/>
            <w:vAlign w:val="center"/>
          </w:tcPr>
          <w:p>
            <w:pPr>
              <w:pStyle w:val="12"/>
            </w:pPr>
            <w:r>
              <w:t>劳务费</w:t>
            </w:r>
          </w:p>
        </w:tc>
        <w:tc>
          <w:tcPr>
            <w:tcW w:w="1643" w:type="dxa"/>
            <w:vAlign w:val="center"/>
          </w:tcPr>
          <w:p>
            <w:pPr>
              <w:pStyle w:val="11"/>
            </w:pPr>
            <w:r>
              <w:t>4.00</w:t>
            </w:r>
          </w:p>
        </w:tc>
        <w:tc>
          <w:tcPr>
            <w:tcW w:w="1643" w:type="dxa"/>
            <w:vAlign w:val="center"/>
          </w:tcPr>
          <w:p>
            <w:pPr>
              <w:pStyle w:val="11"/>
            </w:pPr>
          </w:p>
        </w:tc>
        <w:tc>
          <w:tcPr>
            <w:tcW w:w="1643"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25</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16.11</w:t>
            </w:r>
          </w:p>
        </w:tc>
        <w:tc>
          <w:tcPr>
            <w:tcW w:w="1643" w:type="dxa"/>
            <w:vAlign w:val="center"/>
          </w:tcPr>
          <w:p>
            <w:pPr>
              <w:pStyle w:val="11"/>
            </w:pPr>
          </w:p>
        </w:tc>
        <w:tc>
          <w:tcPr>
            <w:tcW w:w="1643" w:type="dxa"/>
            <w:vAlign w:val="center"/>
          </w:tcPr>
          <w:p>
            <w:pPr>
              <w:pStyle w:val="11"/>
            </w:pPr>
            <w:r>
              <w:t>16.11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26</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1.80</w:t>
            </w:r>
          </w:p>
        </w:tc>
        <w:tc>
          <w:tcPr>
            <w:tcW w:w="1643" w:type="dxa"/>
            <w:vAlign w:val="center"/>
          </w:tcPr>
          <w:p>
            <w:pPr>
              <w:pStyle w:val="11"/>
            </w:pPr>
          </w:p>
        </w:tc>
        <w:tc>
          <w:tcPr>
            <w:tcW w:w="1643"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27</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4.98</w:t>
            </w:r>
          </w:p>
        </w:tc>
        <w:tc>
          <w:tcPr>
            <w:tcW w:w="1643" w:type="dxa"/>
            <w:vAlign w:val="center"/>
          </w:tcPr>
          <w:p>
            <w:pPr>
              <w:pStyle w:val="11"/>
            </w:pPr>
          </w:p>
        </w:tc>
        <w:tc>
          <w:tcPr>
            <w:tcW w:w="1643" w:type="dxa"/>
            <w:vAlign w:val="center"/>
          </w:tcPr>
          <w:p>
            <w:pPr>
              <w:pStyle w:val="11"/>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28</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2.31</w:t>
            </w:r>
          </w:p>
        </w:tc>
        <w:tc>
          <w:tcPr>
            <w:tcW w:w="1643" w:type="dxa"/>
            <w:vAlign w:val="center"/>
          </w:tcPr>
          <w:p>
            <w:pPr>
              <w:pStyle w:val="11"/>
            </w:pPr>
          </w:p>
        </w:tc>
        <w:tc>
          <w:tcPr>
            <w:tcW w:w="1643" w:type="dxa"/>
            <w:vAlign w:val="center"/>
          </w:tcPr>
          <w:p>
            <w:pPr>
              <w:pStyle w:val="11"/>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29</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68.53</w:t>
            </w:r>
          </w:p>
        </w:tc>
        <w:tc>
          <w:tcPr>
            <w:tcW w:w="1643" w:type="dxa"/>
            <w:vAlign w:val="center"/>
          </w:tcPr>
          <w:p>
            <w:pPr>
              <w:pStyle w:val="11"/>
            </w:pPr>
            <w:r>
              <w:t>68.53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30</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63.73</w:t>
            </w:r>
          </w:p>
        </w:tc>
        <w:tc>
          <w:tcPr>
            <w:tcW w:w="1643" w:type="dxa"/>
            <w:vAlign w:val="center"/>
          </w:tcPr>
          <w:p>
            <w:pPr>
              <w:pStyle w:val="11"/>
            </w:pPr>
            <w:r>
              <w:t>63.73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31</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4.22</w:t>
            </w:r>
          </w:p>
        </w:tc>
        <w:tc>
          <w:tcPr>
            <w:tcW w:w="1643" w:type="dxa"/>
            <w:vAlign w:val="center"/>
          </w:tcPr>
          <w:p>
            <w:pPr>
              <w:pStyle w:val="11"/>
            </w:pPr>
            <w:r>
              <w:t>4.22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32</w:t>
            </w:r>
          </w:p>
        </w:tc>
        <w:tc>
          <w:tcPr>
            <w:tcW w:w="1643" w:type="dxa"/>
            <w:vAlign w:val="center"/>
          </w:tcPr>
          <w:p>
            <w:pPr>
              <w:pStyle w:val="12"/>
            </w:pPr>
            <w:r>
              <w:t>30309</w:t>
            </w:r>
          </w:p>
        </w:tc>
        <w:tc>
          <w:tcPr>
            <w:tcW w:w="1643" w:type="dxa"/>
            <w:vAlign w:val="center"/>
          </w:tcPr>
          <w:p>
            <w:pPr>
              <w:pStyle w:val="12"/>
            </w:pPr>
            <w:r>
              <w:t>奖励金</w:t>
            </w:r>
          </w:p>
        </w:tc>
        <w:tc>
          <w:tcPr>
            <w:tcW w:w="1643" w:type="dxa"/>
            <w:vAlign w:val="center"/>
          </w:tcPr>
          <w:p>
            <w:pPr>
              <w:pStyle w:val="11"/>
            </w:pPr>
            <w:r>
              <w:t>0.58</w:t>
            </w:r>
          </w:p>
        </w:tc>
        <w:tc>
          <w:tcPr>
            <w:tcW w:w="1643" w:type="dxa"/>
            <w:vAlign w:val="center"/>
          </w:tcPr>
          <w:p>
            <w:pPr>
              <w:pStyle w:val="11"/>
            </w:pPr>
            <w:r>
              <w:t>0.58</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10480.00</w:t>
            </w:r>
          </w:p>
        </w:tc>
        <w:tc>
          <w:tcPr>
            <w:tcW w:w="1643" w:type="dxa"/>
            <w:vAlign w:val="center"/>
          </w:tcPr>
          <w:p>
            <w:pPr>
              <w:pStyle w:val="15"/>
            </w:pPr>
          </w:p>
        </w:tc>
        <w:tc>
          <w:tcPr>
            <w:tcW w:w="1643" w:type="dxa"/>
            <w:vAlign w:val="center"/>
          </w:tcPr>
          <w:p>
            <w:pPr>
              <w:pStyle w:val="15"/>
            </w:pPr>
            <w:r>
              <w:t>10480.00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212</w:t>
            </w:r>
          </w:p>
        </w:tc>
        <w:tc>
          <w:tcPr>
            <w:tcW w:w="1643" w:type="dxa"/>
            <w:vAlign w:val="center"/>
          </w:tcPr>
          <w:p>
            <w:pPr>
              <w:pStyle w:val="12"/>
            </w:pPr>
            <w:r>
              <w:t>城乡社区支出</w:t>
            </w:r>
          </w:p>
        </w:tc>
        <w:tc>
          <w:tcPr>
            <w:tcW w:w="1643" w:type="dxa"/>
            <w:vAlign w:val="center"/>
          </w:tcPr>
          <w:p>
            <w:pPr>
              <w:pStyle w:val="11"/>
            </w:pPr>
            <w:r>
              <w:t>2600.00</w:t>
            </w:r>
          </w:p>
        </w:tc>
        <w:tc>
          <w:tcPr>
            <w:tcW w:w="1643" w:type="dxa"/>
            <w:vAlign w:val="center"/>
          </w:tcPr>
          <w:p>
            <w:pPr>
              <w:pStyle w:val="11"/>
            </w:pPr>
          </w:p>
        </w:tc>
        <w:tc>
          <w:tcPr>
            <w:tcW w:w="1643" w:type="dxa"/>
            <w:vAlign w:val="center"/>
          </w:tcPr>
          <w:p>
            <w:pPr>
              <w:pStyle w:val="11"/>
            </w:pPr>
            <w:r>
              <w:t>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21208</w:t>
            </w:r>
          </w:p>
        </w:tc>
        <w:tc>
          <w:tcPr>
            <w:tcW w:w="1643" w:type="dxa"/>
            <w:vAlign w:val="center"/>
          </w:tcPr>
          <w:p>
            <w:pPr>
              <w:pStyle w:val="12"/>
            </w:pPr>
            <w:r>
              <w:t>国有土地使用权出让收入安排的支出</w:t>
            </w:r>
          </w:p>
        </w:tc>
        <w:tc>
          <w:tcPr>
            <w:tcW w:w="1643" w:type="dxa"/>
            <w:vAlign w:val="center"/>
          </w:tcPr>
          <w:p>
            <w:pPr>
              <w:pStyle w:val="11"/>
            </w:pPr>
            <w:r>
              <w:t>2600.00</w:t>
            </w:r>
          </w:p>
        </w:tc>
        <w:tc>
          <w:tcPr>
            <w:tcW w:w="1643" w:type="dxa"/>
            <w:vAlign w:val="center"/>
          </w:tcPr>
          <w:p>
            <w:pPr>
              <w:pStyle w:val="11"/>
            </w:pPr>
          </w:p>
        </w:tc>
        <w:tc>
          <w:tcPr>
            <w:tcW w:w="1643" w:type="dxa"/>
            <w:vAlign w:val="center"/>
          </w:tcPr>
          <w:p>
            <w:pPr>
              <w:pStyle w:val="11"/>
            </w:pPr>
            <w:r>
              <w:t>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2120899</w:t>
            </w:r>
          </w:p>
        </w:tc>
        <w:tc>
          <w:tcPr>
            <w:tcW w:w="1643" w:type="dxa"/>
            <w:vAlign w:val="center"/>
          </w:tcPr>
          <w:p>
            <w:pPr>
              <w:pStyle w:val="12"/>
            </w:pPr>
            <w:r>
              <w:t>其他国有土地使用权出让收入安排的支出</w:t>
            </w:r>
          </w:p>
        </w:tc>
        <w:tc>
          <w:tcPr>
            <w:tcW w:w="1643" w:type="dxa"/>
            <w:vAlign w:val="center"/>
          </w:tcPr>
          <w:p>
            <w:pPr>
              <w:pStyle w:val="11"/>
            </w:pPr>
            <w:r>
              <w:t>2600.00</w:t>
            </w:r>
          </w:p>
        </w:tc>
        <w:tc>
          <w:tcPr>
            <w:tcW w:w="1643" w:type="dxa"/>
            <w:vAlign w:val="center"/>
          </w:tcPr>
          <w:p>
            <w:pPr>
              <w:pStyle w:val="11"/>
            </w:pPr>
          </w:p>
        </w:tc>
        <w:tc>
          <w:tcPr>
            <w:tcW w:w="1643" w:type="dxa"/>
            <w:vAlign w:val="center"/>
          </w:tcPr>
          <w:p>
            <w:pPr>
              <w:pStyle w:val="11"/>
            </w:pPr>
            <w:r>
              <w:t>2600.00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229</w:t>
            </w:r>
          </w:p>
        </w:tc>
        <w:tc>
          <w:tcPr>
            <w:tcW w:w="1643" w:type="dxa"/>
            <w:vAlign w:val="center"/>
          </w:tcPr>
          <w:p>
            <w:pPr>
              <w:pStyle w:val="12"/>
            </w:pPr>
            <w:r>
              <w:t>其他支出</w:t>
            </w:r>
          </w:p>
        </w:tc>
        <w:tc>
          <w:tcPr>
            <w:tcW w:w="1643" w:type="dxa"/>
            <w:vAlign w:val="center"/>
          </w:tcPr>
          <w:p>
            <w:pPr>
              <w:pStyle w:val="11"/>
            </w:pPr>
            <w:r>
              <w:t>7880.00</w:t>
            </w:r>
          </w:p>
        </w:tc>
        <w:tc>
          <w:tcPr>
            <w:tcW w:w="1643" w:type="dxa"/>
            <w:vAlign w:val="center"/>
          </w:tcPr>
          <w:p>
            <w:pPr>
              <w:pStyle w:val="11"/>
            </w:pPr>
          </w:p>
        </w:tc>
        <w:tc>
          <w:tcPr>
            <w:tcW w:w="1643" w:type="dxa"/>
            <w:vAlign w:val="center"/>
          </w:tcPr>
          <w:p>
            <w:pPr>
              <w:pStyle w:val="11"/>
            </w:pPr>
            <w:r>
              <w:t>7880.00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22904</w:t>
            </w:r>
          </w:p>
        </w:tc>
        <w:tc>
          <w:tcPr>
            <w:tcW w:w="1643" w:type="dxa"/>
            <w:vAlign w:val="center"/>
          </w:tcPr>
          <w:p>
            <w:pPr>
              <w:pStyle w:val="12"/>
            </w:pPr>
            <w:r>
              <w:t>其他政府性基金及对应专项债务收入安排的支出</w:t>
            </w:r>
          </w:p>
        </w:tc>
        <w:tc>
          <w:tcPr>
            <w:tcW w:w="1643" w:type="dxa"/>
            <w:vAlign w:val="center"/>
          </w:tcPr>
          <w:p>
            <w:pPr>
              <w:pStyle w:val="11"/>
            </w:pPr>
            <w:r>
              <w:t>7880.00</w:t>
            </w:r>
          </w:p>
        </w:tc>
        <w:tc>
          <w:tcPr>
            <w:tcW w:w="1643" w:type="dxa"/>
            <w:vAlign w:val="center"/>
          </w:tcPr>
          <w:p>
            <w:pPr>
              <w:pStyle w:val="11"/>
            </w:pPr>
          </w:p>
        </w:tc>
        <w:tc>
          <w:tcPr>
            <w:tcW w:w="1643" w:type="dxa"/>
            <w:vAlign w:val="center"/>
          </w:tcPr>
          <w:p>
            <w:pPr>
              <w:pStyle w:val="11"/>
            </w:pPr>
            <w:r>
              <w:t>7880.00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2290402</w:t>
            </w:r>
          </w:p>
        </w:tc>
        <w:tc>
          <w:tcPr>
            <w:tcW w:w="1643" w:type="dxa"/>
            <w:vAlign w:val="center"/>
          </w:tcPr>
          <w:p>
            <w:pPr>
              <w:pStyle w:val="12"/>
            </w:pPr>
            <w:r>
              <w:t>其他地方自行试点项目收益专项债券收入安排的支出</w:t>
            </w:r>
          </w:p>
        </w:tc>
        <w:tc>
          <w:tcPr>
            <w:tcW w:w="1643" w:type="dxa"/>
            <w:vAlign w:val="center"/>
          </w:tcPr>
          <w:p>
            <w:pPr>
              <w:pStyle w:val="11"/>
            </w:pPr>
            <w:r>
              <w:t>7880.00</w:t>
            </w:r>
          </w:p>
        </w:tc>
        <w:tc>
          <w:tcPr>
            <w:tcW w:w="1643" w:type="dxa"/>
            <w:vAlign w:val="center"/>
          </w:tcPr>
          <w:p>
            <w:pPr>
              <w:pStyle w:val="11"/>
            </w:pPr>
          </w:p>
        </w:tc>
        <w:tc>
          <w:tcPr>
            <w:tcW w:w="1643" w:type="dxa"/>
            <w:vAlign w:val="center"/>
          </w:tcPr>
          <w:p>
            <w:pPr>
              <w:pStyle w:val="11"/>
            </w:pPr>
            <w:r>
              <w:t>7880.00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1</w:t>
            </w:r>
          </w:p>
        </w:tc>
        <w:tc>
          <w:tcPr>
            <w:tcW w:w="1643" w:type="dxa"/>
            <w:vAlign w:val="center"/>
          </w:tcPr>
          <w:p>
            <w:pPr>
              <w:pStyle w:val="14"/>
            </w:pPr>
            <w:r>
              <w:t>合计</w:t>
            </w:r>
          </w:p>
        </w:tc>
        <w:tc>
          <w:tcPr>
            <w:tcW w:w="1643" w:type="dxa"/>
            <w:vAlign w:val="center"/>
          </w:tcPr>
          <w:p>
            <w:pPr>
              <w:pStyle w:val="15"/>
            </w:pPr>
            <w:r>
              <w:t>3.20</w:t>
            </w:r>
          </w:p>
        </w:tc>
        <w:tc>
          <w:tcPr>
            <w:tcW w:w="1643" w:type="dxa"/>
            <w:vAlign w:val="center"/>
          </w:tcPr>
          <w:p>
            <w:pPr>
              <w:pStyle w:val="15"/>
            </w:pPr>
            <w:r>
              <w:t>3.20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3.20</w:t>
            </w:r>
          </w:p>
        </w:tc>
        <w:tc>
          <w:tcPr>
            <w:tcW w:w="1643" w:type="dxa"/>
            <w:vAlign w:val="center"/>
          </w:tcPr>
          <w:p>
            <w:pPr>
              <w:pStyle w:val="11"/>
            </w:pPr>
            <w:r>
              <w:t>3.20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1.80</w:t>
            </w:r>
          </w:p>
        </w:tc>
        <w:tc>
          <w:tcPr>
            <w:tcW w:w="1643" w:type="dxa"/>
            <w:vAlign w:val="center"/>
          </w:tcPr>
          <w:p>
            <w:pPr>
              <w:pStyle w:val="11"/>
            </w:pPr>
            <w:r>
              <w:t>1.80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1.80</w:t>
            </w:r>
          </w:p>
        </w:tc>
        <w:tc>
          <w:tcPr>
            <w:tcW w:w="1643" w:type="dxa"/>
            <w:vAlign w:val="center"/>
          </w:tcPr>
          <w:p>
            <w:pPr>
              <w:pStyle w:val="11"/>
            </w:pPr>
            <w:r>
              <w:t>1.80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1.40</w:t>
            </w:r>
          </w:p>
        </w:tc>
        <w:tc>
          <w:tcPr>
            <w:tcW w:w="1643" w:type="dxa"/>
            <w:vAlign w:val="center"/>
          </w:tcPr>
          <w:p>
            <w:pPr>
              <w:pStyle w:val="11"/>
            </w:pPr>
            <w:r>
              <w:t>1.40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昌黎县城市管理综合行政执法局本级2024年单位预算信息公开情况说明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按照《中华人民共和国预算法》、《地方预决算公开操作规程》和《关于进一步推进预算公开工作的实施意见》规定，现将昌黎县城市管理综合行政执法局本级2024年单位预算公开如下：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根据《昌黎县城市管理综合行政执法局职能配置、内设机构和人员编制规定》，昌黎县城市管理综合行政执法局的主要职责是：</w:t>
      </w:r>
    </w:p>
    <w:p>
      <w:pPr>
        <w:pStyle w:val="17"/>
      </w:pPr>
      <w:r>
        <w:t>1、贯彻执行国家、省、市、县有关城市管理综合行政政府方面的方针、政策和法律法规。拟定城市管理方面的地方性法规、政府规章、规范性文件；制定全县城市管理行业安全生产监管。</w:t>
      </w:r>
    </w:p>
    <w:p>
      <w:pPr>
        <w:pStyle w:val="17"/>
      </w:pPr>
      <w:r>
        <w:t>2、指导城市市容市貌管理工作。负债制定城市容貌秩序管理标准和年度计划并监督落实；组织开展城市市容市貌综合治理和样板街道打造；负责城市区市容市貌管理工作的监督、检查、考核；监督城市区施工工地容貌秩序；负责城市区户外广告以及门店牌匾设置的监督管理工作；指导城市区建筑物、构筑物和市政设施立面保洁管理工作。</w:t>
      </w:r>
    </w:p>
    <w:p>
      <w:pPr>
        <w:pStyle w:val="17"/>
      </w:pPr>
      <w:r>
        <w:t>3、指导城市环境卫生管理工作。组织制定城市环境卫生管理作业标准和年度计划并督导落实；负责垃圾填埋场、生活垃圾无害化处理场、垃圾中转站、城区公厕等环卫设施的建设、管理和维护工作；组织开展城市市容卫生综合治理活动；指导建制镇（乡）农村生活垃圾收运体系建设；负责对城乡环境卫生管理工作进行监督、检查、考核；参与城市区新建、改建、扩建的市容环卫配套工程项目审核、竣工验收等工作；负责城市医疗垃圾、建筑垃圾、餐厨垃圾、生活垃圾的收集、运输、无害化处理的管理与监督工作以及对综合利用企业的行业指导；负责城区内建筑垃圾渣土运输的管理工作；组织协调城市冬季清雪工作及“全民洗城”活动。</w:t>
      </w:r>
    </w:p>
    <w:p>
      <w:pPr>
        <w:pStyle w:val="17"/>
      </w:pPr>
      <w:r>
        <w:t>4、承担城市管理综合行政执法工作：</w:t>
      </w:r>
    </w:p>
    <w:p>
      <w:pPr>
        <w:pStyle w:val="17"/>
      </w:pPr>
      <w:r>
        <w:t>（1）行使市容环境卫生管理方面法律、法规、规章规定的行政处罚权；</w:t>
      </w:r>
    </w:p>
    <w:p>
      <w:pPr>
        <w:pStyle w:val="17"/>
      </w:pPr>
      <w:r>
        <w:t>（2）行使城市绿化管理方面法律、法规、规章规定的行政处罚权；</w:t>
      </w:r>
    </w:p>
    <w:p>
      <w:pPr>
        <w:pStyle w:val="17"/>
      </w:pPr>
      <w:r>
        <w:t>（3）行使市政方面法律、法规、规章规定的行政处罚权；</w:t>
      </w:r>
    </w:p>
    <w:p>
      <w:pPr>
        <w:pStyle w:val="17"/>
      </w:pPr>
      <w:r>
        <w:t>（4）行使违反餐厨垃圾废弃物管理、运输、处置规定的行政处罚；</w:t>
      </w:r>
    </w:p>
    <w:p>
      <w:pPr>
        <w:pStyle w:val="17"/>
      </w:pPr>
      <w:r>
        <w:t>（5）负责城乡规划法律、法规、规章规定的城市规划区范围内未批先建违法建设巡查及处罚；</w:t>
      </w:r>
    </w:p>
    <w:p>
      <w:pPr>
        <w:pStyle w:val="17"/>
      </w:pPr>
      <w:r>
        <w:t>（6）行使环境保护管理方面法律、法规、规章规定的对社会生活噪声污染，建筑施工扬尘和餐食服务业油烟污染，在公共场所烧烤食品、散装原煤、焚烧杂物、未采取防燃、防尘措施在人口集中地区存放煤矸石、煤渣、砂石、灰土等物料，不按规定倾倒、堆放、储存、清运、处置城市生活垃圾，未按规定随意堆放、倾倒危险废物，未经处置直接倾倒、堆放危险废物，收集，储存、利用、处置中产生残余物、渗出液，施工单位不及时清运、处置建筑施工中产生的垃圾以及运输过程中沿途丢弃、遗撒固体废物，拒绝环境噪声现场检查时弄虚作假行为的行政处罚。</w:t>
      </w:r>
    </w:p>
    <w:p>
      <w:pPr>
        <w:pStyle w:val="17"/>
      </w:pPr>
      <w:r>
        <w:t>（7）</w:t>
      </w:r>
      <w:r>
        <w:rPr>
          <w:rFonts w:hint="eastAsia"/>
          <w:lang w:eastAsia="zh-CN"/>
        </w:rPr>
        <w:t>行</w:t>
      </w:r>
      <w:r>
        <w:t>使工商管理、食药监管</w:t>
      </w:r>
      <w:r>
        <w:rPr>
          <w:rFonts w:hint="eastAsia"/>
          <w:lang w:eastAsia="zh-CN"/>
        </w:rPr>
        <w:t>方</w:t>
      </w:r>
      <w:r>
        <w:t>面法律、法规、规章规定的城区户外公共场所无照经营、食品销售和餐饮摊点无证经营以及户外占用城市道路、公共场所违法回收贩卖药品行为的行政处罚权</w:t>
      </w:r>
    </w:p>
    <w:p>
      <w:pPr>
        <w:pStyle w:val="17"/>
      </w:pPr>
      <w:r>
        <w:t>（8）行使文化市场管理方面法律、法规、规章规定的未经批准或者未领取《文化经营许可证》而擅自从事市场文化经营活动和文化娱乐活动经营活动行为的行政处罚权</w:t>
      </w:r>
    </w:p>
    <w:p>
      <w:pPr>
        <w:pStyle w:val="17"/>
      </w:pPr>
      <w:r>
        <w:t>（9）行使水务方面法律、法规、规章规定的向城市河道倾倒废弃物、垃圾和渣土、城市河道违法建筑物拆除的行政处罚权</w:t>
      </w:r>
    </w:p>
    <w:p>
      <w:pPr>
        <w:pStyle w:val="17"/>
      </w:pPr>
      <w:r>
        <w:t>（10）负责城市市容和环境卫生管理工作和城市生活垃圾处理费及行政事业费用的收缴工作</w:t>
      </w:r>
    </w:p>
    <w:p>
      <w:pPr>
        <w:pStyle w:val="17"/>
      </w:pPr>
      <w:r>
        <w:t>（11）负责数字化城管指挥，实施对城市管理全方位、全时段的实时监控，“12319”便民服务热线及社会各媒体关注的城市管理信息的收集、处理工作，对有关部门和责任人履行城市管理职责情况进行监督考核评价</w:t>
      </w:r>
    </w:p>
    <w:p>
      <w:pPr>
        <w:pStyle w:val="17"/>
      </w:pPr>
      <w:r>
        <w:t>（12）在城市规划区范围内，协调公安、建设部门规划临时停车点、挺车泊位</w:t>
      </w:r>
    </w:p>
    <w:p>
      <w:pPr>
        <w:pStyle w:val="17"/>
      </w:pPr>
      <w:r>
        <w:t>（13）负责城市容貌整治和“门前五包“、单位庭院和居户卫生管理，查处市容整治和“门前五包”落实责任落实不到位的单位、社区和个人</w:t>
      </w:r>
    </w:p>
    <w:p>
      <w:pPr>
        <w:pStyle w:val="17"/>
      </w:pPr>
      <w:r>
        <w:t>（14）负责对户外广告、标志设置发布审批登记并搞好管理工作，负责对城市建筑物外墙、空间等各类灯饰的开启进行监督管理，对沿街门面的装饰装修改变房屋外立面、非承重墙上开门、开窗的监督管理。负责对占用城市管理、挖掘城市道路的审批。</w:t>
      </w:r>
    </w:p>
    <w:p>
      <w:pPr>
        <w:pStyle w:val="17"/>
      </w:pPr>
      <w:r>
        <w:t>（15）负责受理城市案件的申诉、调解；对本单位执法部门履行职责和行政执法方面不作为、乱作为进行监察；配合有关部门开展专项整治和执法检查；做好在城市管理中产生的争议、听证、行政复议、行政诉讼案件等方面的工作</w:t>
      </w:r>
    </w:p>
    <w:p>
      <w:pPr>
        <w:pStyle w:val="17"/>
      </w:pPr>
      <w:r>
        <w:t>5、负责对县域内纳入城市区管理的各类开发园区、旅游景区的城市管理综合行政执法工作的监督检查和业务指导</w:t>
      </w:r>
    </w:p>
    <w:p>
      <w:pPr>
        <w:pStyle w:val="17"/>
      </w:pPr>
      <w:r>
        <w:t>6、开展城市管理综合行政执法方面的对外交流工作</w:t>
      </w:r>
    </w:p>
    <w:p>
      <w:pPr>
        <w:pStyle w:val="17"/>
      </w:pPr>
      <w:r>
        <w:t>7、完成县委、县政府交办的其他任务</w:t>
      </w:r>
    </w:p>
    <w:p>
      <w:pPr>
        <w:pStyle w:val="17"/>
      </w:pPr>
    </w:p>
    <w:p>
      <w:pPr>
        <w:pStyle w:val="17"/>
      </w:pPr>
    </w:p>
    <w:p>
      <w:pPr>
        <w:pStyle w:val="17"/>
      </w:pPr>
    </w:p>
    <w:p>
      <w:pPr>
        <w:pStyle w:val="17"/>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2"/>
            </w:pPr>
            <w:r>
              <w:t>昌黎县城市管理综合行政执法局本级</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keepNext w:val="0"/>
        <w:keepLines w:val="0"/>
        <w:pageBreakBefore w:val="0"/>
        <w:widowControl/>
        <w:kinsoku/>
        <w:wordWrap/>
        <w:overflowPunct/>
        <w:topLinePunct w:val="0"/>
        <w:autoSpaceDE/>
        <w:autoSpaceDN/>
        <w:bidi w:val="0"/>
        <w:adjustRightInd/>
        <w:snapToGrid/>
        <w:spacing w:before="10" w:after="10" w:line="500" w:lineRule="exact"/>
        <w:ind w:firstLine="640" w:firstLineChars="200"/>
        <w:jc w:val="left"/>
        <w:textAlignment w:val="auto"/>
        <w:outlineLvl w:val="9"/>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1、收入说明</w:t>
      </w:r>
    </w:p>
    <w:p>
      <w:pPr>
        <w:pStyle w:val="18"/>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反映本单位当年全部收入。2024年预算收入15103.63万元，其中：一般公共预算收入4623.63万元，基金预算收入2600.00万元，国有资本经营预算收入0.00万元，财政专户核拨收入0.00万元，单位资金收入0.00万元，上年结转结余7880.00万元。</w:t>
      </w:r>
    </w:p>
    <w:p>
      <w:pPr>
        <w:pStyle w:val="18"/>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2、支出说明</w:t>
      </w:r>
    </w:p>
    <w:p>
      <w:pPr>
        <w:pStyle w:val="18"/>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收支预算总表支出栏、基本支出表、项目支出表按经济分类和支出功能分类科目编制，反映昌黎县城市管理综合行政执法局本级年度单位预算中支出预算的总体情况。2024年支出预算15103.63万元，其中基本支出2023.63万元，包括人员经费1964.14万元和日常公用经费59.50万元；项目支出13080.00万元，主要为昌黎县生活垃圾卫生填埋场生态封场及飞灰填埋场建设项目7880万元；城管运行费1200万元；城区、农村保洁费4000万元。</w:t>
      </w:r>
    </w:p>
    <w:p>
      <w:pPr>
        <w:pStyle w:val="18"/>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3、比上年增减情况</w:t>
      </w:r>
    </w:p>
    <w:p>
      <w:pPr>
        <w:pStyle w:val="18"/>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2024年预算收支安排15103.63万元，较2023年预算增加15044.30万元，其中：基本支出增加1964.30万元，主要为因合并单位，人员并入，增加了事业统发人员经费48.65万元；自收自支人员经费1712.4万元；长期聘用人员经费85.42万元；退休人员经费63.73万元；遗属人员经费4.22万元；工会经费15.48万元；日常公用经费34.4万元</w:t>
      </w:r>
      <w:r>
        <w:rPr>
          <w:rFonts w:hint="eastAsia"/>
          <w:lang w:eastAsia="zh-CN"/>
        </w:rPr>
        <w:t>；</w:t>
      </w:r>
      <w:r>
        <w:t>项目支出增加13080.00万元，主要为上年结转债券昌黎县生活垃圾卫生填埋场生态封场及飞灰填埋场建设项目7880万元；城管运行费及城区、农村保洁费相应增加。</w:t>
      </w:r>
    </w:p>
    <w:p>
      <w:pPr>
        <w:keepNext w:val="0"/>
        <w:keepLines w:val="0"/>
        <w:pageBreakBefore w:val="0"/>
        <w:widowControl/>
        <w:kinsoku/>
        <w:wordWrap/>
        <w:overflowPunct/>
        <w:topLinePunct w:val="0"/>
        <w:autoSpaceDE/>
        <w:autoSpaceDN/>
        <w:bidi w:val="0"/>
        <w:adjustRightInd/>
        <w:snapToGrid/>
        <w:spacing w:before="10" w:after="10" w:line="500" w:lineRule="exact"/>
        <w:ind w:firstLine="640" w:firstLineChars="200"/>
        <w:jc w:val="left"/>
        <w:textAlignment w:val="auto"/>
        <w:outlineLvl w:val="9"/>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2024年，我单位机关运行经费共计安排59.50万元，主要用于日常维修、办公用房水电费、办公用房取暖费、办公用房物业管理费等日常运行支出。</w:t>
      </w:r>
    </w:p>
    <w:p>
      <w:pPr>
        <w:keepNext w:val="0"/>
        <w:keepLines w:val="0"/>
        <w:pageBreakBefore w:val="0"/>
        <w:widowControl/>
        <w:kinsoku/>
        <w:wordWrap/>
        <w:overflowPunct/>
        <w:topLinePunct w:val="0"/>
        <w:autoSpaceDE/>
        <w:autoSpaceDN/>
        <w:bidi w:val="0"/>
        <w:adjustRightInd/>
        <w:snapToGrid/>
        <w:spacing w:before="10" w:after="10" w:line="500" w:lineRule="exact"/>
        <w:ind w:firstLine="640" w:firstLineChars="200"/>
        <w:jc w:val="left"/>
        <w:textAlignment w:val="auto"/>
        <w:outlineLvl w:val="9"/>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pPr>
      <w:r>
        <w:t>2024年，我单位财政拨款“三公”经费预算安排3.20万元，其中因公出国（境）费0.00万元；公务用车购置及运维费1.80万元（其中：公务用车购置费为0.00万元，公务用车运维费1.80万元)；公务接待费1.40万元。与2023年相比增加1.20万元，增减变化的主要原因是2024年预算本级、事业混编，2024年“三公”经费较2023年本级公务接待费增加1.2万元。</w:t>
      </w:r>
    </w:p>
    <w:p>
      <w:pPr>
        <w:keepNext w:val="0"/>
        <w:keepLines w:val="0"/>
        <w:pageBreakBefore w:val="0"/>
        <w:widowControl/>
        <w:kinsoku/>
        <w:wordWrap/>
        <w:overflowPunct/>
        <w:topLinePunct w:val="0"/>
        <w:autoSpaceDE/>
        <w:autoSpaceDN/>
        <w:bidi w:val="0"/>
        <w:adjustRightInd/>
        <w:snapToGrid/>
        <w:spacing w:before="10" w:after="10" w:line="500" w:lineRule="exact"/>
        <w:ind w:firstLine="640" w:firstLineChars="200"/>
        <w:jc w:val="left"/>
        <w:textAlignment w:val="auto"/>
        <w:outlineLvl w:val="9"/>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1、昌黎县生活垃圾卫生填埋场生态封场及飞灰填埋场建设项目绩效目标表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13032223P00E4T0100797</w:t>
            </w:r>
          </w:p>
        </w:tc>
        <w:tc>
          <w:tcPr>
            <w:tcW w:w="2114" w:type="dxa"/>
            <w:vAlign w:val="center"/>
          </w:tcPr>
          <w:p>
            <w:pPr>
              <w:pStyle w:val="10"/>
            </w:pPr>
            <w:r>
              <w:t>项目名称</w:t>
            </w:r>
          </w:p>
        </w:tc>
        <w:tc>
          <w:tcPr>
            <w:tcW w:w="6342" w:type="dxa"/>
            <w:gridSpan w:val="3"/>
            <w:vAlign w:val="center"/>
          </w:tcPr>
          <w:p>
            <w:pPr>
              <w:pStyle w:val="12"/>
            </w:pPr>
            <w:r>
              <w:t>昌黎县生活垃圾卫生填埋场生态封场及飞灰填埋场建设项目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4980.00</w:t>
            </w:r>
          </w:p>
        </w:tc>
        <w:tc>
          <w:tcPr>
            <w:tcW w:w="2114" w:type="dxa"/>
            <w:vAlign w:val="center"/>
          </w:tcPr>
          <w:p>
            <w:pPr>
              <w:pStyle w:val="10"/>
            </w:pPr>
            <w:r>
              <w:t>其中：财政    资金</w:t>
            </w:r>
          </w:p>
        </w:tc>
        <w:tc>
          <w:tcPr>
            <w:tcW w:w="2114" w:type="dxa"/>
            <w:vAlign w:val="center"/>
          </w:tcPr>
          <w:p>
            <w:pPr>
              <w:pStyle w:val="12"/>
            </w:pPr>
            <w:r>
              <w:t>4980.00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用于垃圾填埋场及飞灰填埋场建设项目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1.通过对昌黎县生活垃圾填埋场封场及飞灰填埋场项目的建设，完成后达到保证昌黎县生活垃圾焚烧后生成飞灰无害化处理的效果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飞灰库容量</w:t>
            </w:r>
          </w:p>
        </w:tc>
        <w:tc>
          <w:tcPr>
            <w:tcW w:w="4228" w:type="dxa"/>
            <w:vAlign w:val="center"/>
          </w:tcPr>
          <w:p>
            <w:pPr>
              <w:pStyle w:val="12"/>
            </w:pPr>
            <w:r>
              <w:t>飞灰填埋场有效库容量</w:t>
            </w:r>
          </w:p>
        </w:tc>
        <w:tc>
          <w:tcPr>
            <w:tcW w:w="2114" w:type="dxa"/>
            <w:vAlign w:val="center"/>
          </w:tcPr>
          <w:p>
            <w:pPr>
              <w:pStyle w:val="12"/>
            </w:pPr>
            <w:r>
              <w:t>50万立方米</w:t>
            </w:r>
          </w:p>
        </w:tc>
        <w:tc>
          <w:tcPr>
            <w:tcW w:w="2114" w:type="dxa"/>
            <w:vAlign w:val="center"/>
          </w:tcPr>
          <w:p>
            <w:pPr>
              <w:pStyle w:val="12"/>
            </w:pPr>
            <w:r>
              <w:t>设计要求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飞灰处理率</w:t>
            </w:r>
          </w:p>
        </w:tc>
        <w:tc>
          <w:tcPr>
            <w:tcW w:w="4228" w:type="dxa"/>
            <w:vAlign w:val="center"/>
          </w:tcPr>
          <w:p>
            <w:pPr>
              <w:pStyle w:val="12"/>
            </w:pPr>
            <w:r>
              <w:t>飞灰及时无害化处理占飞灰处理量的比例</w:t>
            </w:r>
          </w:p>
        </w:tc>
        <w:tc>
          <w:tcPr>
            <w:tcW w:w="2114" w:type="dxa"/>
            <w:vAlign w:val="center"/>
          </w:tcPr>
          <w:p>
            <w:pPr>
              <w:pStyle w:val="12"/>
            </w:pPr>
            <w:r>
              <w:t>100%</w:t>
            </w:r>
          </w:p>
        </w:tc>
        <w:tc>
          <w:tcPr>
            <w:tcW w:w="2114" w:type="dxa"/>
            <w:vAlign w:val="center"/>
          </w:tcPr>
          <w:p>
            <w:pPr>
              <w:pStyle w:val="12"/>
            </w:pPr>
            <w:r>
              <w:t>环保要求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建设项目完成时间</w:t>
            </w:r>
          </w:p>
        </w:tc>
        <w:tc>
          <w:tcPr>
            <w:tcW w:w="4228" w:type="dxa"/>
            <w:vAlign w:val="center"/>
          </w:tcPr>
          <w:p>
            <w:pPr>
              <w:pStyle w:val="12"/>
            </w:pPr>
            <w:r>
              <w:t>昌黎县生活垃圾填埋场生态封场及飞灰填埋场项目目建设完成的时</w:t>
            </w:r>
          </w:p>
        </w:tc>
        <w:tc>
          <w:tcPr>
            <w:tcW w:w="2114" w:type="dxa"/>
            <w:vAlign w:val="center"/>
          </w:tcPr>
          <w:p>
            <w:pPr>
              <w:pStyle w:val="12"/>
            </w:pPr>
            <w:r>
              <w:t>≤12月</w:t>
            </w:r>
          </w:p>
        </w:tc>
        <w:tc>
          <w:tcPr>
            <w:tcW w:w="2114" w:type="dxa"/>
            <w:vAlign w:val="center"/>
          </w:tcPr>
          <w:p>
            <w:pPr>
              <w:pStyle w:val="12"/>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建设项目成本</w:t>
            </w:r>
          </w:p>
        </w:tc>
        <w:tc>
          <w:tcPr>
            <w:tcW w:w="4228" w:type="dxa"/>
            <w:vAlign w:val="center"/>
          </w:tcPr>
          <w:p>
            <w:pPr>
              <w:pStyle w:val="12"/>
            </w:pPr>
            <w:r>
              <w:t>垃圾填埋场生态封场及飞灰填埋场项目成本</w:t>
            </w:r>
          </w:p>
        </w:tc>
        <w:tc>
          <w:tcPr>
            <w:tcW w:w="2114" w:type="dxa"/>
            <w:vAlign w:val="center"/>
          </w:tcPr>
          <w:p>
            <w:pPr>
              <w:pStyle w:val="12"/>
            </w:pPr>
            <w:r>
              <w:t>1.24亿元</w:t>
            </w:r>
          </w:p>
        </w:tc>
        <w:tc>
          <w:tcPr>
            <w:tcW w:w="2114" w:type="dxa"/>
            <w:vAlign w:val="center"/>
          </w:tcPr>
          <w:p>
            <w:pPr>
              <w:pStyle w:val="12"/>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带动本地企业经济收入</w:t>
            </w:r>
          </w:p>
        </w:tc>
        <w:tc>
          <w:tcPr>
            <w:tcW w:w="4228" w:type="dxa"/>
            <w:vAlign w:val="center"/>
          </w:tcPr>
          <w:p>
            <w:pPr>
              <w:pStyle w:val="12"/>
            </w:pPr>
            <w:r>
              <w:t>通过建设垃圾填埋场封场及飞灰填埋场项目带动本地企业经济收入</w:t>
            </w:r>
          </w:p>
        </w:tc>
        <w:tc>
          <w:tcPr>
            <w:tcW w:w="2114" w:type="dxa"/>
            <w:vAlign w:val="center"/>
          </w:tcPr>
          <w:p>
            <w:pPr>
              <w:pStyle w:val="12"/>
            </w:pPr>
            <w:r>
              <w:t>1.24亿元</w:t>
            </w:r>
          </w:p>
        </w:tc>
        <w:tc>
          <w:tcPr>
            <w:tcW w:w="2114" w:type="dxa"/>
            <w:vAlign w:val="center"/>
          </w:tcPr>
          <w:p>
            <w:pPr>
              <w:pStyle w:val="12"/>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垃圾焚烧处理飞灰增长率</w:t>
            </w:r>
          </w:p>
        </w:tc>
        <w:tc>
          <w:tcPr>
            <w:tcW w:w="4228" w:type="dxa"/>
            <w:vAlign w:val="center"/>
          </w:tcPr>
          <w:p>
            <w:pPr>
              <w:pStyle w:val="12"/>
            </w:pPr>
            <w:r>
              <w:t>通过对飞灰填埋场的建设增加垃圾焚烧处理量占垃圾处理的比例</w:t>
            </w:r>
          </w:p>
        </w:tc>
        <w:tc>
          <w:tcPr>
            <w:tcW w:w="2114" w:type="dxa"/>
            <w:vAlign w:val="center"/>
          </w:tcPr>
          <w:p>
            <w:pPr>
              <w:pStyle w:val="12"/>
            </w:pPr>
            <w:r>
              <w:t>≥30%</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改善农村环境率</w:t>
            </w:r>
          </w:p>
        </w:tc>
        <w:tc>
          <w:tcPr>
            <w:tcW w:w="4228" w:type="dxa"/>
            <w:vAlign w:val="center"/>
          </w:tcPr>
          <w:p>
            <w:pPr>
              <w:pStyle w:val="12"/>
            </w:pPr>
            <w:r>
              <w:t>通过对飞灰填埋场的建设完成对全县垃圾焚烧生成的飞灰，对环境的改善占垃圾焚烧前环境改善的比例</w:t>
            </w:r>
          </w:p>
        </w:tc>
        <w:tc>
          <w:tcPr>
            <w:tcW w:w="2114" w:type="dxa"/>
            <w:vAlign w:val="center"/>
          </w:tcPr>
          <w:p>
            <w:pPr>
              <w:pStyle w:val="12"/>
            </w:pPr>
            <w:r>
              <w:t>≥95%</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飞灰处理对环境影响</w:t>
            </w:r>
          </w:p>
        </w:tc>
        <w:tc>
          <w:tcPr>
            <w:tcW w:w="4228" w:type="dxa"/>
            <w:vAlign w:val="center"/>
          </w:tcPr>
          <w:p>
            <w:pPr>
              <w:pStyle w:val="12"/>
            </w:pPr>
            <w:r>
              <w:t>通过对飞灰填埋场的建设实全县垃圾焚烧生成飞灰，可保持对环境影响的期限</w:t>
            </w:r>
          </w:p>
        </w:tc>
        <w:tc>
          <w:tcPr>
            <w:tcW w:w="2114" w:type="dxa"/>
            <w:vAlign w:val="center"/>
          </w:tcPr>
          <w:p>
            <w:pPr>
              <w:pStyle w:val="12"/>
            </w:pPr>
            <w:r>
              <w:t>1天</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居民满意度</w:t>
            </w:r>
          </w:p>
        </w:tc>
        <w:tc>
          <w:tcPr>
            <w:tcW w:w="4228" w:type="dxa"/>
            <w:vAlign w:val="center"/>
          </w:tcPr>
          <w:p>
            <w:pPr>
              <w:pStyle w:val="12"/>
            </w:pPr>
            <w:r>
              <w:t>通过问卷调查，满意和较满意的群众占全部调研对象的比例</w:t>
            </w:r>
          </w:p>
        </w:tc>
        <w:tc>
          <w:tcPr>
            <w:tcW w:w="2114" w:type="dxa"/>
            <w:vAlign w:val="center"/>
          </w:tcPr>
          <w:p>
            <w:pPr>
              <w:pStyle w:val="12"/>
            </w:pPr>
            <w:r>
              <w:t>≥95%</w:t>
            </w:r>
          </w:p>
        </w:tc>
        <w:tc>
          <w:tcPr>
            <w:tcW w:w="2114"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2、昌黎县生活垃圾卫生填埋场生态封场及飞灰填埋场建设项目绩效目标表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13032223P00E4T010080J</w:t>
            </w:r>
          </w:p>
        </w:tc>
        <w:tc>
          <w:tcPr>
            <w:tcW w:w="2114" w:type="dxa"/>
            <w:vAlign w:val="center"/>
          </w:tcPr>
          <w:p>
            <w:pPr>
              <w:pStyle w:val="10"/>
            </w:pPr>
            <w:r>
              <w:t>项目名称</w:t>
            </w:r>
          </w:p>
        </w:tc>
        <w:tc>
          <w:tcPr>
            <w:tcW w:w="6342" w:type="dxa"/>
            <w:gridSpan w:val="3"/>
            <w:vAlign w:val="center"/>
          </w:tcPr>
          <w:p>
            <w:pPr>
              <w:pStyle w:val="12"/>
            </w:pPr>
            <w:r>
              <w:t>昌黎县生活垃圾卫生填埋场生态封场及飞灰填埋场建设项目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2900.00</w:t>
            </w:r>
          </w:p>
        </w:tc>
        <w:tc>
          <w:tcPr>
            <w:tcW w:w="2114" w:type="dxa"/>
            <w:vAlign w:val="center"/>
          </w:tcPr>
          <w:p>
            <w:pPr>
              <w:pStyle w:val="10"/>
            </w:pPr>
            <w:r>
              <w:t>其中：财政    资金</w:t>
            </w:r>
          </w:p>
        </w:tc>
        <w:tc>
          <w:tcPr>
            <w:tcW w:w="2114" w:type="dxa"/>
            <w:vAlign w:val="center"/>
          </w:tcPr>
          <w:p>
            <w:pPr>
              <w:pStyle w:val="12"/>
            </w:pPr>
            <w:r>
              <w:t>2900.00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用于垃圾填埋场及飞灰填埋场建设项目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1.通过对昌黎县生活垃圾填埋场封场及飞灰填埋场项目的建设，完成后达到保证昌黎县生活垃圾焚烧后生成飞灰无害化处理的效果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飞灰库容量</w:t>
            </w:r>
          </w:p>
        </w:tc>
        <w:tc>
          <w:tcPr>
            <w:tcW w:w="4228" w:type="dxa"/>
            <w:vAlign w:val="center"/>
          </w:tcPr>
          <w:p>
            <w:pPr>
              <w:pStyle w:val="12"/>
            </w:pPr>
            <w:r>
              <w:t>飞灰填埋场有效库容量</w:t>
            </w:r>
          </w:p>
        </w:tc>
        <w:tc>
          <w:tcPr>
            <w:tcW w:w="2114" w:type="dxa"/>
            <w:vAlign w:val="center"/>
          </w:tcPr>
          <w:p>
            <w:pPr>
              <w:pStyle w:val="12"/>
            </w:pPr>
            <w:r>
              <w:t>50万立方米</w:t>
            </w:r>
          </w:p>
        </w:tc>
        <w:tc>
          <w:tcPr>
            <w:tcW w:w="2114" w:type="dxa"/>
            <w:vAlign w:val="center"/>
          </w:tcPr>
          <w:p>
            <w:pPr>
              <w:pStyle w:val="12"/>
            </w:pPr>
            <w:r>
              <w:t>设计要求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飞灰处理率</w:t>
            </w:r>
          </w:p>
        </w:tc>
        <w:tc>
          <w:tcPr>
            <w:tcW w:w="4228" w:type="dxa"/>
            <w:vAlign w:val="center"/>
          </w:tcPr>
          <w:p>
            <w:pPr>
              <w:pStyle w:val="12"/>
            </w:pPr>
            <w:r>
              <w:t>飞灰及时无害化处理占飞灰处理量的比例</w:t>
            </w:r>
          </w:p>
        </w:tc>
        <w:tc>
          <w:tcPr>
            <w:tcW w:w="2114" w:type="dxa"/>
            <w:vAlign w:val="center"/>
          </w:tcPr>
          <w:p>
            <w:pPr>
              <w:pStyle w:val="12"/>
            </w:pPr>
            <w:r>
              <w:t>100%</w:t>
            </w:r>
          </w:p>
        </w:tc>
        <w:tc>
          <w:tcPr>
            <w:tcW w:w="2114" w:type="dxa"/>
            <w:vAlign w:val="center"/>
          </w:tcPr>
          <w:p>
            <w:pPr>
              <w:pStyle w:val="12"/>
            </w:pPr>
            <w:r>
              <w:t>环保要求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建设项目完成时间</w:t>
            </w:r>
          </w:p>
        </w:tc>
        <w:tc>
          <w:tcPr>
            <w:tcW w:w="4228" w:type="dxa"/>
            <w:vAlign w:val="center"/>
          </w:tcPr>
          <w:p>
            <w:pPr>
              <w:pStyle w:val="12"/>
            </w:pPr>
            <w:r>
              <w:t>昌黎县生活垃圾填埋场生态封场及飞灰填埋场项目目建设完成的时间</w:t>
            </w:r>
          </w:p>
        </w:tc>
        <w:tc>
          <w:tcPr>
            <w:tcW w:w="2114" w:type="dxa"/>
            <w:vAlign w:val="center"/>
          </w:tcPr>
          <w:p>
            <w:pPr>
              <w:pStyle w:val="12"/>
            </w:pPr>
            <w:r>
              <w:t>≤12月</w:t>
            </w:r>
          </w:p>
        </w:tc>
        <w:tc>
          <w:tcPr>
            <w:tcW w:w="2114" w:type="dxa"/>
            <w:vAlign w:val="center"/>
          </w:tcPr>
          <w:p>
            <w:pPr>
              <w:pStyle w:val="12"/>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建设项目成本</w:t>
            </w:r>
          </w:p>
        </w:tc>
        <w:tc>
          <w:tcPr>
            <w:tcW w:w="4228" w:type="dxa"/>
            <w:vAlign w:val="center"/>
          </w:tcPr>
          <w:p>
            <w:pPr>
              <w:pStyle w:val="12"/>
            </w:pPr>
            <w:r>
              <w:t>垃圾填埋场生态封场及飞灰填埋场项目成本</w:t>
            </w:r>
          </w:p>
        </w:tc>
        <w:tc>
          <w:tcPr>
            <w:tcW w:w="2114" w:type="dxa"/>
            <w:vAlign w:val="center"/>
          </w:tcPr>
          <w:p>
            <w:pPr>
              <w:pStyle w:val="12"/>
            </w:pPr>
            <w:r>
              <w:t>1.24亿元</w:t>
            </w:r>
          </w:p>
        </w:tc>
        <w:tc>
          <w:tcPr>
            <w:tcW w:w="2114" w:type="dxa"/>
            <w:vAlign w:val="center"/>
          </w:tcPr>
          <w:p>
            <w:pPr>
              <w:pStyle w:val="12"/>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带动本地企业经济收入</w:t>
            </w:r>
          </w:p>
        </w:tc>
        <w:tc>
          <w:tcPr>
            <w:tcW w:w="4228" w:type="dxa"/>
            <w:vAlign w:val="center"/>
          </w:tcPr>
          <w:p>
            <w:pPr>
              <w:pStyle w:val="12"/>
            </w:pPr>
            <w:r>
              <w:t>通过建设垃圾</w:t>
            </w:r>
            <w:bookmarkStart w:id="1" w:name="_GoBack"/>
            <w:bookmarkEnd w:id="1"/>
            <w:r>
              <w:t>填埋场封场及飞灰填埋场项目带动本地企业经济收入</w:t>
            </w:r>
          </w:p>
        </w:tc>
        <w:tc>
          <w:tcPr>
            <w:tcW w:w="2114" w:type="dxa"/>
            <w:vAlign w:val="center"/>
          </w:tcPr>
          <w:p>
            <w:pPr>
              <w:pStyle w:val="12"/>
            </w:pPr>
            <w:r>
              <w:t>1.24亿元</w:t>
            </w:r>
          </w:p>
        </w:tc>
        <w:tc>
          <w:tcPr>
            <w:tcW w:w="2114" w:type="dxa"/>
            <w:vAlign w:val="center"/>
          </w:tcPr>
          <w:p>
            <w:pPr>
              <w:pStyle w:val="12"/>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垃圾焚烧处理飞灰增长率</w:t>
            </w:r>
          </w:p>
        </w:tc>
        <w:tc>
          <w:tcPr>
            <w:tcW w:w="4228" w:type="dxa"/>
            <w:vAlign w:val="center"/>
          </w:tcPr>
          <w:p>
            <w:pPr>
              <w:pStyle w:val="12"/>
            </w:pPr>
            <w:r>
              <w:t>通过对飞灰填埋场的建设增加垃圾焚烧处理量占垃圾处理的比例</w:t>
            </w:r>
          </w:p>
        </w:tc>
        <w:tc>
          <w:tcPr>
            <w:tcW w:w="2114" w:type="dxa"/>
            <w:vAlign w:val="center"/>
          </w:tcPr>
          <w:p>
            <w:pPr>
              <w:pStyle w:val="12"/>
            </w:pPr>
            <w:r>
              <w:t>≥30%</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改善农村环境率</w:t>
            </w:r>
          </w:p>
        </w:tc>
        <w:tc>
          <w:tcPr>
            <w:tcW w:w="4228" w:type="dxa"/>
            <w:vAlign w:val="center"/>
          </w:tcPr>
          <w:p>
            <w:pPr>
              <w:pStyle w:val="12"/>
            </w:pPr>
            <w:r>
              <w:t>通过对飞灰填埋场的建设完成对全县垃圾焚烧生成的飞灰，对环境的改善占垃圾焚烧前环境改善的比例</w:t>
            </w:r>
          </w:p>
        </w:tc>
        <w:tc>
          <w:tcPr>
            <w:tcW w:w="2114" w:type="dxa"/>
            <w:vAlign w:val="center"/>
          </w:tcPr>
          <w:p>
            <w:pPr>
              <w:pStyle w:val="12"/>
            </w:pPr>
            <w:r>
              <w:t>≥95%</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飞灰处理对环境影响</w:t>
            </w:r>
          </w:p>
        </w:tc>
        <w:tc>
          <w:tcPr>
            <w:tcW w:w="4228" w:type="dxa"/>
            <w:vAlign w:val="center"/>
          </w:tcPr>
          <w:p>
            <w:pPr>
              <w:pStyle w:val="12"/>
            </w:pPr>
            <w:r>
              <w:t>通过对飞灰填埋场的建设实全县垃圾焚烧生成飞灰，可保持对环境影响的期限</w:t>
            </w:r>
          </w:p>
        </w:tc>
        <w:tc>
          <w:tcPr>
            <w:tcW w:w="2114" w:type="dxa"/>
            <w:vAlign w:val="center"/>
          </w:tcPr>
          <w:p>
            <w:pPr>
              <w:pStyle w:val="12"/>
            </w:pPr>
            <w:r>
              <w:t>1天</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居民满意度</w:t>
            </w:r>
          </w:p>
        </w:tc>
        <w:tc>
          <w:tcPr>
            <w:tcW w:w="4228" w:type="dxa"/>
            <w:vAlign w:val="center"/>
          </w:tcPr>
          <w:p>
            <w:pPr>
              <w:pStyle w:val="12"/>
            </w:pPr>
            <w:r>
              <w:t>通过问卷调查，满意和较满意的群众占全部调研对象的比例</w:t>
            </w:r>
          </w:p>
        </w:tc>
        <w:tc>
          <w:tcPr>
            <w:tcW w:w="2114" w:type="dxa"/>
            <w:vAlign w:val="center"/>
          </w:tcPr>
          <w:p>
            <w:pPr>
              <w:pStyle w:val="12"/>
            </w:pPr>
            <w:r>
              <w:t>≥95%</w:t>
            </w:r>
          </w:p>
        </w:tc>
        <w:tc>
          <w:tcPr>
            <w:tcW w:w="2114"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3、城管运行费绩效目标表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13032224P00E4T0100828</w:t>
            </w:r>
          </w:p>
        </w:tc>
        <w:tc>
          <w:tcPr>
            <w:tcW w:w="2114" w:type="dxa"/>
            <w:vAlign w:val="center"/>
          </w:tcPr>
          <w:p>
            <w:pPr>
              <w:pStyle w:val="10"/>
            </w:pPr>
            <w:r>
              <w:t>项目名称</w:t>
            </w:r>
          </w:p>
        </w:tc>
        <w:tc>
          <w:tcPr>
            <w:tcW w:w="6342" w:type="dxa"/>
            <w:gridSpan w:val="3"/>
            <w:vAlign w:val="center"/>
          </w:tcPr>
          <w:p>
            <w:pPr>
              <w:pStyle w:val="12"/>
            </w:pPr>
            <w:r>
              <w:t>城管运行费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1200.00</w:t>
            </w:r>
          </w:p>
        </w:tc>
        <w:tc>
          <w:tcPr>
            <w:tcW w:w="2114" w:type="dxa"/>
            <w:vAlign w:val="center"/>
          </w:tcPr>
          <w:p>
            <w:pPr>
              <w:pStyle w:val="10"/>
            </w:pPr>
            <w:r>
              <w:t>其中：财政    资金</w:t>
            </w:r>
          </w:p>
        </w:tc>
        <w:tc>
          <w:tcPr>
            <w:tcW w:w="2114" w:type="dxa"/>
            <w:vAlign w:val="center"/>
          </w:tcPr>
          <w:p>
            <w:pPr>
              <w:pStyle w:val="12"/>
            </w:pPr>
            <w:r>
              <w:t>1200.00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用于环卫、垃圾中转站设备维修、车辆修理费、燃油费，广告牌匾整治，城区拆违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1.通过城区环卫正常运转及公厕正常维护，保证全县垃圾的清扫、清运、焚烧及完成城区99座公厕的粪便无害化处理的效果。</w:t>
            </w:r>
          </w:p>
          <w:p>
            <w:pPr>
              <w:pStyle w:val="12"/>
            </w:pPr>
            <w:r>
              <w:t>2.通过对四个垃圾中转站设备的维护及公厕管理规范化，达到保证昌黎县生活垃圾中转站正常运转及改善人居环境的效果。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公厕数量</w:t>
            </w:r>
          </w:p>
        </w:tc>
        <w:tc>
          <w:tcPr>
            <w:tcW w:w="4228" w:type="dxa"/>
            <w:vAlign w:val="center"/>
          </w:tcPr>
          <w:p>
            <w:pPr>
              <w:pStyle w:val="12"/>
            </w:pPr>
            <w:r>
              <w:t>城区公厕数量</w:t>
            </w:r>
          </w:p>
        </w:tc>
        <w:tc>
          <w:tcPr>
            <w:tcW w:w="2114" w:type="dxa"/>
            <w:vAlign w:val="center"/>
          </w:tcPr>
          <w:p>
            <w:pPr>
              <w:pStyle w:val="12"/>
            </w:pPr>
            <w:r>
              <w:t>99座</w:t>
            </w:r>
          </w:p>
        </w:tc>
        <w:tc>
          <w:tcPr>
            <w:tcW w:w="2114" w:type="dxa"/>
            <w:vAlign w:val="center"/>
          </w:tcPr>
          <w:p>
            <w:pPr>
              <w:pStyle w:val="12"/>
            </w:pPr>
            <w:r>
              <w:t>城区面积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垃圾焚烧率</w:t>
            </w:r>
          </w:p>
        </w:tc>
        <w:tc>
          <w:tcPr>
            <w:tcW w:w="4228" w:type="dxa"/>
            <w:vAlign w:val="center"/>
          </w:tcPr>
          <w:p>
            <w:pPr>
              <w:pStyle w:val="12"/>
            </w:pPr>
            <w:r>
              <w:t>垃圾及时焚烧量占垃圾处理量的比例</w:t>
            </w:r>
          </w:p>
        </w:tc>
        <w:tc>
          <w:tcPr>
            <w:tcW w:w="2114" w:type="dxa"/>
            <w:vAlign w:val="center"/>
          </w:tcPr>
          <w:p>
            <w:pPr>
              <w:pStyle w:val="12"/>
            </w:pPr>
            <w:r>
              <w:t>100%</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垃圾清扫清运及焚烧处理及时性</w:t>
            </w:r>
          </w:p>
        </w:tc>
        <w:tc>
          <w:tcPr>
            <w:tcW w:w="4228" w:type="dxa"/>
            <w:vAlign w:val="center"/>
          </w:tcPr>
          <w:p>
            <w:pPr>
              <w:pStyle w:val="12"/>
            </w:pPr>
            <w:r>
              <w:t>对垃圾及时清扫、清运及焚烧处理的时间</w:t>
            </w:r>
          </w:p>
        </w:tc>
        <w:tc>
          <w:tcPr>
            <w:tcW w:w="2114" w:type="dxa"/>
            <w:vAlign w:val="center"/>
          </w:tcPr>
          <w:p>
            <w:pPr>
              <w:pStyle w:val="12"/>
            </w:pPr>
            <w:r>
              <w:t>≤1天</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城管运行费</w:t>
            </w:r>
          </w:p>
        </w:tc>
        <w:tc>
          <w:tcPr>
            <w:tcW w:w="4228" w:type="dxa"/>
            <w:vAlign w:val="center"/>
          </w:tcPr>
          <w:p>
            <w:pPr>
              <w:pStyle w:val="12"/>
            </w:pPr>
            <w:r>
              <w:t>城管全年运行费用</w:t>
            </w:r>
          </w:p>
        </w:tc>
        <w:tc>
          <w:tcPr>
            <w:tcW w:w="2114" w:type="dxa"/>
            <w:vAlign w:val="center"/>
          </w:tcPr>
          <w:p>
            <w:pPr>
              <w:pStyle w:val="12"/>
            </w:pPr>
            <w:r>
              <w:t>1200万元</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带动本地企业经济收入</w:t>
            </w:r>
          </w:p>
        </w:tc>
        <w:tc>
          <w:tcPr>
            <w:tcW w:w="4228" w:type="dxa"/>
            <w:vAlign w:val="center"/>
          </w:tcPr>
          <w:p>
            <w:pPr>
              <w:pStyle w:val="12"/>
            </w:pPr>
            <w:r>
              <w:t>通过对公厕无害化处理带动本地企业经济收入</w:t>
            </w:r>
          </w:p>
        </w:tc>
        <w:tc>
          <w:tcPr>
            <w:tcW w:w="2114" w:type="dxa"/>
            <w:vAlign w:val="center"/>
          </w:tcPr>
          <w:p>
            <w:pPr>
              <w:pStyle w:val="12"/>
            </w:pPr>
            <w:r>
              <w:t>200万元</w:t>
            </w:r>
          </w:p>
        </w:tc>
        <w:tc>
          <w:tcPr>
            <w:tcW w:w="2114" w:type="dxa"/>
            <w:vAlign w:val="center"/>
          </w:tcPr>
          <w:p>
            <w:pPr>
              <w:pStyle w:val="12"/>
            </w:pPr>
            <w:r>
              <w:t>公厕无害化处理实施方案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生活垃圾积存率</w:t>
            </w:r>
          </w:p>
        </w:tc>
        <w:tc>
          <w:tcPr>
            <w:tcW w:w="4228" w:type="dxa"/>
            <w:vAlign w:val="center"/>
          </w:tcPr>
          <w:p>
            <w:pPr>
              <w:pStyle w:val="12"/>
            </w:pPr>
            <w:r>
              <w:t>对全县生活垃圾处理水平，保证无垃圾积存</w:t>
            </w:r>
          </w:p>
        </w:tc>
        <w:tc>
          <w:tcPr>
            <w:tcW w:w="2114" w:type="dxa"/>
            <w:vAlign w:val="center"/>
          </w:tcPr>
          <w:p>
            <w:pPr>
              <w:pStyle w:val="12"/>
            </w:pPr>
            <w:r>
              <w:t>≤10%</w:t>
            </w:r>
          </w:p>
        </w:tc>
        <w:tc>
          <w:tcPr>
            <w:tcW w:w="2114"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水土检测合格率</w:t>
            </w:r>
          </w:p>
        </w:tc>
        <w:tc>
          <w:tcPr>
            <w:tcW w:w="4228" w:type="dxa"/>
            <w:vAlign w:val="center"/>
          </w:tcPr>
          <w:p>
            <w:pPr>
              <w:pStyle w:val="12"/>
            </w:pPr>
            <w:r>
              <w:t>生态环境恢复要以保持并完善系统的生态平衡为宗旨。水土检测合格样本占检测样本总数的比例</w:t>
            </w:r>
          </w:p>
        </w:tc>
        <w:tc>
          <w:tcPr>
            <w:tcW w:w="2114" w:type="dxa"/>
            <w:vAlign w:val="center"/>
          </w:tcPr>
          <w:p>
            <w:pPr>
              <w:pStyle w:val="12"/>
            </w:pPr>
            <w:r>
              <w:t>≥95%</w:t>
            </w:r>
          </w:p>
        </w:tc>
        <w:tc>
          <w:tcPr>
            <w:tcW w:w="2114" w:type="dxa"/>
            <w:vAlign w:val="center"/>
          </w:tcPr>
          <w:p>
            <w:pPr>
              <w:pStyle w:val="12"/>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垃圾处理对环境影响期限</w:t>
            </w:r>
          </w:p>
        </w:tc>
        <w:tc>
          <w:tcPr>
            <w:tcW w:w="4228" w:type="dxa"/>
            <w:vAlign w:val="center"/>
          </w:tcPr>
          <w:p>
            <w:pPr>
              <w:pStyle w:val="12"/>
            </w:pPr>
            <w:r>
              <w:t>垃圾处理后对水，土壤等安全期限</w:t>
            </w:r>
          </w:p>
        </w:tc>
        <w:tc>
          <w:tcPr>
            <w:tcW w:w="2114" w:type="dxa"/>
            <w:vAlign w:val="center"/>
          </w:tcPr>
          <w:p>
            <w:pPr>
              <w:pStyle w:val="12"/>
            </w:pPr>
            <w:r>
              <w:t>1月</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居民满意度</w:t>
            </w:r>
          </w:p>
        </w:tc>
        <w:tc>
          <w:tcPr>
            <w:tcW w:w="4228" w:type="dxa"/>
            <w:vAlign w:val="center"/>
          </w:tcPr>
          <w:p>
            <w:pPr>
              <w:pStyle w:val="12"/>
            </w:pPr>
            <w:r>
              <w:t>通过问卷调查，满意和较满意的收益对象占全部调研对象的比例</w:t>
            </w:r>
          </w:p>
        </w:tc>
        <w:tc>
          <w:tcPr>
            <w:tcW w:w="2114" w:type="dxa"/>
            <w:vAlign w:val="center"/>
          </w:tcPr>
          <w:p>
            <w:pPr>
              <w:pStyle w:val="12"/>
            </w:pPr>
            <w:r>
              <w:t>≥95%</w:t>
            </w:r>
          </w:p>
        </w:tc>
        <w:tc>
          <w:tcPr>
            <w:tcW w:w="2114"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4、城区、农村保洁费绩效目标表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13032224P00E4T010083U</w:t>
            </w:r>
          </w:p>
        </w:tc>
        <w:tc>
          <w:tcPr>
            <w:tcW w:w="2114" w:type="dxa"/>
            <w:vAlign w:val="center"/>
          </w:tcPr>
          <w:p>
            <w:pPr>
              <w:pStyle w:val="10"/>
            </w:pPr>
            <w:r>
              <w:t>项目名称</w:t>
            </w:r>
          </w:p>
        </w:tc>
        <w:tc>
          <w:tcPr>
            <w:tcW w:w="6342" w:type="dxa"/>
            <w:gridSpan w:val="3"/>
            <w:vAlign w:val="center"/>
          </w:tcPr>
          <w:p>
            <w:pPr>
              <w:pStyle w:val="12"/>
            </w:pPr>
            <w:r>
              <w:t>城区、农村保洁费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4000.00</w:t>
            </w:r>
          </w:p>
        </w:tc>
        <w:tc>
          <w:tcPr>
            <w:tcW w:w="2114" w:type="dxa"/>
            <w:vAlign w:val="center"/>
          </w:tcPr>
          <w:p>
            <w:pPr>
              <w:pStyle w:val="10"/>
            </w:pPr>
            <w:r>
              <w:t>其中：财政    资金</w:t>
            </w:r>
          </w:p>
        </w:tc>
        <w:tc>
          <w:tcPr>
            <w:tcW w:w="2114" w:type="dxa"/>
            <w:vAlign w:val="center"/>
          </w:tcPr>
          <w:p>
            <w:pPr>
              <w:pStyle w:val="12"/>
            </w:pPr>
            <w:r>
              <w:t>4000.00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用于城区及农村保洁费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1.通过完成农村16个乡镇、坑塘连村路及城区的保洁，达到改善城区及农村环境的效果。</w:t>
            </w:r>
          </w:p>
          <w:p>
            <w:pPr>
              <w:pStyle w:val="12"/>
            </w:pPr>
            <w:r>
              <w:t>2.通过对农村及城区垃圾及时清扫清运，达到改善城区、农村环境的效果。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农村保洁范围</w:t>
            </w:r>
          </w:p>
        </w:tc>
        <w:tc>
          <w:tcPr>
            <w:tcW w:w="4228" w:type="dxa"/>
            <w:vAlign w:val="center"/>
          </w:tcPr>
          <w:p>
            <w:pPr>
              <w:pStyle w:val="12"/>
            </w:pPr>
            <w:r>
              <w:t>保洁农村环境的乡镇个数</w:t>
            </w:r>
          </w:p>
        </w:tc>
        <w:tc>
          <w:tcPr>
            <w:tcW w:w="2114" w:type="dxa"/>
            <w:vAlign w:val="center"/>
          </w:tcPr>
          <w:p>
            <w:pPr>
              <w:pStyle w:val="12"/>
            </w:pPr>
            <w:r>
              <w:t>16个</w:t>
            </w:r>
          </w:p>
        </w:tc>
        <w:tc>
          <w:tcPr>
            <w:tcW w:w="2114"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清扫合格率</w:t>
            </w:r>
          </w:p>
        </w:tc>
        <w:tc>
          <w:tcPr>
            <w:tcW w:w="4228" w:type="dxa"/>
            <w:vAlign w:val="center"/>
          </w:tcPr>
          <w:p>
            <w:pPr>
              <w:pStyle w:val="12"/>
            </w:pPr>
            <w:r>
              <w:t>对农村清扫合格的乡镇个数占全部保洁乡镇个数的比例</w:t>
            </w:r>
          </w:p>
        </w:tc>
        <w:tc>
          <w:tcPr>
            <w:tcW w:w="2114" w:type="dxa"/>
            <w:vAlign w:val="center"/>
          </w:tcPr>
          <w:p>
            <w:pPr>
              <w:pStyle w:val="12"/>
            </w:pPr>
            <w:r>
              <w:t>≥95%</w:t>
            </w:r>
          </w:p>
        </w:tc>
        <w:tc>
          <w:tcPr>
            <w:tcW w:w="211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验收时限</w:t>
            </w:r>
          </w:p>
        </w:tc>
        <w:tc>
          <w:tcPr>
            <w:tcW w:w="4228" w:type="dxa"/>
            <w:vAlign w:val="center"/>
          </w:tcPr>
          <w:p>
            <w:pPr>
              <w:pStyle w:val="12"/>
            </w:pPr>
            <w:r>
              <w:t>对保洁乡镇进行验收的时间</w:t>
            </w:r>
          </w:p>
        </w:tc>
        <w:tc>
          <w:tcPr>
            <w:tcW w:w="2114" w:type="dxa"/>
            <w:vAlign w:val="center"/>
          </w:tcPr>
          <w:p>
            <w:pPr>
              <w:pStyle w:val="12"/>
            </w:pPr>
            <w:r>
              <w:t>1月/次</w:t>
            </w:r>
          </w:p>
        </w:tc>
        <w:tc>
          <w:tcPr>
            <w:tcW w:w="2114" w:type="dxa"/>
            <w:vAlign w:val="center"/>
          </w:tcPr>
          <w:p>
            <w:pPr>
              <w:pStyle w:val="12"/>
            </w:pPr>
            <w:r>
              <w:t>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人均保洁成本</w:t>
            </w:r>
          </w:p>
        </w:tc>
        <w:tc>
          <w:tcPr>
            <w:tcW w:w="4228" w:type="dxa"/>
            <w:vAlign w:val="center"/>
          </w:tcPr>
          <w:p>
            <w:pPr>
              <w:pStyle w:val="12"/>
            </w:pPr>
            <w:r>
              <w:t>支付农村保洁费的人均保洁标准</w:t>
            </w:r>
          </w:p>
        </w:tc>
        <w:tc>
          <w:tcPr>
            <w:tcW w:w="2114" w:type="dxa"/>
            <w:vAlign w:val="center"/>
          </w:tcPr>
          <w:p>
            <w:pPr>
              <w:pStyle w:val="12"/>
            </w:pPr>
            <w:r>
              <w:t>78元/人</w:t>
            </w:r>
          </w:p>
        </w:tc>
        <w:tc>
          <w:tcPr>
            <w:tcW w:w="2114" w:type="dxa"/>
            <w:vAlign w:val="center"/>
          </w:tcPr>
          <w:p>
            <w:pPr>
              <w:pStyle w:val="12"/>
            </w:pPr>
            <w:r>
              <w:t>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增加环卫工人经济收入</w:t>
            </w:r>
          </w:p>
        </w:tc>
        <w:tc>
          <w:tcPr>
            <w:tcW w:w="4228" w:type="dxa"/>
            <w:vAlign w:val="center"/>
          </w:tcPr>
          <w:p>
            <w:pPr>
              <w:pStyle w:val="12"/>
            </w:pPr>
            <w:r>
              <w:t>通过雇佣环卫工人增加环卫工人每年收入</w:t>
            </w:r>
          </w:p>
        </w:tc>
        <w:tc>
          <w:tcPr>
            <w:tcW w:w="2114" w:type="dxa"/>
            <w:vAlign w:val="center"/>
          </w:tcPr>
          <w:p>
            <w:pPr>
              <w:pStyle w:val="12"/>
            </w:pPr>
            <w:r>
              <w:t>≥2.5万元/人</w:t>
            </w:r>
          </w:p>
        </w:tc>
        <w:tc>
          <w:tcPr>
            <w:tcW w:w="2114"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改善人居环境</w:t>
            </w:r>
          </w:p>
        </w:tc>
        <w:tc>
          <w:tcPr>
            <w:tcW w:w="4228" w:type="dxa"/>
            <w:vAlign w:val="center"/>
          </w:tcPr>
          <w:p>
            <w:pPr>
              <w:pStyle w:val="12"/>
            </w:pPr>
            <w:r>
              <w:t>通过对农村及城区保洁改善人居环境面积占人居环境面积的比例</w:t>
            </w:r>
          </w:p>
        </w:tc>
        <w:tc>
          <w:tcPr>
            <w:tcW w:w="2114" w:type="dxa"/>
            <w:vAlign w:val="center"/>
          </w:tcPr>
          <w:p>
            <w:pPr>
              <w:pStyle w:val="12"/>
            </w:pPr>
            <w:r>
              <w:t>≥96%</w:t>
            </w:r>
          </w:p>
        </w:tc>
        <w:tc>
          <w:tcPr>
            <w:tcW w:w="2114"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打造文明城市及洁净城市形象</w:t>
            </w:r>
          </w:p>
        </w:tc>
        <w:tc>
          <w:tcPr>
            <w:tcW w:w="4228" w:type="dxa"/>
            <w:vAlign w:val="center"/>
          </w:tcPr>
          <w:p>
            <w:pPr>
              <w:pStyle w:val="12"/>
            </w:pPr>
            <w:r>
              <w:t>通过环卫工人清扫及垃圾清运改善城市环境</w:t>
            </w:r>
          </w:p>
        </w:tc>
        <w:tc>
          <w:tcPr>
            <w:tcW w:w="2114" w:type="dxa"/>
            <w:vAlign w:val="center"/>
          </w:tcPr>
          <w:p>
            <w:pPr>
              <w:pStyle w:val="12"/>
            </w:pPr>
            <w:r>
              <w:t>≥20%</w:t>
            </w:r>
          </w:p>
        </w:tc>
        <w:tc>
          <w:tcPr>
            <w:tcW w:w="2114"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垃圾治理保洁的可持续影响</w:t>
            </w:r>
          </w:p>
        </w:tc>
        <w:tc>
          <w:tcPr>
            <w:tcW w:w="4228" w:type="dxa"/>
            <w:vAlign w:val="center"/>
          </w:tcPr>
          <w:p>
            <w:pPr>
              <w:pStyle w:val="12"/>
            </w:pPr>
            <w:r>
              <w:t>通过垃圾治理保洁，可保持环境卫生干净整洁的期限</w:t>
            </w:r>
          </w:p>
        </w:tc>
        <w:tc>
          <w:tcPr>
            <w:tcW w:w="2114" w:type="dxa"/>
            <w:vAlign w:val="center"/>
          </w:tcPr>
          <w:p>
            <w:pPr>
              <w:pStyle w:val="12"/>
            </w:pPr>
            <w:r>
              <w:t>≥1天</w:t>
            </w:r>
          </w:p>
        </w:tc>
        <w:tc>
          <w:tcPr>
            <w:tcW w:w="2114"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群众对垃圾治理的满意度</w:t>
            </w:r>
          </w:p>
        </w:tc>
        <w:tc>
          <w:tcPr>
            <w:tcW w:w="4228" w:type="dxa"/>
            <w:vAlign w:val="center"/>
          </w:tcPr>
          <w:p>
            <w:pPr>
              <w:pStyle w:val="12"/>
            </w:pPr>
            <w:r>
              <w:t>通过问卷调查，满意和较满意的收益对象占全部调研对象的比例</w:t>
            </w:r>
          </w:p>
        </w:tc>
        <w:tc>
          <w:tcPr>
            <w:tcW w:w="2114" w:type="dxa"/>
            <w:vAlign w:val="center"/>
          </w:tcPr>
          <w:p>
            <w:pPr>
              <w:pStyle w:val="12"/>
            </w:pPr>
            <w:r>
              <w:t>≥95%</w:t>
            </w:r>
          </w:p>
        </w:tc>
        <w:tc>
          <w:tcPr>
            <w:tcW w:w="2114"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昌黎县城市管理综合行政执法局本级上年末固定资产金额为4020.78万元（详见下表）。本年度拟购置固定资产总额为0.00万元，已按要求列入政府采购预算，详见政府采购预算表。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335001昌黎县城市管理综合行政执法局本级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4020.78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1、房屋（平方米）</w:t>
            </w:r>
          </w:p>
        </w:tc>
        <w:tc>
          <w:tcPr>
            <w:tcW w:w="4933" w:type="dxa"/>
            <w:vAlign w:val="center"/>
          </w:tcPr>
          <w:p>
            <w:pPr>
              <w:pStyle w:val="13"/>
            </w:pPr>
            <w:r>
              <w:t>1541</w:t>
            </w:r>
          </w:p>
        </w:tc>
        <w:tc>
          <w:tcPr>
            <w:tcW w:w="4933" w:type="dxa"/>
            <w:vAlign w:val="center"/>
          </w:tcPr>
          <w:p>
            <w:pPr>
              <w:pStyle w:val="11"/>
            </w:pPr>
            <w:r>
              <w:t>94.91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r>
              <w:t>700</w:t>
            </w:r>
          </w:p>
        </w:tc>
        <w:tc>
          <w:tcPr>
            <w:tcW w:w="4933" w:type="dxa"/>
            <w:vAlign w:val="center"/>
          </w:tcPr>
          <w:p>
            <w:pPr>
              <w:pStyle w:val="11"/>
            </w:pPr>
            <w:r>
              <w:t>72.50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88</w:t>
            </w:r>
          </w:p>
        </w:tc>
        <w:tc>
          <w:tcPr>
            <w:tcW w:w="4933" w:type="dxa"/>
            <w:vAlign w:val="center"/>
          </w:tcPr>
          <w:p>
            <w:pPr>
              <w:pStyle w:val="11"/>
            </w:pPr>
            <w:r>
              <w:t>3015.76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r>
              <w:t>4</w:t>
            </w:r>
          </w:p>
        </w:tc>
        <w:tc>
          <w:tcPr>
            <w:tcW w:w="4933" w:type="dxa"/>
            <w:vAlign w:val="center"/>
          </w:tcPr>
          <w:p>
            <w:pPr>
              <w:pStyle w:val="11"/>
            </w:pPr>
            <w:r>
              <w:t>154.15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pPr>
            <w:r>
              <w:t>310</w:t>
            </w:r>
          </w:p>
        </w:tc>
        <w:tc>
          <w:tcPr>
            <w:tcW w:w="4933" w:type="dxa"/>
            <w:vAlign w:val="center"/>
          </w:tcPr>
          <w:p>
            <w:pPr>
              <w:pStyle w:val="11"/>
            </w:pPr>
            <w:r>
              <w:t>755.97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val="en-US"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w:t>
      </w:r>
      <w:r>
        <w:rPr>
          <w:rFonts w:hint="eastAsia" w:eastAsia="方正仿宋_GBK" w:cs="Times New Roman"/>
          <w:b w:val="0"/>
          <w:color w:val="000000"/>
          <w:sz w:val="28"/>
          <w:lang w:eastAsia="zh-CN"/>
        </w:rPr>
        <w:t>事项。</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C778B"/>
    <w:rsid w:val="13DA408F"/>
    <w:rsid w:val="209013A7"/>
    <w:rsid w:val="22730F1E"/>
    <w:rsid w:val="341C7ABB"/>
    <w:rsid w:val="4A0A71F6"/>
    <w:rsid w:val="54E95CA1"/>
    <w:rsid w:val="565E6DD9"/>
    <w:rsid w:val="5F023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2024-02-05T09:57:43Z</dcterms:created>
  <dcterms:modified xsi:type="dcterms:W3CDTF">2024-02-05T01:57:43Z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2024-02-05T09:57:43Z</dcterms:created>
  <dcterms:modified xsi:type="dcterms:W3CDTF">2024-02-05T01:57:42Z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2024-02-05T09:57:39Z</dcterms:created>
  <dcterms:modified xsi:type="dcterms:W3CDTF">2024-02-05T01:57:39Z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2024-02-05T09:57:38Z</dcterms:created>
  <dcterms:modified xsi:type="dcterms:W3CDTF">2024-02-05T01:57:38Z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2024-02-05T09:57:25Z</dcterms:created>
  <dcterms:modified xsi:type="dcterms:W3CDTF">2024-02-05T01:57:25Z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2024-02-05T09:57:38Z</dcterms:created>
  <dcterms:modified xsi:type="dcterms:W3CDTF">2024-02-05T01:57:38Z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2024-02-05T09:57:37Z</dcterms:created>
  <dcterms:modified xsi:type="dcterms:W3CDTF">2024-02-05T01:57:37Z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2024-02-05T09:57:37Z</dcterms:created>
  <dcterms:modified xsi:type="dcterms:W3CDTF">2024-02-05T01:57:37Z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2024-02-05T09:57:36Z</dcterms:created>
  <dcterms:modified xsi:type="dcterms:W3CDTF">2024-02-05T01:57:36Z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ba35a88-8fc9-4138-86df-cbfe656e4522}">
  <ds:schemaRefs/>
</ds:datastoreItem>
</file>

<file path=customXml/itemProps11.xml><?xml version="1.0" encoding="utf-8"?>
<ds:datastoreItem xmlns:ds="http://schemas.openxmlformats.org/officeDocument/2006/customXml" ds:itemID="{0ef7fd1e-0f1b-4716-9830-62fc6278c552}">
  <ds:schemaRefs/>
</ds:datastoreItem>
</file>

<file path=customXml/itemProps12.xml><?xml version="1.0" encoding="utf-8"?>
<ds:datastoreItem xmlns:ds="http://schemas.openxmlformats.org/officeDocument/2006/customXml" ds:itemID="{e5fa7f54-cc8e-4485-a498-be26aa22b605}">
  <ds:schemaRefs/>
</ds:datastoreItem>
</file>

<file path=customXml/itemProps13.xml><?xml version="1.0" encoding="utf-8"?>
<ds:datastoreItem xmlns:ds="http://schemas.openxmlformats.org/officeDocument/2006/customXml" ds:itemID="{3a4aa350-eb45-4680-bf0a-19407bdf19d6}">
  <ds:schemaRefs/>
</ds:datastoreItem>
</file>

<file path=customXml/itemProps14.xml><?xml version="1.0" encoding="utf-8"?>
<ds:datastoreItem xmlns:ds="http://schemas.openxmlformats.org/officeDocument/2006/customXml" ds:itemID="{c51845c5-4208-4a15-9d5e-5baf5076c3d3}">
  <ds:schemaRefs/>
</ds:datastoreItem>
</file>

<file path=customXml/itemProps15.xml><?xml version="1.0" encoding="utf-8"?>
<ds:datastoreItem xmlns:ds="http://schemas.openxmlformats.org/officeDocument/2006/customXml" ds:itemID="{5b2821f3-767d-430d-8eef-04b149cc97aa}">
  <ds:schemaRefs/>
</ds:datastoreItem>
</file>

<file path=customXml/itemProps16.xml><?xml version="1.0" encoding="utf-8"?>
<ds:datastoreItem xmlns:ds="http://schemas.openxmlformats.org/officeDocument/2006/customXml" ds:itemID="{0743fe18-a79c-4ed2-b1e3-31266daadba4}">
  <ds:schemaRefs/>
</ds:datastoreItem>
</file>

<file path=customXml/itemProps17.xml><?xml version="1.0" encoding="utf-8"?>
<ds:datastoreItem xmlns:ds="http://schemas.openxmlformats.org/officeDocument/2006/customXml" ds:itemID="{c64ff146-fa7f-45a8-a75d-520a62628996}">
  <ds:schemaRefs/>
</ds:datastoreItem>
</file>

<file path=customXml/itemProps18.xml><?xml version="1.0" encoding="utf-8"?>
<ds:datastoreItem xmlns:ds="http://schemas.openxmlformats.org/officeDocument/2006/customXml" ds:itemID="{ed86d342-390d-43e1-9d0c-610d100551a0}">
  <ds:schemaRefs/>
</ds:datastoreItem>
</file>

<file path=customXml/itemProps19.xml><?xml version="1.0" encoding="utf-8"?>
<ds:datastoreItem xmlns:ds="http://schemas.openxmlformats.org/officeDocument/2006/customXml" ds:itemID="{5833a6bf-fe7c-4383-9f58-33b18ef106a3}">
  <ds:schemaRefs/>
</ds:datastoreItem>
</file>

<file path=customXml/itemProps2.xml><?xml version="1.0" encoding="utf-8"?>
<ds:datastoreItem xmlns:ds="http://schemas.openxmlformats.org/officeDocument/2006/customXml" ds:itemID="{79f94718-5568-4aaf-81ec-4dcf38d99bc1}">
  <ds:schemaRefs/>
</ds:datastoreItem>
</file>

<file path=customXml/itemProps3.xml><?xml version="1.0" encoding="utf-8"?>
<ds:datastoreItem xmlns:ds="http://schemas.openxmlformats.org/officeDocument/2006/customXml" ds:itemID="{6c2115be-31b3-4d1d-b6a1-f1a38efe5689}">
  <ds:schemaRefs/>
</ds:datastoreItem>
</file>

<file path=customXml/itemProps4.xml><?xml version="1.0" encoding="utf-8"?>
<ds:datastoreItem xmlns:ds="http://schemas.openxmlformats.org/officeDocument/2006/customXml" ds:itemID="{224bf025-4853-4218-8677-7e232ff69951}">
  <ds:schemaRefs/>
</ds:datastoreItem>
</file>

<file path=customXml/itemProps5.xml><?xml version="1.0" encoding="utf-8"?>
<ds:datastoreItem xmlns:ds="http://schemas.openxmlformats.org/officeDocument/2006/customXml" ds:itemID="{cb86dff8-59a7-4760-912c-a4980d37233b}">
  <ds:schemaRefs/>
</ds:datastoreItem>
</file>

<file path=customXml/itemProps6.xml><?xml version="1.0" encoding="utf-8"?>
<ds:datastoreItem xmlns:ds="http://schemas.openxmlformats.org/officeDocument/2006/customXml" ds:itemID="{697ae410-7993-4f1d-8c4d-a23f5d4432ff}">
  <ds:schemaRefs/>
</ds:datastoreItem>
</file>

<file path=customXml/itemProps7.xml><?xml version="1.0" encoding="utf-8"?>
<ds:datastoreItem xmlns:ds="http://schemas.openxmlformats.org/officeDocument/2006/customXml" ds:itemID="{20ad8eb9-daee-4933-86ba-c051b7c19e10}">
  <ds:schemaRefs/>
</ds:datastoreItem>
</file>

<file path=customXml/itemProps8.xml><?xml version="1.0" encoding="utf-8"?>
<ds:datastoreItem xmlns:ds="http://schemas.openxmlformats.org/officeDocument/2006/customXml" ds:itemID="{d2ebd1bf-4a39-43a6-a9ab-f3122e56f9f2}">
  <ds:schemaRefs/>
</ds:datastoreItem>
</file>

<file path=customXml/itemProps9.xml><?xml version="1.0" encoding="utf-8"?>
<ds:datastoreItem xmlns:ds="http://schemas.openxmlformats.org/officeDocument/2006/customXml" ds:itemID="{4f50d26c-2735-4ce5-81c5-8c47f61ab425}">
  <ds:schemaRefs/>
</ds:datastoreItem>
</file>

<file path=docProps/app.xml><?xml version="1.0" encoding="utf-8"?>
<Properties xmlns="http://schemas.openxmlformats.org/officeDocument/2006/extended-properties" xmlns:vt="http://schemas.openxmlformats.org/officeDocument/2006/docPropsVTypes">
  <TotalTime>150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2024-02-05T09:57:00Z</dcterms:created>
  <dc:creator>Administrator</dc:creator>
  <cp:lastModifiedBy>Administrator</cp:lastModifiedBy>
  <dcterms:modified xsi:type="dcterms:W3CDTF">2026-01-07T07:00:48Z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49B7D31015234565B1D314F048011E0A</vt:lpwstr>
  </property>
</Properties>
</file>