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43DE9">
      <w:pPr>
        <w:jc w:val="center"/>
        <w:rPr>
          <w:rFonts w:ascii="宋体" w:hAnsi="宋体" w:eastAsia="宋体"/>
          <w:b/>
          <w:sz w:val="44"/>
          <w:szCs w:val="44"/>
        </w:rPr>
      </w:pPr>
      <w:r>
        <w:rPr>
          <w:rFonts w:hint="eastAsia" w:ascii="宋体" w:hAnsi="宋体" w:eastAsia="宋体"/>
          <w:b/>
          <w:sz w:val="44"/>
          <w:szCs w:val="44"/>
        </w:rPr>
        <w:t>昌黎县财政支出项目</w:t>
      </w:r>
    </w:p>
    <w:p w14:paraId="2D55A374">
      <w:pPr>
        <w:jc w:val="center"/>
        <w:rPr>
          <w:rFonts w:ascii="宋体" w:hAnsi="宋体" w:eastAsia="宋体"/>
          <w:b/>
          <w:sz w:val="44"/>
          <w:szCs w:val="44"/>
        </w:rPr>
      </w:pPr>
      <w:r>
        <w:rPr>
          <w:rFonts w:hint="eastAsia" w:ascii="宋体" w:hAnsi="宋体" w:eastAsia="宋体"/>
          <w:b/>
          <w:sz w:val="44"/>
          <w:szCs w:val="44"/>
        </w:rPr>
        <w:t>绩效评价自评报告</w:t>
      </w:r>
    </w:p>
    <w:p w14:paraId="2AEAEEB0">
      <w:pPr>
        <w:jc w:val="center"/>
        <w:rPr>
          <w:rFonts w:ascii="宋体" w:hAnsi="宋体" w:eastAsia="宋体"/>
          <w:b/>
          <w:sz w:val="32"/>
          <w:szCs w:val="32"/>
        </w:rPr>
      </w:pPr>
    </w:p>
    <w:p w14:paraId="3B6010D5">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法院执行工伤赔付款（两人）                    </w:t>
      </w:r>
    </w:p>
    <w:p w14:paraId="58DA3518">
      <w:pPr>
        <w:spacing w:line="700" w:lineRule="exact"/>
        <w:ind w:left="1738" w:leftChars="218" w:hanging="1280" w:hangingChars="400"/>
        <w:rPr>
          <w:rFonts w:ascii="宋体" w:hAnsi="宋体" w:eastAsia="宋体" w:cs="宋体"/>
          <w:sz w:val="32"/>
          <w:szCs w:val="32"/>
          <w:u w:val="single"/>
        </w:rPr>
      </w:pPr>
    </w:p>
    <w:p w14:paraId="145A9EA4">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14:paraId="3B65DE8C">
      <w:pPr>
        <w:spacing w:line="700" w:lineRule="exact"/>
        <w:ind w:firstLine="480" w:firstLineChars="150"/>
        <w:rPr>
          <w:rFonts w:ascii="宋体" w:hAnsi="宋体" w:eastAsia="宋体" w:cs="宋体"/>
          <w:sz w:val="32"/>
          <w:szCs w:val="32"/>
          <w:u w:val="single"/>
        </w:rPr>
      </w:pPr>
    </w:p>
    <w:p w14:paraId="63910FAF">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14:paraId="44208D48">
      <w:pPr>
        <w:spacing w:line="700" w:lineRule="exact"/>
        <w:ind w:firstLine="707" w:firstLineChars="221"/>
        <w:rPr>
          <w:rFonts w:ascii="宋体" w:hAnsi="宋体" w:eastAsia="宋体" w:cs="宋体"/>
          <w:sz w:val="32"/>
          <w:szCs w:val="32"/>
          <w:u w:val="single"/>
        </w:rPr>
      </w:pPr>
    </w:p>
    <w:p w14:paraId="4AB7039F">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14:paraId="1506200C">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14:paraId="3BD7647C">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14:paraId="6FF63707">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14:paraId="3CFB7B16">
      <w:pPr>
        <w:spacing w:line="560" w:lineRule="exact"/>
        <w:rPr>
          <w:rFonts w:ascii="宋体" w:hAnsi="宋体" w:eastAsia="宋体" w:cs="宋体"/>
          <w:sz w:val="32"/>
          <w:szCs w:val="32"/>
        </w:rPr>
      </w:pPr>
      <w:r>
        <w:rPr>
          <w:rFonts w:ascii="宋体" w:hAnsi="宋体" w:eastAsia="宋体" w:cs="宋体"/>
          <w:sz w:val="32"/>
          <w:szCs w:val="32"/>
        </w:rPr>
        <w:t xml:space="preserve">                                 </w:t>
      </w:r>
    </w:p>
    <w:p w14:paraId="07DBFA61">
      <w:pPr>
        <w:spacing w:line="560" w:lineRule="exact"/>
        <w:ind w:firstLine="320" w:firstLineChars="100"/>
        <w:rPr>
          <w:rFonts w:ascii="宋体" w:hAnsi="宋体" w:eastAsia="宋体" w:cs="宋体"/>
          <w:sz w:val="32"/>
          <w:szCs w:val="32"/>
        </w:rPr>
      </w:pPr>
    </w:p>
    <w:p w14:paraId="20A6C476">
      <w:pPr>
        <w:spacing w:line="560" w:lineRule="exact"/>
        <w:ind w:firstLine="320" w:firstLineChars="100"/>
        <w:rPr>
          <w:rFonts w:ascii="宋体" w:hAnsi="宋体" w:eastAsia="宋体" w:cs="宋体"/>
          <w:sz w:val="32"/>
          <w:szCs w:val="32"/>
        </w:rPr>
      </w:pPr>
    </w:p>
    <w:p w14:paraId="7E3DC912">
      <w:pPr>
        <w:spacing w:line="560" w:lineRule="exact"/>
        <w:ind w:firstLine="320" w:firstLineChars="100"/>
        <w:rPr>
          <w:rFonts w:ascii="宋体" w:hAnsi="宋体" w:eastAsia="宋体" w:cs="宋体"/>
          <w:sz w:val="32"/>
          <w:szCs w:val="32"/>
        </w:rPr>
      </w:pPr>
    </w:p>
    <w:p w14:paraId="49AAA719">
      <w:pPr>
        <w:spacing w:line="560" w:lineRule="exact"/>
        <w:ind w:firstLine="320" w:firstLineChars="100"/>
        <w:rPr>
          <w:rFonts w:ascii="宋体" w:hAnsi="宋体" w:eastAsia="宋体" w:cs="宋体"/>
          <w:sz w:val="32"/>
          <w:szCs w:val="32"/>
        </w:rPr>
      </w:pPr>
    </w:p>
    <w:p w14:paraId="673B6BCF">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14:paraId="4A859C15">
      <w:pPr>
        <w:jc w:val="center"/>
        <w:rPr>
          <w:b/>
          <w:bCs/>
          <w:sz w:val="36"/>
          <w:szCs w:val="36"/>
        </w:rPr>
      </w:pPr>
    </w:p>
    <w:p w14:paraId="5D4E2E19">
      <w:pPr>
        <w:jc w:val="center"/>
        <w:rPr>
          <w:b/>
          <w:bCs/>
          <w:sz w:val="36"/>
          <w:szCs w:val="36"/>
        </w:rPr>
      </w:pPr>
    </w:p>
    <w:p w14:paraId="58EF3CA5">
      <w:pPr>
        <w:jc w:val="center"/>
        <w:rPr>
          <w:b/>
          <w:bCs/>
          <w:sz w:val="36"/>
          <w:szCs w:val="36"/>
        </w:rPr>
      </w:pPr>
    </w:p>
    <w:p w14:paraId="166B48A7">
      <w:pPr>
        <w:jc w:val="center"/>
        <w:rPr>
          <w:rFonts w:hint="eastAsia"/>
          <w:b/>
          <w:bCs/>
          <w:sz w:val="36"/>
          <w:szCs w:val="36"/>
        </w:rPr>
      </w:pPr>
      <w:r>
        <w:rPr>
          <w:rFonts w:hint="eastAsia"/>
          <w:b/>
          <w:bCs/>
          <w:sz w:val="36"/>
          <w:szCs w:val="36"/>
        </w:rPr>
        <w:t>昌黎县城市管理综合行政执法局</w:t>
      </w:r>
    </w:p>
    <w:p w14:paraId="7E78CB08">
      <w:pPr>
        <w:jc w:val="center"/>
        <w:rPr>
          <w:b/>
          <w:bCs/>
          <w:sz w:val="36"/>
          <w:szCs w:val="36"/>
        </w:rPr>
      </w:pPr>
      <w:r>
        <w:rPr>
          <w:rFonts w:hint="eastAsia"/>
          <w:b/>
          <w:bCs/>
          <w:sz w:val="36"/>
          <w:szCs w:val="36"/>
        </w:rPr>
        <w:t>《法院执行工伤赔付款（两人）》</w:t>
      </w:r>
    </w:p>
    <w:p w14:paraId="1E5EB44B">
      <w:pPr>
        <w:jc w:val="center"/>
        <w:rPr>
          <w:b/>
          <w:bCs/>
          <w:sz w:val="36"/>
          <w:szCs w:val="36"/>
        </w:rPr>
      </w:pPr>
      <w:r>
        <w:rPr>
          <w:rFonts w:hint="eastAsia"/>
          <w:b/>
          <w:bCs/>
          <w:sz w:val="36"/>
          <w:szCs w:val="36"/>
        </w:rPr>
        <w:t>预算项目绩效评价报告</w:t>
      </w:r>
    </w:p>
    <w:p w14:paraId="43273847">
      <w:pPr>
        <w:numPr>
          <w:ilvl w:val="0"/>
          <w:numId w:val="1"/>
        </w:numPr>
        <w:rPr>
          <w:b/>
          <w:bCs/>
          <w:sz w:val="32"/>
          <w:szCs w:val="32"/>
        </w:rPr>
      </w:pPr>
      <w:r>
        <w:rPr>
          <w:rFonts w:hint="eastAsia"/>
          <w:b/>
          <w:bCs/>
          <w:sz w:val="32"/>
          <w:szCs w:val="32"/>
        </w:rPr>
        <w:t>绩效自评工作组织开展情况</w:t>
      </w:r>
    </w:p>
    <w:p w14:paraId="777D686E">
      <w:pPr>
        <w:numPr>
          <w:ilvl w:val="0"/>
          <w:numId w:val="2"/>
        </w:numPr>
        <w:rPr>
          <w:b/>
          <w:bCs/>
          <w:sz w:val="30"/>
          <w:szCs w:val="30"/>
        </w:rPr>
      </w:pPr>
      <w:r>
        <w:rPr>
          <w:rFonts w:hint="eastAsia"/>
          <w:b/>
          <w:bCs/>
          <w:sz w:val="30"/>
          <w:szCs w:val="30"/>
        </w:rPr>
        <w:t>部门绩效自评工作组织情况</w:t>
      </w:r>
    </w:p>
    <w:p w14:paraId="01807F66">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14:paraId="303A6D10">
      <w:pPr>
        <w:numPr>
          <w:ilvl w:val="0"/>
          <w:numId w:val="2"/>
        </w:numPr>
        <w:rPr>
          <w:b/>
          <w:bCs/>
          <w:sz w:val="30"/>
          <w:szCs w:val="30"/>
        </w:rPr>
      </w:pPr>
      <w:r>
        <w:rPr>
          <w:rFonts w:hint="eastAsia"/>
          <w:b/>
          <w:bCs/>
          <w:sz w:val="30"/>
          <w:szCs w:val="30"/>
        </w:rPr>
        <w:t>实施过程</w:t>
      </w:r>
    </w:p>
    <w:p w14:paraId="03B073A4">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14:paraId="6E83F46D">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14:paraId="79332C77">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14:paraId="4BD395BB">
      <w:pPr>
        <w:rPr>
          <w:b/>
          <w:bCs/>
          <w:sz w:val="32"/>
          <w:szCs w:val="32"/>
        </w:rPr>
      </w:pPr>
      <w:r>
        <w:rPr>
          <w:rFonts w:hint="eastAsia"/>
          <w:b/>
          <w:bCs/>
          <w:sz w:val="32"/>
          <w:szCs w:val="32"/>
        </w:rPr>
        <w:t>（</w:t>
      </w:r>
      <w:r>
        <w:rPr>
          <w:rFonts w:hint="eastAsia"/>
          <w:b/>
          <w:bCs/>
          <w:sz w:val="30"/>
          <w:szCs w:val="30"/>
        </w:rPr>
        <w:t>3）预算资金安排及资金分配拨付</w:t>
      </w:r>
    </w:p>
    <w:p w14:paraId="2EFF5752">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预算项目基本信息：《法院执行工伤赔付款（两人）》</w:t>
      </w:r>
    </w:p>
    <w:p w14:paraId="40CE288B">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27.23</w:t>
      </w:r>
      <w:r>
        <w:rPr>
          <w:rFonts w:hint="eastAsia" w:ascii="仿宋" w:hAnsi="仿宋" w:eastAsia="仿宋" w:cs="仿宋"/>
          <w:color w:val="000000"/>
          <w:spacing w:val="21"/>
          <w:sz w:val="28"/>
          <w:szCs w:val="28"/>
          <w:shd w:val="clear" w:color="auto" w:fill="FFFFFF"/>
        </w:rPr>
        <w:t>万元</w:t>
      </w:r>
    </w:p>
    <w:p w14:paraId="6801F2FA">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27.23</w:t>
      </w:r>
      <w:r>
        <w:rPr>
          <w:rFonts w:hint="eastAsia" w:ascii="仿宋" w:hAnsi="仿宋" w:eastAsia="仿宋" w:cs="仿宋"/>
          <w:color w:val="000000"/>
          <w:spacing w:val="21"/>
          <w:sz w:val="28"/>
          <w:szCs w:val="28"/>
          <w:shd w:val="clear" w:color="auto" w:fill="FFFFFF"/>
        </w:rPr>
        <w:t>万元</w:t>
      </w:r>
    </w:p>
    <w:p w14:paraId="6FADB531">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27.23</w:t>
      </w:r>
      <w:r>
        <w:rPr>
          <w:rFonts w:hint="eastAsia" w:ascii="仿宋" w:hAnsi="仿宋" w:eastAsia="仿宋" w:cs="仿宋"/>
          <w:color w:val="000000"/>
          <w:spacing w:val="21"/>
          <w:sz w:val="28"/>
          <w:szCs w:val="28"/>
          <w:shd w:val="clear" w:color="auto" w:fill="FFFFFF"/>
        </w:rPr>
        <w:t>万元</w:t>
      </w:r>
    </w:p>
    <w:p w14:paraId="46828D98">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14:paraId="7EB5536E">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14:paraId="3499C894">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预算项目资金情况：年初预算资金0.26万元，截止2019年12月底拨付资金27.23万元，使用资金27.23万元，财政收回、调整预算项目资金26.97万元，结余结转资金0.00万元。</w:t>
      </w:r>
    </w:p>
    <w:p w14:paraId="3A637B81">
      <w:pPr>
        <w:rPr>
          <w:b/>
          <w:bCs/>
          <w:sz w:val="30"/>
          <w:szCs w:val="30"/>
        </w:rPr>
      </w:pPr>
      <w:r>
        <w:rPr>
          <w:rFonts w:hint="eastAsia"/>
          <w:b/>
          <w:bCs/>
          <w:sz w:val="30"/>
          <w:szCs w:val="30"/>
        </w:rPr>
        <w:t>（4）财务管理、专项监督检查及审计部门意见</w:t>
      </w:r>
    </w:p>
    <w:p w14:paraId="1266E82A">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14:paraId="00BFC487">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14:paraId="3A5CA85E">
      <w:pPr>
        <w:numPr>
          <w:ilvl w:val="0"/>
          <w:numId w:val="1"/>
        </w:numPr>
        <w:rPr>
          <w:b/>
          <w:bCs/>
          <w:sz w:val="32"/>
          <w:szCs w:val="32"/>
        </w:rPr>
      </w:pPr>
      <w:r>
        <w:rPr>
          <w:rFonts w:hint="eastAsia"/>
          <w:b/>
          <w:bCs/>
          <w:sz w:val="32"/>
          <w:szCs w:val="32"/>
        </w:rPr>
        <w:t>绩效目标实现情况</w:t>
      </w:r>
    </w:p>
    <w:p w14:paraId="1BC72A7E">
      <w:pPr>
        <w:rPr>
          <w:b/>
          <w:bCs/>
          <w:sz w:val="32"/>
          <w:szCs w:val="32"/>
        </w:rPr>
      </w:pPr>
      <w:r>
        <w:rPr>
          <w:rFonts w:hint="eastAsia"/>
          <w:b/>
          <w:bCs/>
          <w:sz w:val="32"/>
          <w:szCs w:val="32"/>
        </w:rPr>
        <w:t>1.预算项目及绩效目标完成情况</w:t>
      </w:r>
    </w:p>
    <w:p w14:paraId="7F425BCC">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14:paraId="76937F3A">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环卫清扫街道雇</w:t>
      </w:r>
      <w:r>
        <w:rPr>
          <w:rFonts w:hint="eastAsia" w:ascii="仿宋" w:hAnsi="仿宋" w:eastAsia="仿宋" w:cs="仿宋"/>
          <w:color w:val="000000"/>
          <w:spacing w:val="21"/>
          <w:sz w:val="28"/>
          <w:szCs w:val="28"/>
          <w:shd w:val="clear" w:color="auto" w:fill="FFFFFF"/>
          <w:lang w:eastAsia="zh-CN"/>
        </w:rPr>
        <w:t>用</w:t>
      </w:r>
      <w:r>
        <w:rPr>
          <w:rFonts w:hint="eastAsia" w:ascii="仿宋" w:hAnsi="仿宋" w:eastAsia="仿宋" w:cs="仿宋"/>
          <w:color w:val="000000"/>
          <w:spacing w:val="21"/>
          <w:sz w:val="28"/>
          <w:szCs w:val="28"/>
          <w:shd w:val="clear" w:color="auto" w:fill="FFFFFF"/>
        </w:rPr>
        <w:t>临时工常平春，李东财，张学利三人，在上班期间发生交通事故，根据法院</w:t>
      </w:r>
      <w:r>
        <w:rPr>
          <w:rFonts w:hint="eastAsia" w:ascii="仿宋" w:hAnsi="仿宋" w:eastAsia="仿宋" w:cs="仿宋"/>
          <w:color w:val="000000"/>
          <w:spacing w:val="21"/>
          <w:sz w:val="28"/>
          <w:szCs w:val="28"/>
          <w:shd w:val="clear" w:color="auto" w:fill="FFFFFF"/>
          <w:lang w:eastAsia="zh-CN"/>
        </w:rPr>
        <w:t>判决</w:t>
      </w:r>
      <w:r>
        <w:rPr>
          <w:rFonts w:hint="eastAsia" w:ascii="仿宋" w:hAnsi="仿宋" w:eastAsia="仿宋" w:cs="仿宋"/>
          <w:color w:val="000000"/>
          <w:spacing w:val="21"/>
          <w:sz w:val="28"/>
          <w:szCs w:val="28"/>
          <w:shd w:val="clear" w:color="auto" w:fill="FFFFFF"/>
        </w:rPr>
        <w:t>我单位赔付伤残补助金，工资，护理费共计82526元， (其中:常平春2018年执行差额为6645元， 2019年执行款为50881元， 李东财2019年执行款为25000元)张学利2019年执行款为267000元， 律师费为5000元， 诉讼费为2653元， 总计274653元，两项合计35.72万元。</w:t>
      </w:r>
    </w:p>
    <w:p w14:paraId="23F4C1C0">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bookmarkStart w:id="0" w:name="_GoBack"/>
      <w:bookmarkEnd w:id="0"/>
    </w:p>
    <w:p w14:paraId="36D8FD6E">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有利于改善城乡居民的生活和居住条件，建设美丽乡村。</w:t>
      </w:r>
    </w:p>
    <w:p w14:paraId="3AA402AE">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14:paraId="2B8B6A9C">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工伤赔付人数</w:t>
      </w:r>
      <w:r>
        <w:rPr>
          <w:rFonts w:hint="eastAsia" w:ascii="仿宋" w:hAnsi="仿宋" w:eastAsia="仿宋" w:cs="仿宋"/>
          <w:color w:val="000000"/>
          <w:spacing w:val="21"/>
          <w:sz w:val="28"/>
          <w:szCs w:val="28"/>
          <w:shd w:val="clear" w:color="auto" w:fill="FFFFFF"/>
          <w:lang w:val="en-US" w:eastAsia="zh-CN"/>
        </w:rPr>
        <w:t>预期指标值2人</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2人。</w:t>
      </w:r>
    </w:p>
    <w:p w14:paraId="3796B9C1">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14:paraId="156A867A">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工伤赔付率</w:t>
      </w:r>
      <w:r>
        <w:rPr>
          <w:rFonts w:hint="eastAsia" w:ascii="仿宋" w:hAnsi="仿宋" w:eastAsia="仿宋" w:cs="仿宋"/>
          <w:color w:val="000000"/>
          <w:spacing w:val="21"/>
          <w:sz w:val="28"/>
          <w:szCs w:val="28"/>
          <w:shd w:val="clear" w:color="auto" w:fill="FFFFFF"/>
          <w:lang w:val="en-US" w:eastAsia="zh-CN"/>
        </w:rPr>
        <w:t>预期指标值≥90.00%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100.00%；环卫个人工资保障率预期指标值≥90.00%，实际完成值100.00%</w:t>
      </w:r>
      <w:r>
        <w:rPr>
          <w:rFonts w:hint="eastAsia" w:ascii="仿宋" w:hAnsi="仿宋" w:eastAsia="仿宋" w:cs="仿宋"/>
          <w:color w:val="000000"/>
          <w:spacing w:val="21"/>
          <w:sz w:val="28"/>
          <w:szCs w:val="28"/>
          <w:shd w:val="clear" w:color="auto" w:fill="FFFFFF"/>
          <w:lang w:eastAsia="zh-CN"/>
        </w:rPr>
        <w:t>。</w:t>
      </w:r>
    </w:p>
    <w:p w14:paraId="67F18DEF">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14:paraId="0E5B083A">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14:paraId="21F0A936">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14:paraId="4BBDE00F">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14:paraId="6E38454A">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14:paraId="7C0807CF">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经济效益指标：无</w:t>
      </w:r>
      <w:r>
        <w:rPr>
          <w:rFonts w:hint="eastAsia" w:ascii="仿宋" w:hAnsi="仿宋" w:eastAsia="仿宋" w:cs="仿宋"/>
          <w:color w:val="000000"/>
          <w:spacing w:val="21"/>
          <w:sz w:val="28"/>
          <w:szCs w:val="28"/>
          <w:shd w:val="clear" w:color="auto" w:fill="FFFFFF"/>
        </w:rPr>
        <w:t>。</w:t>
      </w:r>
    </w:p>
    <w:p w14:paraId="25570886">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提升社会满意度，效果明显。</w:t>
      </w:r>
    </w:p>
    <w:p w14:paraId="27BA0F0A">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14:paraId="5E655BC5">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生态效益指标：无</w:t>
      </w:r>
      <w:r>
        <w:rPr>
          <w:rFonts w:hint="eastAsia" w:ascii="仿宋" w:hAnsi="仿宋" w:eastAsia="仿宋" w:cs="仿宋"/>
          <w:color w:val="000000"/>
          <w:spacing w:val="21"/>
          <w:sz w:val="28"/>
          <w:szCs w:val="28"/>
          <w:shd w:val="clear" w:color="auto" w:fill="FFFFFF"/>
        </w:rPr>
        <w:t>。</w:t>
      </w:r>
    </w:p>
    <w:p w14:paraId="2D7B6535">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可持续影响指标：提高政府公信力</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14:paraId="7937AC29">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w:t>
      </w:r>
    </w:p>
    <w:p w14:paraId="4E2E3F6B">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14:paraId="0328C7DC">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14:paraId="6395D8CD">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14:paraId="0B7F5AE9">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14:paraId="66C069E4">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14:paraId="21B92B3A">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14:paraId="09B233CB">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14:paraId="2E031A9B">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14:paraId="194ECE2C">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14:paraId="32365293">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14:paraId="407DDE86">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根据本项目绩效评价指标体系自评得分100分，其中：产出指标得分50分，效益指标30分，满意度指标10分，预算执行率指标10分。</w:t>
      </w:r>
    </w:p>
    <w:p w14:paraId="3D3A529A">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14:paraId="3986CC3E">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法院执行工伤赔付款（两人）》项目，设立了明确、细化、量化的绩效目标，在投入依据及投入程序上符合相关规定；项目资金能及时到账和支付，且存在缺乏评价佐证依据。</w:t>
      </w:r>
    </w:p>
    <w:p w14:paraId="712105D3">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根据上述项目完成情况，昌黎县城市管理综合行政执法局预算项目《法院执行工伤赔付款（两人）》2019年度绩效评价结论为：优。</w:t>
      </w:r>
    </w:p>
    <w:p w14:paraId="08D9029B">
      <w:pPr>
        <w:numPr>
          <w:ilvl w:val="0"/>
          <w:numId w:val="1"/>
        </w:numPr>
        <w:rPr>
          <w:b/>
          <w:bCs/>
          <w:sz w:val="32"/>
          <w:szCs w:val="32"/>
        </w:rPr>
      </w:pPr>
      <w:r>
        <w:rPr>
          <w:rFonts w:hint="eastAsia"/>
          <w:b/>
          <w:bCs/>
          <w:sz w:val="32"/>
          <w:szCs w:val="32"/>
        </w:rPr>
        <w:t>绩效目标设定质量情况</w:t>
      </w:r>
    </w:p>
    <w:p w14:paraId="405BEAD1">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预算项目《法院执行工伤赔付款（两人）》年初设定目标清晰准确比较全面，贴近项目实施内容，易于评价。</w:t>
      </w:r>
    </w:p>
    <w:p w14:paraId="2E9FBD65">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14:paraId="3D335F24">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法院执行工伤赔付款（两人）</w:t>
      </w:r>
      <w:r>
        <w:rPr>
          <w:rFonts w:ascii="仿宋" w:hAnsi="仿宋" w:eastAsia="仿宋" w:cs="宋体"/>
          <w:kern w:val="0"/>
          <w:sz w:val="28"/>
          <w:szCs w:val="28"/>
        </w:rPr>
        <w:t>的绩效管理，提高财政资金的使用效率。</w:t>
      </w:r>
    </w:p>
    <w:p w14:paraId="72408333">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14:paraId="7F3B7AD8">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14:paraId="22521C53">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8B6C3">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0EB76C">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80EB76C">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6E23929"/>
    <w:rsid w:val="08130F07"/>
    <w:rsid w:val="08C716AD"/>
    <w:rsid w:val="08EC49F0"/>
    <w:rsid w:val="0A3F7E4F"/>
    <w:rsid w:val="0A9F453F"/>
    <w:rsid w:val="0C0D6106"/>
    <w:rsid w:val="0CC644D1"/>
    <w:rsid w:val="0D8A3BD0"/>
    <w:rsid w:val="0E340E45"/>
    <w:rsid w:val="0ECC157B"/>
    <w:rsid w:val="101F4FD6"/>
    <w:rsid w:val="11E3405B"/>
    <w:rsid w:val="13223F90"/>
    <w:rsid w:val="14CC4507"/>
    <w:rsid w:val="18184CF5"/>
    <w:rsid w:val="18EB3256"/>
    <w:rsid w:val="1AD81664"/>
    <w:rsid w:val="1B90349C"/>
    <w:rsid w:val="1BC1409F"/>
    <w:rsid w:val="1C8032B4"/>
    <w:rsid w:val="1D36064F"/>
    <w:rsid w:val="1ECD7C0C"/>
    <w:rsid w:val="1FC659BA"/>
    <w:rsid w:val="20C63496"/>
    <w:rsid w:val="217F23EC"/>
    <w:rsid w:val="22F02C44"/>
    <w:rsid w:val="23697EB8"/>
    <w:rsid w:val="249E2B84"/>
    <w:rsid w:val="263F1B4E"/>
    <w:rsid w:val="265C4C03"/>
    <w:rsid w:val="278B6C2A"/>
    <w:rsid w:val="289948C9"/>
    <w:rsid w:val="29544BDD"/>
    <w:rsid w:val="2A1A5929"/>
    <w:rsid w:val="2AAA1C7B"/>
    <w:rsid w:val="2E3E5C39"/>
    <w:rsid w:val="2F27187C"/>
    <w:rsid w:val="305E65D9"/>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57431F7"/>
    <w:rsid w:val="691242CC"/>
    <w:rsid w:val="69CA4474"/>
    <w:rsid w:val="69DB3F25"/>
    <w:rsid w:val="71BD32CF"/>
    <w:rsid w:val="7A3D754B"/>
    <w:rsid w:val="7B4C392B"/>
    <w:rsid w:val="7D0B0270"/>
    <w:rsid w:val="7FFF7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2350</Words>
  <Characters>2519</Characters>
  <Lines>19</Lines>
  <Paragraphs>5</Paragraphs>
  <TotalTime>1</TotalTime>
  <ScaleCrop>false</ScaleCrop>
  <LinksUpToDate>false</LinksUpToDate>
  <CharactersWithSpaces>2643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思入风云</cp:lastModifiedBy>
  <dcterms:modified xsi:type="dcterms:W3CDTF">2026-01-09T01:46:05Z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eyJoZGlkIjoiMmQ2ZDhmYjUzMjUzY2EyZjRkZmJjZjE0ODE0MDkyNjkiLCJ1c2VySWQiOiIzNzEyMjEyOTYifQ==</vt:lpwstr>
  </property>
  <property fmtid="{D5CDD505-2E9C-101B-9397-08002B2CF9AE}" pid="4" name="ICV">
    <vt:lpwstr>60EA961370A34C9BAB32CEB267CB9C23_12</vt:lpwstr>
  </property>
</Properties>
</file>