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customXml/itemProps1.xml" ContentType="application/vnd.openxmlformats-officedocument.customXmlProperties+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spacing w:line="560" w:lineRule="exact"/>
        <w:jc w:val="center"/>
        <w:rPr>
          <w:rFonts w:ascii="方正小标宋简体" w:eastAsia="方正小标宋简体" w:hAnsi="方正小标宋简体"/>
          <w:sz w:val="44"/>
          <w:szCs w:val="44"/>
        </w:rPr>
      </w:pPr>
      <w:r>
        <w:pict>
          <v:shape type="#_x0000_t136" id="艺术字 4" o:spid="_x0000_s3" fillcolor="#FF0000" stroked="t" strokecolor="#FF0000" adj="10800" style="position:absolute;margin-left:13.0pt;margin-top:69.95pt;width:413.10004pt;height:45.75pt;z-index:14;mso-position-horizontal:absolute;mso-position-vertical:absolute;mso-position-vertical-relative:page;">
            <v:stroke color="#FF0000"/>
            <v:textpath style="font-family:&quot;方正小标宋简体&quot;;" trim="t" fitpath="t" string="昌黎县统计局文件"/>
            <w10:wrap type="topAndBottom"/>
          </v:shape>
        </w:pict>
      </w:r>
      <w:r>
        <mc:AlternateContent>
          <mc:Choice Requires="wps">
            <w:drawing>
              <wp:anchor distT="0" distB="0" distL="114300" distR="114300" simplePos="0" relativeHeight="16" behindDoc="0" locked="0" layoutInCell="1" hidden="0" allowOverlap="1">
                <wp:simplePos x="0" y="0"/>
                <wp:positionH relativeFrom="column">
                  <wp:posOffset>98425</wp:posOffset>
                </wp:positionH>
                <wp:positionV relativeFrom="paragraph">
                  <wp:posOffset>792480</wp:posOffset>
                </wp:positionV>
                <wp:extent cx="5616575" cy="952"/>
                <wp:wrapNone/>
                <wp:docPr id="1026" name="直线 3"/>
                <wp:cNvGraphicFramePr>
                  <a:graphicFrameLocks noChangeAspect="0"/>
                </wp:cNvGraphicFramePr>
                <a:graphic>
                  <a:graphicData uri="http://schemas.microsoft.com/office/word/2010/wordprocessingShape">
                    <wps:wsp>
                      <wps:cNvSpPr/>
                      <wps:spPr>
                        <a:xfrm rot="0">
                          <a:off x="0" y="0"/>
                          <a:ext cx="5616575" cy="952"/>
                        </a:xfrm>
                        <a:prstGeom prst="line"/>
                        <a:noFill/>
                        <a:ln w="57150" cmpd="thickThin" cap="flat">
                          <a:solidFill>
                            <a:srgbClr val="FF0000"/>
                          </a:solidFill>
                          <a:prstDash val="solid"/>
                          <a:miter/>
                        </a:ln>
                      </wps:spPr>
                      <wps:bodyPr vert="horz" wrap="square" lIns="91440" tIns="45720" rIns="91440" bIns="45720" anchor="t" anchorCtr="0" upright="1">
                        <a:noAutofit/>
                      </wps:bodyPr>
                    </wps:wsp>
                  </a:graphicData>
                </a:graphic>
              </wp:anchor>
            </w:drawing>
          </mc:Choice>
          <mc:Fallback>
            <w:pict>
              <v:line type="#_x0000_t20" id="直线 3" o:spid="_x0000_s4" from="7.7500005pt,62.4pt" to="450.0pt,62.475pt" filled="f" stroked="t" strokeweight="4.5pt" style="position:absolute;z-index:16;mso-position-horizontal:absolute;mso-position-vertical:absolute;visibility:visible;">
                <v:stroke linestyle="thickThin" color="#FF0000"/>
              </v:line>
            </w:pict>
          </mc:Fallback>
        </mc:AlternateContent>
      </w:r>
    </w:p>
    <w:p>
      <w:pPr>
        <w:spacing w:line="560" w:lineRule="exact"/>
        <w:jc w:val="center"/>
        <w:rPr>
          <w:rFonts w:ascii="方正小标宋简体" w:eastAsia="方正小标宋简体" w:hAnsi="方正小标宋简体"/>
          <w:sz w:val="44"/>
          <w:szCs w:val="44"/>
        </w:rPr>
      </w:pPr>
    </w:p>
    <w:p>
      <w:pPr>
        <w:spacing w:line="560" w:lineRule="exact"/>
        <w:jc w:val="center"/>
        <w:rPr>
          <w:rFonts w:ascii="方正小标宋简体" w:eastAsia="方正小标宋简体" w:hAnsi="方正小标宋简体"/>
          <w:sz w:val="44"/>
          <w:szCs w:val="44"/>
        </w:rPr>
      </w:pPr>
      <w:r>
        <w:rPr>
          <w:rFonts w:ascii="方正小标宋简体" w:eastAsia="方正小标宋简体" w:hAnsi="方正小标宋简体" w:hint="eastAsia"/>
          <w:sz w:val="44"/>
          <w:szCs w:val="44"/>
        </w:rPr>
        <w:t>昌黎县统计局</w:t>
      </w:r>
    </w:p>
    <w:p>
      <w:pPr>
        <w:spacing w:line="560" w:lineRule="exact"/>
        <w:jc w:val="center"/>
        <w:rPr>
          <w:rFonts w:ascii="方正小标宋简体" w:eastAsia="方正小标宋简体" w:hAnsi="方正小标宋简体"/>
          <w:sz w:val="32"/>
          <w:szCs w:val="32"/>
        </w:rPr>
      </w:pPr>
      <w:r>
        <w:rPr>
          <w:rFonts w:ascii="方正小标宋简体" w:eastAsia="方正小标宋简体" w:hAnsi="方正小标宋简体"/>
          <w:sz w:val="44"/>
          <w:szCs w:val="44"/>
        </w:rPr>
        <w:t>2019</w:t>
      </w:r>
      <w:r>
        <w:rPr>
          <w:rFonts w:ascii="方正小标宋简体" w:eastAsia="方正小标宋简体" w:hAnsi="方正小标宋简体" w:hint="eastAsia"/>
          <w:sz w:val="44"/>
          <w:szCs w:val="44"/>
        </w:rPr>
        <w:t>年度部门整体支出绩效自评报告</w:t>
      </w:r>
    </w:p>
    <w:p>
      <w:pPr>
        <w:spacing w:line="560" w:lineRule="exact"/>
        <w:ind w:firstLineChars="200" w:firstLine="600"/>
        <w:rPr>
          <w:rFonts w:ascii="黑体" w:eastAsia="黑体"/>
          <w:sz w:val="30"/>
        </w:rPr>
      </w:pPr>
    </w:p>
    <w:p>
      <w:pPr>
        <w:spacing w:line="560" w:lineRule="exact"/>
        <w:ind w:firstLineChars="200" w:firstLine="640"/>
        <w:rPr>
          <w:rFonts w:ascii="黑体" w:eastAsia="黑体"/>
          <w:sz w:val="32"/>
          <w:szCs w:val="32"/>
        </w:rPr>
      </w:pPr>
      <w:r>
        <w:rPr>
          <w:rFonts w:ascii="黑体" w:eastAsia="黑体" w:hint="eastAsia"/>
          <w:sz w:val="32"/>
          <w:szCs w:val="32"/>
        </w:rPr>
        <w:t>一、部门概况</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560" w:lineRule="exact"/>
        <w:ind w:firstLineChars="200" w:firstLine="640"/>
        <w:rPr>
          <w:rFonts w:ascii="楷体_GB2312" w:eastAsia="楷体_GB2312"/>
          <w:b/>
          <w:sz w:val="32"/>
          <w:szCs w:val="28"/>
        </w:rPr>
      </w:pPr>
      <w:r>
        <w:rPr>
          <w:rFonts w:ascii="楷体_GB2312" w:eastAsia="楷体_GB2312" w:hint="eastAsia"/>
          <w:b/>
          <w:sz w:val="32"/>
          <w:szCs w:val="28"/>
        </w:rPr>
        <w:t>（一）部门主要职责职能，组织架构、人员及资产等基本情况</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560" w:lineRule="exact"/>
        <w:ind w:firstLineChars="200" w:firstLine="640"/>
        <w:rPr>
          <w:rFonts w:ascii="仿宋_GB2312" w:eastAsia="仿宋_GB2312"/>
          <w:sz w:val="32"/>
          <w:szCs w:val="32"/>
        </w:rPr>
      </w:pPr>
      <w:r>
        <w:rPr>
          <w:rFonts w:ascii="仿宋_GB2312" w:eastAsia="仿宋_GB2312" w:hint="eastAsia"/>
          <w:b/>
          <w:bCs/>
          <w:sz w:val="32"/>
          <w:szCs w:val="32"/>
        </w:rPr>
        <w:t>部门主要职责职能</w:t>
      </w:r>
      <w:r>
        <w:rPr>
          <w:rFonts w:ascii="仿宋_GB2312" w:eastAsia="仿宋_GB2312" w:hint="eastAsia"/>
          <w:sz w:val="32"/>
          <w:szCs w:val="32"/>
        </w:rPr>
        <w:t>：</w:t>
      </w:r>
      <w:r>
        <w:rPr>
          <w:rFonts w:ascii="仿宋_GB2312" w:eastAsia="仿宋_GB2312" w:cs="宋体" w:hAnsi="仿宋"/>
          <w:kern w:val="0"/>
          <w:sz w:val="32"/>
          <w:szCs w:val="32"/>
        </w:rPr>
        <w:t>1</w:t>
      </w:r>
      <w:r>
        <w:rPr>
          <w:rFonts w:ascii="仿宋_GB2312" w:eastAsia="仿宋_GB2312" w:cs="宋体" w:hAnsi="仿宋" w:hint="eastAsia"/>
          <w:kern w:val="0"/>
          <w:sz w:val="32"/>
          <w:szCs w:val="32"/>
        </w:rPr>
        <w:t>、贯彻国家和省、市有关统计工作的法律、法规和规章，监督检查统计法律、法规的实施。</w:t>
      </w:r>
      <w:r>
        <w:rPr>
          <w:rFonts w:ascii="仿宋_GB2312" w:eastAsia="仿宋_GB2312" w:cs="宋体" w:hAnsi="仿宋"/>
          <w:kern w:val="0"/>
          <w:sz w:val="32"/>
          <w:szCs w:val="32"/>
        </w:rPr>
        <w:t xml:space="preserve">  2</w:t>
      </w:r>
      <w:r>
        <w:rPr>
          <w:rFonts w:ascii="仿宋_GB2312" w:eastAsia="仿宋_GB2312" w:cs="宋体" w:hAnsi="仿宋" w:hint="eastAsia"/>
          <w:kern w:val="0"/>
          <w:sz w:val="32"/>
          <w:szCs w:val="32"/>
        </w:rPr>
        <w:t>、执行国家统计报表制度，完成国家、省和市布置的统计调查任务。</w:t>
      </w:r>
      <w:r>
        <w:rPr>
          <w:rFonts w:ascii="仿宋_GB2312" w:eastAsia="仿宋_GB2312" w:cs="宋体" w:hAnsi="仿宋"/>
          <w:kern w:val="0"/>
          <w:sz w:val="32"/>
          <w:szCs w:val="32"/>
        </w:rPr>
        <w:t>3</w:t>
      </w:r>
      <w:r>
        <w:rPr>
          <w:rFonts w:ascii="仿宋_GB2312" w:eastAsia="仿宋_GB2312" w:cs="宋体" w:hAnsi="仿宋" w:hint="eastAsia"/>
          <w:kern w:val="0"/>
          <w:sz w:val="32"/>
          <w:szCs w:val="32"/>
        </w:rPr>
        <w:t>、组织实施全县国民经济核算，制定国民经济核算方案，编制国民经济基本核算表和国民经济循环</w:t>
      </w:r>
      <w:r>
        <w:rPr>
          <w:rFonts w:ascii="仿宋_GB2312" w:eastAsia="仿宋_GB2312" w:cs="宋体" w:hAnsi="仿宋" w:hint="eastAsia"/>
          <w:kern w:val="0"/>
          <w:sz w:val="32"/>
          <w:szCs w:val="32"/>
          <w:lang w:eastAsia="zh-CN"/>
        </w:rPr>
        <w:t>账</w:t>
      </w:r>
      <w:r>
        <w:rPr>
          <w:rFonts w:ascii="仿宋_GB2312" w:eastAsia="仿宋_GB2312" w:cs="宋体" w:hAnsi="仿宋" w:hint="eastAsia"/>
          <w:kern w:val="0"/>
          <w:sz w:val="32"/>
          <w:szCs w:val="32"/>
        </w:rPr>
        <w:t>户。</w:t>
      </w:r>
      <w:r>
        <w:rPr>
          <w:rFonts w:ascii="仿宋_GB2312" w:eastAsia="仿宋_GB2312" w:cs="宋体" w:hAnsi="仿宋"/>
          <w:kern w:val="0"/>
          <w:sz w:val="32"/>
          <w:szCs w:val="32"/>
        </w:rPr>
        <w:t>4</w:t>
      </w:r>
      <w:r>
        <w:rPr>
          <w:rFonts w:ascii="仿宋_GB2312" w:eastAsia="仿宋_GB2312" w:cs="宋体" w:hAnsi="仿宋" w:hint="eastAsia"/>
          <w:kern w:val="0"/>
          <w:sz w:val="32"/>
          <w:szCs w:val="32"/>
        </w:rPr>
        <w:t>、会同有关部门组织开展重大的国情国力普查和大型调查。</w:t>
      </w:r>
      <w:r>
        <w:rPr>
          <w:rFonts w:ascii="仿宋_GB2312" w:eastAsia="仿宋_GB2312" w:cs="宋体" w:hAnsi="仿宋"/>
          <w:kern w:val="0"/>
          <w:sz w:val="32"/>
          <w:szCs w:val="32"/>
        </w:rPr>
        <w:t>5</w:t>
      </w:r>
      <w:r>
        <w:rPr>
          <w:rFonts w:ascii="仿宋_GB2312" w:eastAsia="仿宋_GB2312" w:cs="宋体" w:hAnsi="仿宋" w:hint="eastAsia"/>
          <w:kern w:val="0"/>
          <w:sz w:val="32"/>
          <w:szCs w:val="32"/>
        </w:rPr>
        <w:t>、搜集、整理、提供全县性的基本统计资料，并对国民经济、社会发展和科技进步情况进行统计分析、统计预测和统计监督，向县委、县政府提供咨询建议。</w:t>
      </w:r>
      <w:r>
        <w:rPr>
          <w:rFonts w:ascii="仿宋_GB2312" w:eastAsia="仿宋_GB2312" w:cs="宋体" w:hAnsi="仿宋"/>
          <w:kern w:val="0"/>
          <w:sz w:val="32"/>
          <w:szCs w:val="32"/>
        </w:rPr>
        <w:t>6</w:t>
      </w:r>
      <w:r>
        <w:rPr>
          <w:rFonts w:ascii="仿宋_GB2312" w:eastAsia="仿宋_GB2312" w:cs="宋体" w:hAnsi="仿宋" w:hint="eastAsia"/>
          <w:kern w:val="0"/>
          <w:sz w:val="32"/>
          <w:szCs w:val="32"/>
        </w:rPr>
        <w:t>、组织领导协调全县的统计工作，拟定全县统计工作发展规划和统计改革方案，审查各乡镇、各部门的统计调查计划及方案，管理各部门制发的统计调查表，负责制订全县统计方法制度。</w:t>
      </w:r>
      <w:r>
        <w:rPr>
          <w:rFonts w:ascii="仿宋_GB2312" w:eastAsia="仿宋_GB2312" w:cs="宋体" w:hAnsi="仿宋"/>
          <w:kern w:val="0"/>
          <w:sz w:val="32"/>
          <w:szCs w:val="32"/>
        </w:rPr>
        <w:t>7</w:t>
      </w:r>
      <w:r>
        <w:rPr>
          <w:rFonts w:ascii="仿宋_GB2312" w:eastAsia="仿宋_GB2312" w:cs="宋体" w:hAnsi="仿宋" w:hint="eastAsia"/>
          <w:kern w:val="0"/>
          <w:sz w:val="32"/>
          <w:szCs w:val="32"/>
        </w:rPr>
        <w:t>、统一核定、管理、公布全县的基本统计资料，定期发布县国民经济和社会发展情况的统计公报。</w:t>
      </w:r>
      <w:r>
        <w:rPr>
          <w:rFonts w:ascii="仿宋_GB2312" w:eastAsia="仿宋_GB2312" w:cs="宋体" w:hAnsi="仿宋"/>
          <w:kern w:val="0"/>
          <w:sz w:val="32"/>
          <w:szCs w:val="32"/>
        </w:rPr>
        <w:t>8</w:t>
      </w:r>
      <w:r>
        <w:rPr>
          <w:rFonts w:ascii="仿宋_GB2312" w:eastAsia="仿宋_GB2312" w:cs="宋体" w:hAnsi="仿宋" w:hint="eastAsia"/>
          <w:kern w:val="0"/>
          <w:sz w:val="32"/>
          <w:szCs w:val="32"/>
        </w:rPr>
        <w:t>、制定全县统计现代化发展规划，建立健全全县统计信息自动化系统和统计数据库系统，组织协调和统一管理各乡镇、各部门的统计计算机网络。</w:t>
      </w:r>
      <w:r>
        <w:rPr>
          <w:rFonts w:ascii="仿宋_GB2312" w:eastAsia="仿宋_GB2312" w:cs="宋体" w:hAnsi="仿宋"/>
          <w:kern w:val="0"/>
          <w:sz w:val="32"/>
          <w:szCs w:val="32"/>
        </w:rPr>
        <w:t>9</w:t>
      </w:r>
      <w:r>
        <w:rPr>
          <w:rFonts w:ascii="仿宋_GB2312" w:eastAsia="仿宋_GB2312" w:cs="宋体" w:hAnsi="仿宋" w:hint="eastAsia"/>
          <w:kern w:val="0"/>
          <w:sz w:val="32"/>
          <w:szCs w:val="32"/>
        </w:rPr>
        <w:t>、开展地区间的统计科学和统计信息交流，接受用户的委托，承担统计调查和统计信息服务工作。</w:t>
      </w:r>
      <w:r>
        <w:rPr>
          <w:rFonts w:ascii="仿宋_GB2312" w:eastAsia="仿宋_GB2312" w:cs="宋体" w:hAnsi="仿宋"/>
          <w:kern w:val="0"/>
          <w:sz w:val="32"/>
          <w:szCs w:val="32"/>
        </w:rPr>
        <w:t>10</w:t>
      </w:r>
      <w:r>
        <w:rPr>
          <w:rFonts w:ascii="仿宋_GB2312" w:eastAsia="仿宋_GB2312" w:cs="宋体" w:hAnsi="仿宋" w:hint="eastAsia"/>
          <w:kern w:val="0"/>
          <w:sz w:val="32"/>
          <w:szCs w:val="32"/>
        </w:rPr>
        <w:t>、规划和协调全县统计信息咨询服务行业，积极培育和发展信息咨询服务市场。</w:t>
      </w:r>
      <w:r>
        <w:rPr>
          <w:rFonts w:ascii="仿宋_GB2312" w:eastAsia="仿宋_GB2312" w:cs="宋体" w:hAnsi="仿宋"/>
          <w:kern w:val="0"/>
          <w:sz w:val="32"/>
          <w:szCs w:val="32"/>
        </w:rPr>
        <w:t>11</w:t>
      </w:r>
      <w:r>
        <w:rPr>
          <w:rFonts w:ascii="仿宋_GB2312" w:eastAsia="仿宋_GB2312" w:cs="宋体" w:hAnsi="仿宋" w:hint="eastAsia"/>
          <w:kern w:val="0"/>
          <w:sz w:val="32"/>
          <w:szCs w:val="32"/>
        </w:rPr>
        <w:t>、组织指导全县各部门、各单位统计基础工作的规范化建设和统计科学研究工作；组织指导全县的统计教育、统计干部培训、统计干部专业技术职务评聘及资格考试工作。</w:t>
      </w:r>
      <w:r>
        <w:rPr>
          <w:rFonts w:ascii="仿宋_GB2312" w:eastAsia="仿宋_GB2312" w:cs="宋体" w:hAnsi="仿宋"/>
          <w:kern w:val="0"/>
          <w:sz w:val="32"/>
          <w:szCs w:val="32"/>
        </w:rPr>
        <w:t>12</w:t>
      </w:r>
      <w:r>
        <w:rPr>
          <w:rFonts w:ascii="仿宋_GB2312" w:eastAsia="仿宋_GB2312" w:cs="宋体" w:hAnsi="仿宋" w:hint="eastAsia"/>
          <w:kern w:val="0"/>
          <w:sz w:val="32"/>
          <w:szCs w:val="32"/>
        </w:rPr>
        <w:t>、管理昌黎县城市和农村社会经济调查队及普查中心。</w:t>
      </w:r>
      <w:r>
        <w:rPr>
          <w:rFonts w:ascii="仿宋_GB2312" w:eastAsia="仿宋_GB2312" w:cs="宋体" w:hAnsi="仿宋"/>
          <w:kern w:val="0"/>
          <w:sz w:val="32"/>
          <w:szCs w:val="32"/>
        </w:rPr>
        <w:t>13</w:t>
      </w:r>
      <w:r>
        <w:rPr>
          <w:rFonts w:ascii="仿宋_GB2312" w:eastAsia="仿宋_GB2312" w:cs="宋体" w:hAnsi="仿宋" w:hint="eastAsia"/>
          <w:kern w:val="0"/>
          <w:sz w:val="32"/>
          <w:szCs w:val="32"/>
        </w:rPr>
        <w:t>、承办县政府和上级主管部门交办的其它事项。</w:t>
      </w:r>
    </w:p>
    <w:p>
      <w:pPr>
        <w:adjustRightInd w:val="0"/>
        <w:snapToGrid w:val="0"/>
        <w:spacing w:line="560" w:lineRule="exact"/>
        <w:ind w:firstLineChars="200" w:firstLine="640"/>
        <w:rPr>
          <w:rFonts w:ascii="仿宋_GB2312" w:eastAsia="仿宋_GB2312" w:cs="仿宋" w:hAnsi="仿宋"/>
          <w:kern w:val="0"/>
          <w:sz w:val="32"/>
          <w:szCs w:val="32"/>
        </w:rPr>
      </w:pPr>
      <w:r>
        <w:rPr>
          <w:rFonts w:ascii="仿宋_GB2312" w:eastAsia="仿宋_GB2312" w:cs="仿宋" w:hAnsi="仿宋" w:hint="eastAsia"/>
          <w:b/>
          <w:bCs/>
          <w:kern w:val="0"/>
          <w:sz w:val="32"/>
          <w:szCs w:val="32"/>
        </w:rPr>
        <w:t>组织架构</w:t>
      </w:r>
      <w:r>
        <w:rPr>
          <w:rFonts w:ascii="仿宋_GB2312" w:eastAsia="仿宋_GB2312" w:cs="仿宋" w:hAnsi="仿宋" w:hint="eastAsia"/>
          <w:kern w:val="0"/>
          <w:sz w:val="32"/>
          <w:szCs w:val="32"/>
        </w:rPr>
        <w:t>：</w:t>
      </w:r>
      <w:r>
        <w:rPr>
          <w:rFonts w:ascii="仿宋_GB2312" w:eastAsia="仿宋_GB2312" w:cs="宋体" w:hAnsi="仿宋" w:hint="eastAsia"/>
          <w:kern w:val="0"/>
          <w:sz w:val="32"/>
          <w:szCs w:val="32"/>
        </w:rPr>
        <w:t>昌黎县统计局共设</w:t>
      </w:r>
      <w:r>
        <w:rPr>
          <w:rFonts w:ascii="仿宋_GB2312" w:eastAsia="仿宋_GB2312" w:cs="宋体" w:hAnsi="仿宋"/>
          <w:kern w:val="0"/>
          <w:sz w:val="32"/>
          <w:szCs w:val="32"/>
        </w:rPr>
        <w:t>5</w:t>
      </w:r>
      <w:r>
        <w:rPr>
          <w:rFonts w:ascii="仿宋_GB2312" w:eastAsia="仿宋_GB2312" w:cs="宋体" w:hAnsi="仿宋" w:hint="eastAsia"/>
          <w:kern w:val="0"/>
          <w:sz w:val="32"/>
          <w:szCs w:val="32"/>
        </w:rPr>
        <w:t>个内设机构，分别为：办公室、综合股、农业股、工业和能源股、商贸和服务股</w:t>
      </w:r>
      <w:r>
        <w:rPr>
          <w:rFonts w:ascii="仿宋_GB2312" w:eastAsia="仿宋_GB2312" w:hAnsi="仿宋" w:hint="eastAsia"/>
          <w:color w:val="000000"/>
          <w:sz w:val="32"/>
          <w:szCs w:val="32"/>
        </w:rPr>
        <w:t>。</w:t>
      </w:r>
    </w:p>
    <w:p>
      <w:pPr>
        <w:adjustRightInd w:val="0"/>
        <w:snapToGrid w:val="0"/>
        <w:spacing w:line="560" w:lineRule="exact"/>
        <w:ind w:firstLineChars="200" w:firstLine="640"/>
        <w:rPr>
          <w:rFonts w:ascii="仿宋_GB2312" w:eastAsia="仿宋_GB2312" w:hAnsi="仿宋"/>
          <w:sz w:val="32"/>
          <w:szCs w:val="32"/>
        </w:rPr>
      </w:pPr>
      <w:r>
        <w:rPr>
          <w:rFonts w:ascii="仿宋_GB2312" w:eastAsia="仿宋_GB2312" w:hint="eastAsia"/>
          <w:b/>
          <w:bCs/>
          <w:sz w:val="32"/>
          <w:szCs w:val="32"/>
        </w:rPr>
        <w:t>人员及资产等基本情况</w:t>
      </w:r>
      <w:r>
        <w:rPr>
          <w:rFonts w:ascii="仿宋_GB2312" w:eastAsia="仿宋_GB2312" w:hint="eastAsia"/>
          <w:sz w:val="32"/>
          <w:szCs w:val="32"/>
        </w:rPr>
        <w:t>：</w:t>
      </w:r>
      <w:r>
        <w:rPr>
          <w:rFonts w:ascii="仿宋_GB2312" w:eastAsia="仿宋_GB2312" w:hAnsi="仿宋" w:hint="eastAsia"/>
          <w:sz w:val="32"/>
          <w:szCs w:val="32"/>
        </w:rPr>
        <w:t>我单位为一级预算单位，无独立核算下属单位。</w:t>
      </w:r>
      <w:r>
        <w:rPr>
          <w:rFonts w:ascii="仿宋_GB2312" w:eastAsia="仿宋_GB2312" w:hAnsi="仿宋" w:hint="eastAsia"/>
          <w:color w:val="000000"/>
          <w:sz w:val="32"/>
          <w:szCs w:val="32"/>
        </w:rPr>
        <w:t>昌黎县统计局机关编制</w:t>
      </w:r>
      <w:r>
        <w:rPr>
          <w:rFonts w:ascii="仿宋_GB2312" w:eastAsia="仿宋_GB2312" w:hAnsi="仿宋"/>
          <w:color w:val="000000"/>
          <w:sz w:val="32"/>
          <w:szCs w:val="32"/>
        </w:rPr>
        <w:t>24</w:t>
      </w:r>
      <w:r>
        <w:rPr>
          <w:rFonts w:ascii="仿宋_GB2312" w:eastAsia="仿宋_GB2312" w:hAnsi="仿宋" w:hint="eastAsia"/>
          <w:color w:val="000000"/>
          <w:sz w:val="32"/>
          <w:szCs w:val="32"/>
        </w:rPr>
        <w:t>名（行政编制</w:t>
      </w:r>
      <w:r>
        <w:rPr>
          <w:rFonts w:ascii="仿宋_GB2312" w:eastAsia="仿宋_GB2312" w:hAnsi="仿宋"/>
          <w:color w:val="000000"/>
          <w:sz w:val="32"/>
          <w:szCs w:val="32"/>
        </w:rPr>
        <w:t>14</w:t>
      </w:r>
      <w:r>
        <w:rPr>
          <w:rFonts w:ascii="仿宋_GB2312" w:eastAsia="仿宋_GB2312" w:hAnsi="仿宋" w:hint="eastAsia"/>
          <w:color w:val="000000"/>
          <w:sz w:val="32"/>
          <w:szCs w:val="32"/>
        </w:rPr>
        <w:t>名、参公事业编制</w:t>
      </w:r>
      <w:r>
        <w:rPr>
          <w:rFonts w:ascii="仿宋_GB2312" w:eastAsia="仿宋_GB2312" w:hAnsi="仿宋"/>
          <w:color w:val="000000"/>
          <w:sz w:val="32"/>
          <w:szCs w:val="32"/>
        </w:rPr>
        <w:t>10</w:t>
      </w:r>
      <w:r>
        <w:rPr>
          <w:rFonts w:ascii="仿宋_GB2312" w:eastAsia="仿宋_GB2312" w:hAnsi="仿宋" w:hint="eastAsia"/>
          <w:color w:val="000000"/>
          <w:sz w:val="32"/>
          <w:szCs w:val="32"/>
        </w:rPr>
        <w:t>名），正股级领导职数</w:t>
      </w:r>
      <w:r>
        <w:rPr>
          <w:rFonts w:ascii="仿宋_GB2312" w:eastAsia="仿宋_GB2312" w:hAnsi="仿宋"/>
          <w:color w:val="000000"/>
          <w:sz w:val="32"/>
          <w:szCs w:val="32"/>
        </w:rPr>
        <w:t>5</w:t>
      </w:r>
      <w:r>
        <w:rPr>
          <w:rFonts w:ascii="仿宋_GB2312" w:eastAsia="仿宋_GB2312" w:hAnsi="仿宋" w:hint="eastAsia"/>
          <w:color w:val="000000"/>
          <w:sz w:val="32"/>
          <w:szCs w:val="32"/>
        </w:rPr>
        <w:t>名，</w:t>
      </w:r>
      <w:r>
        <w:rPr>
          <w:rFonts w:ascii="仿宋_GB2312" w:eastAsia="仿宋_GB2312" w:hAnsi="仿宋" w:hint="eastAsia"/>
          <w:sz w:val="32"/>
          <w:szCs w:val="32"/>
        </w:rPr>
        <w:t>实有人数在职</w:t>
      </w:r>
      <w:r>
        <w:rPr>
          <w:rFonts w:ascii="仿宋_GB2312" w:eastAsia="仿宋_GB2312" w:hAnsi="仿宋"/>
          <w:sz w:val="32"/>
          <w:szCs w:val="32"/>
        </w:rPr>
        <w:t>21</w:t>
      </w:r>
      <w:r>
        <w:rPr>
          <w:rFonts w:ascii="仿宋_GB2312" w:eastAsia="仿宋_GB2312" w:hAnsi="仿宋" w:hint="eastAsia"/>
          <w:sz w:val="32"/>
          <w:szCs w:val="32"/>
        </w:rPr>
        <w:t>人，退休人数</w:t>
      </w:r>
      <w:r>
        <w:rPr>
          <w:rFonts w:ascii="仿宋_GB2312" w:eastAsia="仿宋_GB2312" w:hAnsi="仿宋"/>
          <w:sz w:val="32"/>
          <w:szCs w:val="32"/>
        </w:rPr>
        <w:t>9</w:t>
      </w:r>
      <w:r>
        <w:rPr>
          <w:rFonts w:ascii="仿宋_GB2312" w:eastAsia="仿宋_GB2312" w:hAnsi="仿宋" w:hint="eastAsia"/>
          <w:sz w:val="32"/>
          <w:szCs w:val="32"/>
        </w:rPr>
        <w:t>人。</w:t>
      </w:r>
    </w:p>
    <w:p>
      <w:pPr>
        <w:spacing w:line="560" w:lineRule="exact"/>
        <w:ind w:firstLineChars="200" w:firstLine="640"/>
        <w:rPr>
          <w:rFonts w:ascii="仿宋_GB2312" w:eastAsia="仿宋_GB2312"/>
          <w:sz w:val="32"/>
          <w:szCs w:val="32"/>
        </w:rPr>
      </w:pPr>
      <w:r>
        <w:rPr>
          <w:rFonts w:ascii="仿宋_GB2312" w:eastAsia="仿宋_GB2312" w:hAnsi="仿宋"/>
          <w:kern w:val="0"/>
          <w:sz w:val="32"/>
          <w:szCs w:val="32"/>
        </w:rPr>
        <w:t>2019</w:t>
      </w:r>
      <w:r>
        <w:rPr>
          <w:rFonts w:ascii="仿宋_GB2312" w:eastAsia="仿宋_GB2312" w:hAnsi="仿宋" w:hint="eastAsia"/>
          <w:kern w:val="0"/>
          <w:sz w:val="32"/>
          <w:szCs w:val="32"/>
        </w:rPr>
        <w:t>年初我单位固定资产净值为</w:t>
      </w:r>
      <w:r>
        <w:rPr>
          <w:rFonts w:ascii="仿宋_GB2312" w:eastAsia="仿宋_GB2312" w:hAnsi="仿宋"/>
          <w:kern w:val="0"/>
          <w:sz w:val="32"/>
          <w:szCs w:val="32"/>
        </w:rPr>
        <w:t>15.61</w:t>
      </w:r>
      <w:r>
        <w:rPr>
          <w:rFonts w:ascii="仿宋_GB2312" w:eastAsia="仿宋_GB2312" w:hAnsi="仿宋" w:hint="eastAsia"/>
          <w:kern w:val="0"/>
          <w:sz w:val="32"/>
          <w:szCs w:val="32"/>
        </w:rPr>
        <w:t>万元，其中：通用设备</w:t>
      </w:r>
      <w:r>
        <w:rPr>
          <w:rFonts w:ascii="仿宋_GB2312" w:eastAsia="仿宋_GB2312" w:hAnsi="仿宋"/>
          <w:kern w:val="0"/>
          <w:sz w:val="32"/>
          <w:szCs w:val="32"/>
        </w:rPr>
        <w:t>14.29</w:t>
      </w:r>
      <w:r>
        <w:rPr>
          <w:rFonts w:ascii="仿宋_GB2312" w:eastAsia="仿宋_GB2312" w:hAnsi="仿宋" w:hint="eastAsia"/>
          <w:kern w:val="0"/>
          <w:sz w:val="32"/>
          <w:szCs w:val="32"/>
        </w:rPr>
        <w:t>万元，占固定资产总额的</w:t>
      </w:r>
      <w:r>
        <w:rPr>
          <w:rFonts w:ascii="仿宋_GB2312" w:eastAsia="仿宋_GB2312" w:hAnsi="仿宋"/>
          <w:kern w:val="0"/>
          <w:sz w:val="32"/>
          <w:szCs w:val="32"/>
        </w:rPr>
        <w:t>91.54%</w:t>
      </w:r>
      <w:r>
        <w:rPr>
          <w:rFonts w:ascii="仿宋_GB2312" w:eastAsia="仿宋_GB2312" w:hAnsi="仿宋" w:hint="eastAsia"/>
          <w:kern w:val="0"/>
          <w:sz w:val="32"/>
          <w:szCs w:val="32"/>
        </w:rPr>
        <w:t>；家具、用具、装具及动植物</w:t>
      </w:r>
      <w:r>
        <w:rPr>
          <w:rFonts w:ascii="仿宋_GB2312" w:eastAsia="仿宋_GB2312" w:hAnsi="仿宋"/>
          <w:kern w:val="0"/>
          <w:sz w:val="32"/>
          <w:szCs w:val="32"/>
        </w:rPr>
        <w:t>1.32</w:t>
      </w:r>
      <w:r>
        <w:rPr>
          <w:rFonts w:ascii="仿宋_GB2312" w:eastAsia="仿宋_GB2312" w:hAnsi="仿宋" w:hint="eastAsia"/>
          <w:kern w:val="0"/>
          <w:sz w:val="32"/>
          <w:szCs w:val="32"/>
        </w:rPr>
        <w:t>万元，占固定资产总额的</w:t>
      </w:r>
      <w:r>
        <w:rPr>
          <w:rFonts w:ascii="仿宋_GB2312" w:eastAsia="仿宋_GB2312" w:hAnsi="仿宋"/>
          <w:kern w:val="0"/>
          <w:sz w:val="32"/>
          <w:szCs w:val="32"/>
        </w:rPr>
        <w:t>8.46%</w:t>
      </w:r>
      <w:r>
        <w:rPr>
          <w:rFonts w:ascii="仿宋_GB2312" w:eastAsia="仿宋_GB2312" w:hAnsi="仿宋" w:hint="eastAsia"/>
          <w:kern w:val="0"/>
          <w:sz w:val="32"/>
          <w:szCs w:val="32"/>
        </w:rPr>
        <w:t>。</w:t>
      </w:r>
    </w:p>
    <w:p>
      <w:pPr>
        <w:spacing w:line="560" w:lineRule="exact"/>
        <w:ind w:firstLineChars="200" w:firstLine="640"/>
        <w:rPr>
          <w:rFonts w:ascii="楷体_GB2312" w:eastAsia="楷体_GB2312"/>
          <w:b/>
          <w:sz w:val="32"/>
          <w:szCs w:val="32"/>
        </w:rPr>
      </w:pPr>
      <w:r>
        <w:rPr>
          <w:rFonts w:ascii="楷体_GB2312" w:eastAsia="楷体_GB2312" w:hint="eastAsia"/>
          <w:b/>
          <w:sz w:val="32"/>
          <w:szCs w:val="32"/>
        </w:rPr>
        <w:t>（二）当年部门履职总体目标、工作任务。</w:t>
      </w:r>
    </w:p>
    <w:p>
      <w:pPr>
        <w:pStyle w:val="22"/>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560" w:lineRule="exact"/>
        <w:ind w:firstLineChars="300" w:firstLine="960"/>
        <w:rPr>
          <w:rFonts w:ascii="仿宋_GB2312" w:eastAsia="仿宋_GB2312" w:hAnsi="仿宋" w:hint="eastAsia"/>
          <w:kern w:val="2"/>
          <w:sz w:val="32"/>
          <w:szCs w:val="32"/>
          <w:lang w:eastAsia="zh-CN"/>
        </w:rPr>
      </w:pPr>
      <w:r>
        <w:rPr>
          <w:rFonts w:ascii="仿宋_GB2312" w:eastAsia="仿宋_GB2312" w:hAnsi="仿宋_GB2312" w:hint="eastAsia"/>
          <w:bCs/>
          <w:color w:val="000000"/>
          <w:sz w:val="32"/>
          <w:szCs w:val="32"/>
          <w:lang w:eastAsia="zh-CN"/>
        </w:rPr>
        <w:t>执行国家统计报表制度，完成国家、省和市布置的统计调查任务；组织开展重大的国情国力普查和大型调查。其中，日常统计调查和监测工作是除大型普查外的每年都要搞的调查包括：</w:t>
      </w:r>
      <w:r>
        <w:rPr>
          <w:rFonts w:ascii="仿宋_GB2312" w:eastAsia="仿宋_GB2312" w:hAnsi="仿宋"/>
          <w:kern w:val="2"/>
          <w:sz w:val="32"/>
          <w:szCs w:val="32"/>
          <w:lang w:eastAsia="zh-CN"/>
        </w:rPr>
        <w:t>1.</w:t>
      </w:r>
      <w:r>
        <w:rPr>
          <w:rFonts w:ascii="仿宋_GB2312" w:eastAsia="仿宋_GB2312" w:hAnsi="仿宋" w:hint="eastAsia"/>
          <w:kern w:val="2"/>
          <w:sz w:val="32"/>
          <w:szCs w:val="32"/>
          <w:lang w:eastAsia="zh-CN"/>
        </w:rPr>
        <w:t>城镇化发展监测。</w:t>
      </w:r>
      <w:r>
        <w:rPr>
          <w:rFonts w:ascii="仿宋_GB2312" w:eastAsia="仿宋_GB2312" w:hAnsi="仿宋"/>
          <w:kern w:val="2"/>
          <w:sz w:val="32"/>
          <w:szCs w:val="32"/>
          <w:lang w:eastAsia="zh-CN"/>
        </w:rPr>
        <w:t>2.</w:t>
      </w:r>
      <w:r>
        <w:rPr>
          <w:rFonts w:ascii="仿宋_GB2312" w:eastAsia="仿宋_GB2312" w:hAnsi="仿宋" w:hint="eastAsia"/>
          <w:kern w:val="2"/>
          <w:sz w:val="32"/>
          <w:szCs w:val="32"/>
          <w:lang w:eastAsia="zh-CN"/>
        </w:rPr>
        <w:t>民营经济调查。</w:t>
      </w:r>
      <w:r>
        <w:rPr>
          <w:rFonts w:ascii="仿宋_GB2312" w:eastAsia="仿宋_GB2312" w:hAnsi="仿宋"/>
          <w:kern w:val="2"/>
          <w:sz w:val="32"/>
          <w:szCs w:val="32"/>
          <w:lang w:eastAsia="zh-CN"/>
        </w:rPr>
        <w:t>3.</w:t>
      </w:r>
      <w:r>
        <w:rPr>
          <w:rFonts w:ascii="仿宋_GB2312" w:eastAsia="仿宋_GB2312" w:hAnsi="仿宋" w:hint="eastAsia"/>
          <w:kern w:val="2"/>
          <w:sz w:val="32"/>
          <w:szCs w:val="32"/>
          <w:lang w:eastAsia="zh-CN"/>
        </w:rPr>
        <w:t>投入产出调查。</w:t>
      </w:r>
      <w:r>
        <w:rPr>
          <w:rFonts w:ascii="仿宋_GB2312" w:eastAsia="仿宋_GB2312" w:hAnsi="仿宋"/>
          <w:kern w:val="2"/>
          <w:sz w:val="32"/>
          <w:szCs w:val="32"/>
          <w:lang w:eastAsia="zh-CN"/>
        </w:rPr>
        <w:t>4.</w:t>
      </w:r>
      <w:r>
        <w:rPr>
          <w:rFonts w:ascii="仿宋_GB2312" w:eastAsia="仿宋_GB2312" w:hAnsi="仿宋" w:hint="eastAsia"/>
          <w:kern w:val="2"/>
          <w:sz w:val="32"/>
          <w:szCs w:val="32"/>
          <w:lang w:eastAsia="zh-CN"/>
        </w:rPr>
        <w:t>人口变动调查。</w:t>
      </w:r>
      <w:r>
        <w:rPr>
          <w:rFonts w:ascii="仿宋_GB2312" w:eastAsia="仿宋_GB2312" w:hAnsi="仿宋"/>
          <w:kern w:val="2"/>
          <w:sz w:val="32"/>
          <w:szCs w:val="32"/>
          <w:lang w:eastAsia="zh-CN"/>
        </w:rPr>
        <w:t>5.</w:t>
      </w:r>
      <w:r>
        <w:rPr>
          <w:rFonts w:ascii="仿宋_GB2312" w:eastAsia="仿宋_GB2312" w:hAnsi="仿宋" w:hint="eastAsia"/>
          <w:kern w:val="2"/>
          <w:sz w:val="32"/>
          <w:szCs w:val="32"/>
          <w:lang w:eastAsia="zh-CN"/>
        </w:rPr>
        <w:t>成本费用调查。</w:t>
      </w:r>
      <w:r>
        <w:rPr>
          <w:rFonts w:ascii="仿宋_GB2312" w:eastAsia="仿宋_GB2312" w:hAnsi="仿宋"/>
          <w:kern w:val="2"/>
          <w:sz w:val="32"/>
          <w:szCs w:val="32"/>
          <w:lang w:eastAsia="zh-CN"/>
        </w:rPr>
        <w:t>6.</w:t>
      </w:r>
      <w:r>
        <w:rPr>
          <w:rFonts w:ascii="仿宋_GB2312" w:eastAsia="仿宋_GB2312" w:hAnsi="仿宋" w:hint="eastAsia"/>
          <w:kern w:val="2"/>
          <w:sz w:val="32"/>
          <w:szCs w:val="32"/>
          <w:lang w:eastAsia="zh-CN"/>
        </w:rPr>
        <w:t>企业调查。</w:t>
      </w:r>
      <w:r>
        <w:rPr>
          <w:rFonts w:ascii="仿宋_GB2312" w:eastAsia="仿宋_GB2312" w:hAnsi="仿宋"/>
          <w:kern w:val="2"/>
          <w:sz w:val="32"/>
          <w:szCs w:val="32"/>
          <w:lang w:eastAsia="zh-CN"/>
        </w:rPr>
        <w:t>7.</w:t>
      </w:r>
      <w:r>
        <w:rPr>
          <w:rFonts w:ascii="仿宋_GB2312" w:eastAsia="仿宋_GB2312" w:hAnsi="仿宋" w:hint="eastAsia"/>
          <w:kern w:val="2"/>
          <w:sz w:val="32"/>
          <w:szCs w:val="32"/>
          <w:lang w:eastAsia="zh-CN"/>
        </w:rPr>
        <w:t>能源统计。</w:t>
      </w:r>
      <w:r>
        <w:rPr>
          <w:rFonts w:ascii="仿宋_GB2312" w:eastAsia="仿宋_GB2312" w:hAnsi="仿宋"/>
          <w:kern w:val="2"/>
          <w:sz w:val="32"/>
          <w:szCs w:val="32"/>
          <w:lang w:eastAsia="zh-CN"/>
        </w:rPr>
        <w:t>8.</w:t>
      </w:r>
      <w:r>
        <w:rPr>
          <w:rFonts w:ascii="仿宋_GB2312" w:eastAsia="仿宋_GB2312" w:hAnsi="仿宋" w:hint="eastAsia"/>
          <w:kern w:val="2"/>
          <w:sz w:val="32"/>
          <w:szCs w:val="32"/>
          <w:lang w:eastAsia="zh-CN"/>
        </w:rPr>
        <w:t>高新技术产业和企业进步统计监测。</w:t>
      </w:r>
      <w:r>
        <w:rPr>
          <w:rFonts w:ascii="仿宋_GB2312" w:eastAsia="仿宋_GB2312" w:hAnsi="仿宋"/>
          <w:kern w:val="2"/>
          <w:sz w:val="32"/>
          <w:szCs w:val="32"/>
          <w:lang w:eastAsia="zh-CN"/>
        </w:rPr>
        <w:t>9.</w:t>
      </w:r>
      <w:r>
        <w:rPr>
          <w:rFonts w:ascii="仿宋_GB2312" w:eastAsia="仿宋_GB2312" w:hAnsi="仿宋" w:hint="eastAsia"/>
          <w:kern w:val="2"/>
          <w:sz w:val="32"/>
          <w:szCs w:val="32"/>
          <w:lang w:eastAsia="zh-CN"/>
        </w:rPr>
        <w:t>妇女儿童监测。</w:t>
      </w:r>
      <w:r>
        <w:rPr>
          <w:rFonts w:ascii="仿宋_GB2312" w:eastAsia="仿宋_GB2312" w:hAnsi="仿宋"/>
          <w:kern w:val="2"/>
          <w:sz w:val="32"/>
          <w:szCs w:val="32"/>
          <w:lang w:eastAsia="zh-CN"/>
        </w:rPr>
        <w:t>10.</w:t>
      </w:r>
      <w:r>
        <w:rPr>
          <w:rFonts w:ascii="仿宋_GB2312" w:eastAsia="仿宋_GB2312" w:hAnsi="仿宋" w:hint="eastAsia"/>
          <w:kern w:val="2"/>
          <w:sz w:val="32"/>
          <w:szCs w:val="32"/>
          <w:lang w:eastAsia="zh-CN"/>
        </w:rPr>
        <w:t>文化产业资源查状况调。</w:t>
      </w:r>
      <w:r>
        <w:rPr>
          <w:rFonts w:ascii="仿宋_GB2312" w:eastAsia="仿宋_GB2312" w:hAnsi="仿宋"/>
          <w:kern w:val="2"/>
          <w:sz w:val="32"/>
          <w:szCs w:val="32"/>
          <w:lang w:eastAsia="zh-CN"/>
        </w:rPr>
        <w:t xml:space="preserve"> 11.</w:t>
      </w:r>
      <w:r>
        <w:rPr>
          <w:rFonts w:ascii="仿宋_GB2312" w:eastAsia="仿宋_GB2312" w:hAnsi="仿宋" w:hint="eastAsia"/>
          <w:kern w:val="2"/>
          <w:sz w:val="32"/>
          <w:szCs w:val="32"/>
          <w:lang w:eastAsia="zh-CN"/>
        </w:rPr>
        <w:t>四下企业统计调查。</w:t>
      </w:r>
      <w:r>
        <w:rPr>
          <w:rFonts w:ascii="仿宋_GB2312" w:eastAsia="仿宋_GB2312" w:hAnsi="仿宋"/>
          <w:kern w:val="2"/>
          <w:sz w:val="32"/>
          <w:szCs w:val="32"/>
          <w:lang w:eastAsia="zh-CN"/>
        </w:rPr>
        <w:t>12.</w:t>
      </w:r>
      <w:r>
        <w:rPr>
          <w:rFonts w:ascii="仿宋_GB2312" w:eastAsia="仿宋_GB2312" w:hAnsi="仿宋" w:hint="eastAsia"/>
          <w:kern w:val="2"/>
          <w:sz w:val="32"/>
          <w:szCs w:val="32"/>
          <w:lang w:eastAsia="zh-CN"/>
        </w:rPr>
        <w:t>环境统计调查。</w:t>
      </w:r>
      <w:r>
        <w:rPr>
          <w:rFonts w:ascii="仿宋_GB2312" w:eastAsia="仿宋_GB2312" w:hAnsi="仿宋"/>
          <w:kern w:val="2"/>
          <w:sz w:val="32"/>
          <w:szCs w:val="32"/>
          <w:lang w:eastAsia="zh-CN"/>
        </w:rPr>
        <w:t>13.1%</w:t>
      </w:r>
      <w:r>
        <w:rPr>
          <w:rFonts w:ascii="仿宋_GB2312" w:eastAsia="仿宋_GB2312" w:hAnsi="仿宋" w:hint="eastAsia"/>
          <w:kern w:val="2"/>
          <w:sz w:val="32"/>
          <w:szCs w:val="32"/>
          <w:lang w:eastAsia="zh-CN"/>
        </w:rPr>
        <w:t>人口抽样调查。</w:t>
      </w:r>
      <w:r>
        <w:rPr>
          <w:rFonts w:ascii="仿宋_GB2312" w:eastAsia="仿宋_GB2312" w:hAnsi="仿宋"/>
          <w:kern w:val="2"/>
          <w:sz w:val="32"/>
          <w:szCs w:val="32"/>
          <w:lang w:eastAsia="zh-CN"/>
        </w:rPr>
        <w:t>14.</w:t>
      </w:r>
      <w:r>
        <w:rPr>
          <w:rFonts w:ascii="仿宋_GB2312" w:eastAsia="仿宋_GB2312" w:hAnsi="仿宋" w:hint="eastAsia"/>
          <w:kern w:val="2"/>
          <w:sz w:val="32"/>
          <w:szCs w:val="32"/>
          <w:lang w:eastAsia="zh-CN"/>
        </w:rPr>
        <w:t>帮扶贫困户及后进村帮扶工作。</w:t>
      </w:r>
    </w:p>
    <w:p>
      <w:pPr>
        <w:pStyle w:val="22"/>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560" w:lineRule="exact"/>
        <w:ind w:firstLineChars="300" w:firstLine="960"/>
        <w:rPr>
          <w:rFonts w:ascii="仿宋_GB2312" w:eastAsia="仿宋_GB2312" w:hAnsi="仿宋" w:hint="eastAsia"/>
          <w:kern w:val="2"/>
          <w:sz w:val="32"/>
          <w:szCs w:val="32"/>
          <w:lang w:eastAsia="zh-CN"/>
        </w:rPr>
      </w:pPr>
      <w:r>
        <w:rPr>
          <w:rFonts w:ascii="仿宋_GB2312" w:eastAsia="仿宋_GB2312" w:hAnsi="仿宋" w:hint="eastAsia"/>
          <w:kern w:val="2"/>
          <w:sz w:val="32"/>
          <w:szCs w:val="32"/>
          <w:lang w:eastAsia="zh-CN"/>
        </w:rPr>
        <w:t>加强统计工作，抓好重点企业达标入统工作，提高各行业对经济增长的拉动作用；继续推进统计基层基础建设，切实加强全县基本单位名录库建设工作，规范“四上”企业审批流程，夯实基层统计数据质量基础。</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560" w:lineRule="exact"/>
        <w:rPr>
          <w:rFonts w:ascii="楷体_GB2312" w:eastAsia="楷体_GB2312"/>
          <w:b/>
          <w:sz w:val="32"/>
          <w:szCs w:val="28"/>
        </w:rPr>
      </w:pPr>
      <w:r>
        <w:rPr>
          <w:rFonts w:ascii="楷体_GB2312" w:eastAsia="楷体_GB2312" w:hint="eastAsia"/>
          <w:b/>
          <w:sz w:val="32"/>
          <w:szCs w:val="28"/>
        </w:rPr>
        <w:t>（三）当年部门年度整体支出绩效目标。</w:t>
      </w:r>
    </w:p>
    <w:p>
      <w:pPr>
        <w:numPr>
          <w:ilvl w:val="0"/>
          <w:numId w:val="1"/>
        </w:numPr>
        <w:adjustRightInd w:val="0"/>
        <w:snapToGrid w:val="0"/>
        <w:spacing w:line="560" w:lineRule="exact"/>
        <w:ind w:left="0" w:firstLineChars="200" w:firstLine="640"/>
        <w:rPr>
          <w:rFonts w:ascii="仿宋_GB2312" w:eastAsia="仿宋_GB2312" w:cs="DengXian-Regular"/>
          <w:sz w:val="32"/>
          <w:szCs w:val="32"/>
        </w:rPr>
      </w:pPr>
      <w:r>
        <w:rPr>
          <w:rFonts w:ascii="仿宋_GB2312" w:eastAsia="仿宋_GB2312" w:cs="DengXian-Regular" w:hint="eastAsia"/>
          <w:sz w:val="32"/>
          <w:szCs w:val="32"/>
        </w:rPr>
        <w:t>本单位按照县财政局要求，制定内部控制管理手册，对资金管理控制运行严执按手册执行，进一步规范我局的财经秩序，做到了资金集中管理、严格审批、统筹安排、公开透明，确保资金安排、使用合法、合规，资金安全运行，杜绝了违法违纪的现象发生，发挥了经济效益和社会效益。</w:t>
      </w:r>
    </w:p>
    <w:p>
      <w:pPr>
        <w:numPr>
          <w:ilvl w:val="0"/>
          <w:numId w:val="1"/>
        </w:numPr>
        <w:adjustRightInd w:val="0"/>
        <w:snapToGrid w:val="0"/>
        <w:spacing w:line="560" w:lineRule="exact"/>
        <w:ind w:left="0" w:firstLineChars="200" w:firstLine="640"/>
        <w:rPr>
          <w:rFonts w:ascii="仿宋_GB2312" w:eastAsia="仿宋_GB2312" w:cs="DengXian-Regular"/>
          <w:sz w:val="32"/>
          <w:szCs w:val="32"/>
        </w:rPr>
      </w:pPr>
      <w:r>
        <w:rPr>
          <w:rFonts w:ascii="仿宋_GB2312" w:eastAsia="仿宋_GB2312" w:cs="DengXian-Regular" w:hint="eastAsia"/>
          <w:sz w:val="32"/>
          <w:szCs w:val="32"/>
        </w:rPr>
        <w:t>重点监测，对弱势指标重点分析监测、预警和分析，查找原因，制定对策。</w:t>
      </w:r>
    </w:p>
    <w:p>
      <w:pPr>
        <w:numPr>
          <w:ilvl w:val="0"/>
          <w:numId w:val="1"/>
        </w:numPr>
        <w:adjustRightInd w:val="0"/>
        <w:snapToGrid w:val="0"/>
        <w:spacing w:line="560" w:lineRule="exact"/>
        <w:ind w:left="0" w:firstLineChars="200" w:firstLine="640"/>
        <w:rPr>
          <w:rFonts w:ascii="仿宋_GB2312" w:eastAsia="仿宋_GB2312" w:cs="DengXian-Regular"/>
          <w:sz w:val="32"/>
          <w:szCs w:val="32"/>
        </w:rPr>
      </w:pPr>
      <w:r>
        <w:rPr>
          <w:rFonts w:ascii="仿宋_GB2312" w:eastAsia="仿宋_GB2312" w:cs="DengXian-Regular" w:hint="eastAsia"/>
          <w:sz w:val="32"/>
          <w:szCs w:val="32"/>
        </w:rPr>
        <w:t>加强培训，做好统计人员的统计业务培训及统计从业资格考试和继续教育工作，提升统计人员的业务能力。</w:t>
      </w:r>
    </w:p>
    <w:p>
      <w:pPr>
        <w:numPr>
          <w:ilvl w:val="0"/>
          <w:numId w:val="1"/>
        </w:numPr>
        <w:adjustRightInd w:val="0"/>
        <w:snapToGrid w:val="0"/>
        <w:spacing w:line="560" w:lineRule="exact"/>
        <w:ind w:left="0" w:firstLineChars="200" w:firstLine="640"/>
        <w:rPr>
          <w:rFonts w:ascii="仿宋_GB2312" w:eastAsia="仿宋_GB2312" w:cs="DengXian-Regular"/>
          <w:sz w:val="32"/>
          <w:szCs w:val="32"/>
        </w:rPr>
      </w:pPr>
      <w:r>
        <w:rPr>
          <w:rFonts w:ascii="仿宋_GB2312" w:eastAsia="仿宋_GB2312" w:cs="DengXian-Regular" w:hint="eastAsia"/>
          <w:sz w:val="32"/>
          <w:szCs w:val="32"/>
        </w:rPr>
        <w:t>要着力加强服务业统计工作，抓好重点服务业企业达标入统工作，提高服务业对经济增长的拉动作用，努力提高第三产业的比重，确保通过统计数据真实反映县委、县政府近年来推动产业转型升级的实施效果。</w:t>
      </w:r>
    </w:p>
    <w:p>
      <w:pPr>
        <w:numPr>
          <w:ilvl w:val="0"/>
          <w:numId w:val="1"/>
        </w:numPr>
        <w:adjustRightInd w:val="0"/>
        <w:snapToGrid w:val="0"/>
        <w:spacing w:line="560" w:lineRule="exact"/>
        <w:ind w:left="0" w:firstLineChars="200" w:firstLine="640"/>
        <w:rPr>
          <w:rFonts w:ascii="仿宋_GB2312" w:eastAsia="仿宋_GB2312" w:cs="DengXian-Regular"/>
          <w:sz w:val="32"/>
          <w:szCs w:val="32"/>
        </w:rPr>
      </w:pPr>
      <w:r>
        <w:rPr>
          <w:rFonts w:ascii="仿宋_GB2312" w:eastAsia="仿宋_GB2312" w:cs="DengXian-Regular" w:hint="eastAsia"/>
          <w:sz w:val="32"/>
          <w:szCs w:val="32"/>
        </w:rPr>
        <w:t>继续推进统计基层基础建设。切实加强全县基本单位名录库建设工作，规范“四上”企业审批流程，夯实基层统计数据质量基础。</w:t>
      </w:r>
    </w:p>
    <w:p>
      <w:pPr>
        <w:adjustRightInd w:val="0"/>
        <w:snapToGrid w:val="0"/>
        <w:spacing w:line="560" w:lineRule="exact"/>
        <w:ind w:firstLineChars="200" w:firstLine="640"/>
        <w:rPr>
          <w:rFonts w:ascii="仿宋_GB2312" w:eastAsia="仿宋_GB2312" w:cs="DengXian-Regular"/>
          <w:sz w:val="32"/>
          <w:szCs w:val="32"/>
        </w:rPr>
      </w:pPr>
      <w:r>
        <w:rPr>
          <w:rFonts w:ascii="仿宋_GB2312" w:eastAsia="仿宋_GB2312" w:cs="DengXian-Regular"/>
          <w:sz w:val="32"/>
          <w:szCs w:val="32"/>
        </w:rPr>
        <w:t>6</w:t>
      </w:r>
      <w:r>
        <w:rPr>
          <w:rFonts w:ascii="仿宋_GB2312" w:eastAsia="仿宋_GB2312" w:cs="DengXian-Regular" w:hint="eastAsia"/>
          <w:sz w:val="32"/>
          <w:szCs w:val="32"/>
        </w:rPr>
        <w:t>、认真做好第四次全国经济普查收尾工作，建立数据库，资料评估、分析和数据公布等工作，确保按时、高质量完成我县第四次全国经济普查工作任务继。</w:t>
      </w:r>
    </w:p>
    <w:p>
      <w:pPr>
        <w:adjustRightInd w:val="0"/>
        <w:snapToGrid w:val="0"/>
        <w:spacing w:line="560" w:lineRule="exact"/>
        <w:ind w:firstLineChars="200" w:firstLine="640"/>
        <w:rPr>
          <w:rFonts w:eastAsia="仿宋_GB2312"/>
          <w:sz w:val="30"/>
          <w:szCs w:val="30"/>
        </w:rPr>
      </w:pPr>
      <w:r>
        <w:rPr>
          <w:rFonts w:ascii="仿宋_GB2312" w:eastAsia="仿宋_GB2312" w:cs="DengXian-Regular" w:hint="eastAsia"/>
          <w:sz w:val="32"/>
          <w:szCs w:val="32"/>
        </w:rPr>
        <w:t>社会满意度认可情况：本部门已按照要求对社会公开了绩效评价结果，并通过调查问卷了解公众对本部门的履职效果满意程度。经调查，对于本单位部门绩效情况整体社会满意度较好。</w:t>
      </w:r>
    </w:p>
    <w:p>
      <w:pPr>
        <w:spacing w:line="560" w:lineRule="exact"/>
        <w:ind w:firstLineChars="200" w:firstLine="640"/>
        <w:rPr>
          <w:rFonts w:ascii="楷体_GB2312" w:eastAsia="楷体_GB2312"/>
          <w:b/>
          <w:sz w:val="32"/>
          <w:szCs w:val="32"/>
        </w:rPr>
      </w:pPr>
      <w:r>
        <w:rPr>
          <w:rFonts w:ascii="楷体_GB2312" w:eastAsia="楷体_GB2312" w:hint="eastAsia"/>
          <w:b/>
          <w:sz w:val="32"/>
          <w:szCs w:val="32"/>
        </w:rPr>
        <w:t>（四）部门预算绩效管理开展情况。</w:t>
      </w:r>
    </w:p>
    <w:p>
      <w:pPr>
        <w:spacing w:line="560" w:lineRule="exact"/>
        <w:ind w:firstLineChars="200" w:firstLine="640"/>
        <w:rPr>
          <w:rFonts w:ascii="仿宋_GB2312" w:eastAsia="仿宋_GB2312" w:cs="仿宋" w:hAnsi="仿宋" w:hint="eastAsia"/>
          <w:kern w:val="0"/>
          <w:sz w:val="32"/>
          <w:szCs w:val="32"/>
        </w:rPr>
      </w:pPr>
      <w:r>
        <w:rPr>
          <w:rFonts w:ascii="仿宋_GB2312" w:eastAsia="仿宋_GB2312" w:cs="仿宋" w:hAnsi="仿宋" w:hint="eastAsia"/>
          <w:kern w:val="0"/>
          <w:sz w:val="32"/>
          <w:szCs w:val="32"/>
        </w:rPr>
        <w:t>绩效自评实施过程情况，包括自评方法、工作程序等；</w:t>
      </w:r>
    </w:p>
    <w:p>
      <w:pPr>
        <w:spacing w:line="560" w:lineRule="exact"/>
        <w:ind w:firstLineChars="200" w:firstLine="640"/>
        <w:rPr>
          <w:rFonts w:ascii="仿宋_GB2312" w:eastAsia="仿宋_GB2312" w:cs="仿宋" w:hAnsi="仿宋" w:hint="eastAsia"/>
          <w:kern w:val="0"/>
          <w:sz w:val="32"/>
          <w:szCs w:val="32"/>
          <w:lang w:val="en-US" w:eastAsia="zh-CN"/>
        </w:rPr>
      </w:pPr>
      <w:r>
        <w:rPr>
          <w:rFonts w:ascii="仿宋_GB2312" w:eastAsia="仿宋_GB2312" w:cs="仿宋" w:hAnsi="仿宋" w:hint="eastAsia"/>
          <w:kern w:val="0"/>
          <w:sz w:val="32"/>
          <w:szCs w:val="32"/>
          <w:lang w:val="en-US" w:eastAsia="zh-CN"/>
        </w:rPr>
        <w:t>根据</w:t>
      </w:r>
      <w:r>
        <w:rPr>
          <w:rFonts w:ascii="仿宋_GB2312" w:eastAsia="仿宋_GB2312" w:cs="仿宋" w:hAnsi="仿宋" w:hint="eastAsia"/>
          <w:kern w:val="0"/>
          <w:sz w:val="32"/>
          <w:szCs w:val="32"/>
        </w:rPr>
        <w:t>昌财〔20</w:t>
      </w:r>
      <w:r>
        <w:rPr>
          <w:rFonts w:ascii="仿宋_GB2312" w:eastAsia="仿宋_GB2312" w:cs="仿宋" w:hAnsi="仿宋" w:hint="eastAsia"/>
          <w:kern w:val="0"/>
          <w:sz w:val="32"/>
          <w:szCs w:val="32"/>
          <w:lang w:val="en-US" w:eastAsia="zh-CN"/>
        </w:rPr>
        <w:t>20</w:t>
      </w:r>
      <w:r>
        <w:rPr>
          <w:rFonts w:ascii="仿宋_GB2312" w:eastAsia="仿宋_GB2312" w:cs="仿宋" w:hAnsi="仿宋" w:hint="eastAsia"/>
          <w:kern w:val="0"/>
          <w:sz w:val="32"/>
          <w:szCs w:val="32"/>
        </w:rPr>
        <w:t>〕</w:t>
      </w:r>
      <w:r>
        <w:rPr>
          <w:rFonts w:ascii="仿宋_GB2312" w:eastAsia="仿宋_GB2312" w:cs="仿宋" w:hAnsi="仿宋" w:hint="eastAsia"/>
          <w:kern w:val="0"/>
          <w:sz w:val="32"/>
          <w:szCs w:val="32"/>
          <w:lang w:val="en-US" w:eastAsia="zh-CN"/>
        </w:rPr>
        <w:t>39</w:t>
      </w:r>
      <w:r>
        <w:rPr>
          <w:rFonts w:ascii="仿宋_GB2312" w:eastAsia="仿宋_GB2312" w:cs="仿宋" w:hAnsi="仿宋" w:hint="eastAsia"/>
          <w:kern w:val="0"/>
          <w:sz w:val="32"/>
          <w:szCs w:val="32"/>
        </w:rPr>
        <w:t>号</w:t>
      </w:r>
      <w:r>
        <w:rPr>
          <w:rFonts w:ascii="仿宋_GB2312" w:eastAsia="仿宋_GB2312" w:cs="仿宋" w:hAnsi="仿宋" w:hint="eastAsia"/>
          <w:kern w:val="0"/>
          <w:sz w:val="32"/>
          <w:szCs w:val="32"/>
          <w:lang w:val="en-US" w:eastAsia="zh-CN"/>
        </w:rPr>
        <w:t>文件，</w:t>
      </w:r>
      <w:r>
        <w:rPr>
          <w:rFonts w:ascii="仿宋_GB2312" w:eastAsia="仿宋_GB2312" w:cs="仿宋" w:hAnsi="仿宋" w:hint="eastAsia"/>
          <w:kern w:val="0"/>
          <w:sz w:val="32"/>
          <w:szCs w:val="32"/>
        </w:rPr>
        <w:t>昌黎县财政局关于开展2019年度部门整体支出自评工作的通知</w:t>
      </w:r>
      <w:r>
        <w:rPr>
          <w:rFonts w:ascii="仿宋_GB2312" w:eastAsia="仿宋_GB2312" w:cs="仿宋" w:hAnsi="仿宋" w:hint="eastAsia"/>
          <w:kern w:val="0"/>
          <w:sz w:val="32"/>
          <w:szCs w:val="32"/>
          <w:lang w:eastAsia="zh-CN"/>
        </w:rPr>
        <w:t>，</w:t>
      </w:r>
      <w:r>
        <w:rPr>
          <w:rFonts w:ascii="仿宋_GB2312" w:eastAsia="仿宋_GB2312" w:cs="仿宋" w:hAnsi="仿宋" w:hint="eastAsia"/>
          <w:kern w:val="0"/>
          <w:sz w:val="32"/>
          <w:szCs w:val="32"/>
        </w:rPr>
        <w:t>为认真贯彻落实河北省委省政府印发的《关于全面实施预算绩效管理的实施意见》精神，进一步加强部门预算绩效管理，提高财政资金使用效益和管理水平以及推进部门整体支出自评工作</w:t>
      </w:r>
      <w:r>
        <w:rPr>
          <w:rFonts w:ascii="仿宋_GB2312" w:eastAsia="仿宋_GB2312" w:cs="仿宋" w:hAnsi="仿宋" w:hint="eastAsia"/>
          <w:kern w:val="0"/>
          <w:sz w:val="32"/>
          <w:szCs w:val="32"/>
          <w:lang w:val="en-US" w:eastAsia="zh-CN"/>
        </w:rPr>
        <w:t>的精神</w:t>
      </w:r>
      <w:r>
        <w:rPr>
          <w:rFonts w:ascii="仿宋_GB2312" w:eastAsia="仿宋_GB2312" w:cs="仿宋" w:hAnsi="仿宋" w:hint="eastAsia"/>
          <w:kern w:val="0"/>
          <w:sz w:val="32"/>
          <w:szCs w:val="32"/>
        </w:rPr>
        <w:t>，对</w:t>
      </w:r>
      <w:r>
        <w:rPr>
          <w:rFonts w:ascii="仿宋_GB2312" w:eastAsia="仿宋_GB2312" w:cs="仿宋" w:hAnsi="仿宋" w:hint="eastAsia"/>
          <w:kern w:val="0"/>
          <w:sz w:val="32"/>
          <w:szCs w:val="32"/>
          <w:lang w:eastAsia="zh-CN"/>
        </w:rPr>
        <w:t>昌黎县统计局</w:t>
      </w:r>
      <w:r>
        <w:rPr>
          <w:rFonts w:ascii="仿宋_GB2312" w:eastAsia="仿宋_GB2312" w:cs="仿宋" w:hAnsi="仿宋" w:hint="eastAsia"/>
          <w:kern w:val="0"/>
          <w:sz w:val="32"/>
          <w:szCs w:val="32"/>
        </w:rPr>
        <w:t>2019年度整体支出实施绩效评价，为确保评价工作的顺利开展和按时完成，我们按照绩效评价规定要求成立评价小组，组织实施和分析评价，采取座谈等方式听取情况，检查基本支出、项目支出有关账目，收集整理支出相关资料，并根据绩效自评材料进行分析，形成评价结论。保证评价结果的客观、公正，真实反映支出绩效状况，特制定本方案。</w:t>
      </w:r>
    </w:p>
    <w:p>
      <w:pPr>
        <w:spacing w:line="560" w:lineRule="exact"/>
        <w:ind w:firstLineChars="200" w:firstLine="640"/>
        <w:rPr>
          <w:rFonts w:ascii="仿宋_GB2312" w:eastAsia="仿宋_GB2312" w:cs="仿宋" w:hAnsi="仿宋" w:hint="eastAsia"/>
          <w:kern w:val="0"/>
          <w:sz w:val="32"/>
          <w:szCs w:val="32"/>
          <w:lang w:val="zh-TW" w:eastAsia="zh-TW"/>
        </w:rPr>
      </w:pPr>
      <w:r>
        <w:rPr>
          <w:rFonts w:ascii="仿宋_GB2312" w:eastAsia="仿宋_GB2312" w:cs="仿宋" w:hAnsi="仿宋" w:hint="eastAsia"/>
          <w:kern w:val="0"/>
          <w:sz w:val="32"/>
          <w:szCs w:val="32"/>
          <w:lang w:val="en-US" w:eastAsia="zh-CN"/>
        </w:rPr>
        <w:t>1.</w:t>
      </w:r>
      <w:r>
        <w:rPr>
          <w:rFonts w:ascii="仿宋_GB2312" w:eastAsia="仿宋_GB2312" w:cs="仿宋" w:hAnsi="仿宋" w:hint="eastAsia"/>
          <w:kern w:val="0"/>
          <w:sz w:val="32"/>
          <w:szCs w:val="32"/>
          <w:lang w:val="zh-TW" w:eastAsia="zh-TW"/>
        </w:rPr>
        <w:t>项目前期调研</w:t>
      </w:r>
    </w:p>
    <w:p>
      <w:pPr>
        <w:spacing w:line="560" w:lineRule="exact"/>
        <w:ind w:firstLineChars="200" w:firstLine="640"/>
        <w:rPr>
          <w:rFonts w:ascii="仿宋_GB2312" w:eastAsia="仿宋_GB2312" w:cs="仿宋" w:hAnsi="仿宋" w:hint="eastAsia"/>
          <w:kern w:val="0"/>
          <w:sz w:val="32"/>
          <w:szCs w:val="32"/>
        </w:rPr>
      </w:pPr>
      <w:r>
        <w:rPr>
          <w:rFonts w:ascii="仿宋_GB2312" w:eastAsia="仿宋_GB2312" w:cs="仿宋" w:hAnsi="仿宋" w:hint="eastAsia"/>
          <w:kern w:val="0"/>
          <w:sz w:val="32"/>
          <w:szCs w:val="32"/>
        </w:rPr>
        <w:t>沟通梳理：评价小组在项目单位工作人员的支持配合下，与相关内设机构的管理人员进行沟通和交流，深入了解该年度工作计划的形成以及被评价单位的内部资源配置情况。同时，对</w:t>
      </w:r>
      <w:r>
        <w:rPr>
          <w:rFonts w:ascii="仿宋_GB2312" w:eastAsia="仿宋_GB2312" w:cs="仿宋" w:hAnsi="仿宋" w:hint="eastAsia"/>
          <w:kern w:val="0"/>
          <w:sz w:val="32"/>
          <w:szCs w:val="32"/>
          <w:lang w:eastAsia="zh-CN"/>
        </w:rPr>
        <w:t>昌黎县统计局</w:t>
      </w:r>
      <w:r>
        <w:rPr>
          <w:rFonts w:ascii="仿宋_GB2312" w:eastAsia="仿宋_GB2312" w:cs="仿宋" w:hAnsi="仿宋" w:hint="eastAsia"/>
          <w:kern w:val="0"/>
          <w:sz w:val="32"/>
          <w:szCs w:val="32"/>
        </w:rPr>
        <w:t>绩效目标进行梳理并确认。</w:t>
      </w:r>
      <w:bookmarkStart w:id="0" w:name="_Toc28244315"/>
      <w:bookmarkStart w:id="1" w:name="_Toc8991"/>
      <w:bookmarkStart w:id="2" w:name="_Toc8327"/>
      <w:bookmarkStart w:id="3" w:name="_Toc20654"/>
      <w:bookmarkStart w:id="4" w:name="_Toc11546"/>
    </w:p>
    <w:p>
      <w:pPr>
        <w:spacing w:line="560" w:lineRule="exact"/>
        <w:ind w:firstLineChars="200" w:firstLine="640"/>
        <w:rPr>
          <w:rFonts w:ascii="仿宋_GB2312" w:eastAsia="仿宋_GB2312" w:cs="仿宋" w:hAnsi="仿宋" w:hint="eastAsia"/>
          <w:kern w:val="0"/>
          <w:sz w:val="32"/>
          <w:szCs w:val="32"/>
        </w:rPr>
      </w:pPr>
      <w:r>
        <w:rPr>
          <w:rFonts w:ascii="仿宋_GB2312" w:eastAsia="仿宋_GB2312" w:cs="仿宋" w:hAnsi="仿宋" w:hint="eastAsia"/>
          <w:kern w:val="0"/>
          <w:sz w:val="32"/>
          <w:szCs w:val="32"/>
          <w:lang w:val="en-US" w:eastAsia="zh-CN"/>
        </w:rPr>
        <w:t>2.</w:t>
      </w:r>
      <w:r>
        <w:rPr>
          <w:rFonts w:ascii="仿宋_GB2312" w:eastAsia="仿宋_GB2312" w:cs="仿宋" w:hAnsi="仿宋" w:hint="eastAsia"/>
          <w:kern w:val="0"/>
          <w:sz w:val="32"/>
          <w:szCs w:val="32"/>
        </w:rPr>
        <w:t>评价总体思路</w:t>
      </w:r>
      <w:bookmarkEnd w:id="0"/>
      <w:bookmarkEnd w:id="1"/>
      <w:bookmarkEnd w:id="2"/>
      <w:bookmarkEnd w:id="3"/>
      <w:bookmarkEnd w:id="4"/>
    </w:p>
    <w:p>
      <w:pPr>
        <w:spacing w:line="560" w:lineRule="exact"/>
        <w:ind w:firstLineChars="200" w:firstLine="640"/>
        <w:rPr>
          <w:rFonts w:ascii="仿宋_GB2312" w:eastAsia="仿宋_GB2312" w:cs="仿宋" w:hAnsi="仿宋" w:hint="eastAsia"/>
          <w:kern w:val="0"/>
          <w:sz w:val="32"/>
          <w:szCs w:val="32"/>
        </w:rPr>
      </w:pPr>
      <w:r>
        <w:rPr>
          <w:rFonts w:ascii="仿宋_GB2312" w:eastAsia="仿宋_GB2312" w:cs="仿宋" w:hAnsi="仿宋" w:hint="eastAsia"/>
          <w:kern w:val="0"/>
          <w:sz w:val="32"/>
          <w:szCs w:val="32"/>
        </w:rPr>
        <w:t>在前期调研的基础上，评价小组对资料进行了整理和分析，根据昌黎县财政局关于整体部门评价的要求，结合该部门的特点，形成了评价思路。</w:t>
      </w:r>
    </w:p>
    <w:p>
      <w:pPr>
        <w:spacing w:line="560" w:lineRule="exact"/>
        <w:ind w:firstLineChars="200" w:firstLine="640"/>
        <w:rPr>
          <w:rFonts w:ascii="仿宋_GB2312" w:eastAsia="仿宋_GB2312" w:cs="仿宋" w:hAnsi="仿宋" w:hint="eastAsia"/>
          <w:kern w:val="0"/>
          <w:sz w:val="32"/>
          <w:szCs w:val="32"/>
          <w:lang w:eastAsia="zh-CN"/>
        </w:rPr>
      </w:pPr>
      <w:r>
        <w:rPr>
          <w:rFonts w:ascii="仿宋_GB2312" w:eastAsia="仿宋_GB2312" w:cs="仿宋" w:hAnsi="仿宋" w:hint="eastAsia"/>
          <w:kern w:val="0"/>
          <w:sz w:val="32"/>
          <w:szCs w:val="32"/>
        </w:rPr>
        <w:t>第一，确认当年度单位整体支出的绩效目标。复核并确认</w:t>
      </w:r>
      <w:r>
        <w:rPr>
          <w:rFonts w:ascii="仿宋_GB2312" w:eastAsia="仿宋_GB2312" w:cs="仿宋" w:hAnsi="仿宋" w:hint="eastAsia"/>
          <w:kern w:val="0"/>
          <w:sz w:val="32"/>
          <w:szCs w:val="32"/>
          <w:lang w:val="zh-TW" w:eastAsia="zh-CN"/>
        </w:rPr>
        <w:t>昌黎县统计局</w:t>
      </w:r>
      <w:r>
        <w:rPr>
          <w:rFonts w:ascii="仿宋_GB2312" w:eastAsia="仿宋_GB2312" w:cs="仿宋" w:hAnsi="仿宋" w:hint="eastAsia"/>
          <w:kern w:val="0"/>
          <w:sz w:val="32"/>
          <w:szCs w:val="32"/>
        </w:rPr>
        <w:t>职能、单位中长期工作规划和年度工作计划，梳理并确认各个条线工作任务及要求</w:t>
      </w:r>
      <w:r>
        <w:rPr>
          <w:rFonts w:ascii="仿宋_GB2312" w:eastAsia="仿宋_GB2312" w:cs="仿宋" w:hAnsi="仿宋" w:hint="eastAsia"/>
          <w:kern w:val="0"/>
          <w:sz w:val="32"/>
          <w:szCs w:val="32"/>
          <w:lang w:eastAsia="zh-CN"/>
        </w:rPr>
        <w:t>，</w:t>
      </w:r>
      <w:r>
        <w:rPr>
          <w:rFonts w:ascii="仿宋_GB2312" w:eastAsia="仿宋_GB2312" w:cs="仿宋" w:hAnsi="仿宋" w:hint="eastAsia"/>
          <w:kern w:val="0"/>
          <w:sz w:val="32"/>
          <w:szCs w:val="32"/>
        </w:rPr>
        <w:t>明确单位的绩效目标</w:t>
      </w:r>
      <w:r>
        <w:rPr>
          <w:rFonts w:ascii="仿宋_GB2312" w:eastAsia="仿宋_GB2312" w:cs="仿宋" w:hAnsi="仿宋" w:hint="eastAsia"/>
          <w:kern w:val="0"/>
          <w:sz w:val="32"/>
          <w:szCs w:val="32"/>
          <w:lang w:eastAsia="zh-CN"/>
        </w:rPr>
        <w:t>。</w:t>
      </w:r>
    </w:p>
    <w:p>
      <w:pPr>
        <w:spacing w:line="560" w:lineRule="exact"/>
        <w:ind w:firstLineChars="200" w:firstLine="640"/>
        <w:rPr>
          <w:rFonts w:ascii="仿宋_GB2312" w:eastAsia="仿宋_GB2312" w:cs="仿宋" w:hAnsi="仿宋" w:hint="eastAsia"/>
          <w:kern w:val="0"/>
          <w:sz w:val="32"/>
          <w:szCs w:val="32"/>
        </w:rPr>
      </w:pPr>
      <w:r>
        <w:rPr>
          <w:rFonts w:ascii="仿宋_GB2312" w:eastAsia="仿宋_GB2312" w:cs="仿宋" w:hAnsi="仿宋" w:hint="eastAsia"/>
          <w:kern w:val="0"/>
          <w:sz w:val="32"/>
          <w:szCs w:val="32"/>
        </w:rPr>
        <w:t>第二，梳理单位内部管理制度及资源。整理总结被评价单位适用、在用的相关内部控制制度。分类整理单位的存量资产（固定资产、流动资产）、年内新增资产（固定资产、流动资产）</w:t>
      </w:r>
      <w:r>
        <w:rPr>
          <w:rFonts w:ascii="仿宋_GB2312" w:eastAsia="仿宋_GB2312" w:cs="仿宋" w:hAnsi="仿宋" w:hint="eastAsia"/>
          <w:kern w:val="0"/>
          <w:sz w:val="32"/>
          <w:szCs w:val="32"/>
          <w:lang w:eastAsia="zh-CN"/>
        </w:rPr>
        <w:t>；</w:t>
      </w:r>
      <w:r>
        <w:rPr>
          <w:rFonts w:ascii="仿宋_GB2312" w:eastAsia="仿宋_GB2312" w:cs="仿宋" w:hAnsi="仿宋" w:hint="eastAsia"/>
          <w:kern w:val="0"/>
          <w:sz w:val="32"/>
          <w:szCs w:val="32"/>
        </w:rPr>
        <w:t>分类整理单位的年末职工总数（行政编制、事业编制、临聘人员等）、年内人员变动情况。</w:t>
      </w:r>
    </w:p>
    <w:p>
      <w:pPr>
        <w:spacing w:line="560" w:lineRule="exact"/>
        <w:ind w:firstLineChars="200" w:firstLine="640"/>
        <w:rPr>
          <w:rFonts w:ascii="仿宋_GB2312" w:eastAsia="仿宋_GB2312" w:cs="仿宋" w:hAnsi="仿宋" w:hint="eastAsia"/>
          <w:kern w:val="0"/>
          <w:sz w:val="32"/>
          <w:szCs w:val="32"/>
        </w:rPr>
      </w:pPr>
      <w:r>
        <w:rPr>
          <w:rFonts w:ascii="仿宋_GB2312" w:eastAsia="仿宋_GB2312" w:cs="仿宋" w:hAnsi="仿宋" w:hint="eastAsia"/>
          <w:kern w:val="0"/>
          <w:sz w:val="32"/>
          <w:szCs w:val="32"/>
        </w:rPr>
        <w:t>第三，分析确定评价重点。分类整理被评价单位年度工作计划，各项工作与单位职能或规划对应关系。按照年度工作计划对应的单位职能或规划内容，分析确定整体支出评价的重点。</w:t>
      </w:r>
    </w:p>
    <w:p>
      <w:pPr>
        <w:spacing w:line="560" w:lineRule="exact"/>
        <w:ind w:firstLineChars="200" w:firstLine="640"/>
        <w:rPr>
          <w:rFonts w:ascii="仿宋_GB2312" w:eastAsia="仿宋_GB2312" w:cs="仿宋" w:hAnsi="仿宋" w:hint="eastAsia"/>
          <w:kern w:val="0"/>
          <w:sz w:val="32"/>
          <w:szCs w:val="32"/>
          <w:lang w:eastAsia="zh-CN"/>
        </w:rPr>
      </w:pPr>
      <w:r>
        <w:rPr>
          <w:rFonts w:ascii="仿宋_GB2312" w:eastAsia="仿宋_GB2312" w:cs="仿宋" w:hAnsi="仿宋" w:hint="eastAsia"/>
          <w:kern w:val="0"/>
          <w:sz w:val="32"/>
          <w:szCs w:val="32"/>
        </w:rPr>
        <w:t>第四，构建指标体系。</w:t>
      </w:r>
      <w:bookmarkStart w:id="5" w:name="_Toc15780"/>
      <w:bookmarkStart w:id="6" w:name="_Toc1414"/>
      <w:bookmarkStart w:id="7" w:name="_Toc26034"/>
      <w:bookmarkStart w:id="8" w:name="_Toc28433"/>
      <w:bookmarkStart w:id="9" w:name="_Toc28244316"/>
      <w:r>
        <w:rPr>
          <w:rFonts w:ascii="仿宋_GB2312" w:eastAsia="仿宋_GB2312" w:cs="仿宋" w:hAnsi="仿宋" w:hint="eastAsia"/>
          <w:kern w:val="0"/>
          <w:sz w:val="32"/>
          <w:szCs w:val="32"/>
        </w:rPr>
        <w:t>按照上述确定的单位职责履行情况、单位运行有效情况及单位职能实现程度三方面内容，构建指标体系</w:t>
      </w:r>
      <w:r>
        <w:rPr>
          <w:rFonts w:ascii="仿宋_GB2312" w:eastAsia="仿宋_GB2312" w:cs="仿宋" w:hAnsi="仿宋" w:hint="eastAsia"/>
          <w:kern w:val="0"/>
          <w:sz w:val="32"/>
          <w:szCs w:val="32"/>
          <w:lang w:eastAsia="zh-CN"/>
        </w:rPr>
        <w:t>，</w:t>
      </w:r>
      <w:r>
        <w:rPr>
          <w:rFonts w:ascii="仿宋_GB2312" w:eastAsia="仿宋_GB2312" w:cs="仿宋" w:hAnsi="仿宋" w:hint="eastAsia"/>
          <w:kern w:val="0"/>
          <w:sz w:val="32"/>
          <w:szCs w:val="32"/>
        </w:rPr>
        <w:t>完成对部门整体支出的评价</w:t>
      </w:r>
      <w:r>
        <w:rPr>
          <w:rFonts w:ascii="仿宋_GB2312" w:eastAsia="仿宋_GB2312" w:cs="仿宋" w:hAnsi="仿宋" w:hint="eastAsia"/>
          <w:kern w:val="0"/>
          <w:sz w:val="32"/>
          <w:szCs w:val="32"/>
          <w:lang w:eastAsia="zh-CN"/>
        </w:rPr>
        <w:t>。</w:t>
      </w:r>
    </w:p>
    <w:p>
      <w:pPr>
        <w:spacing w:line="560" w:lineRule="exact"/>
        <w:ind w:firstLineChars="200" w:firstLine="640"/>
        <w:rPr>
          <w:rFonts w:ascii="仿宋_GB2312" w:eastAsia="仿宋_GB2312" w:cs="仿宋" w:hAnsi="仿宋" w:hint="eastAsia"/>
          <w:kern w:val="0"/>
          <w:sz w:val="32"/>
          <w:szCs w:val="32"/>
        </w:rPr>
      </w:pPr>
      <w:r>
        <w:rPr>
          <w:rFonts w:ascii="仿宋_GB2312" w:eastAsia="仿宋_GB2312" w:cs="仿宋" w:hAnsi="仿宋" w:hint="eastAsia"/>
          <w:kern w:val="0"/>
          <w:sz w:val="32"/>
          <w:szCs w:val="32"/>
          <w:lang w:val="en-US" w:eastAsia="zh-CN"/>
        </w:rPr>
        <w:t>3.</w:t>
      </w:r>
      <w:r>
        <w:rPr>
          <w:rFonts w:ascii="仿宋_GB2312" w:eastAsia="仿宋_GB2312" w:cs="仿宋" w:hAnsi="仿宋" w:hint="eastAsia"/>
          <w:kern w:val="0"/>
          <w:sz w:val="32"/>
          <w:szCs w:val="32"/>
        </w:rPr>
        <w:t>评价</w:t>
      </w:r>
      <w:bookmarkEnd w:id="5"/>
      <w:bookmarkEnd w:id="6"/>
      <w:bookmarkEnd w:id="7"/>
      <w:bookmarkEnd w:id="8"/>
      <w:r>
        <w:rPr>
          <w:rFonts w:ascii="仿宋_GB2312" w:eastAsia="仿宋_GB2312" w:cs="仿宋" w:hAnsi="仿宋" w:hint="eastAsia"/>
          <w:kern w:val="0"/>
          <w:sz w:val="32"/>
          <w:szCs w:val="32"/>
        </w:rPr>
        <w:t>重点</w:t>
      </w:r>
      <w:bookmarkEnd w:id="9"/>
    </w:p>
    <w:p>
      <w:pPr>
        <w:spacing w:line="560" w:lineRule="exact"/>
        <w:ind w:firstLineChars="200" w:firstLine="640"/>
        <w:rPr>
          <w:rFonts w:ascii="仿宋_GB2312" w:eastAsia="仿宋_GB2312" w:cs="仿宋" w:hAnsi="仿宋" w:hint="eastAsia"/>
          <w:kern w:val="0"/>
          <w:sz w:val="32"/>
          <w:szCs w:val="32"/>
        </w:rPr>
      </w:pPr>
      <w:r>
        <w:rPr>
          <w:rFonts w:ascii="仿宋_GB2312" w:eastAsia="仿宋_GB2312" w:cs="仿宋" w:hAnsi="仿宋" w:hint="eastAsia"/>
          <w:kern w:val="0"/>
          <w:sz w:val="32"/>
          <w:szCs w:val="32"/>
          <w:lang w:val="zh-TW"/>
        </w:rPr>
        <w:t>通过梳理和分析，结合</w:t>
      </w:r>
      <w:r>
        <w:rPr>
          <w:rFonts w:ascii="仿宋_GB2312" w:eastAsia="仿宋_GB2312" w:cs="仿宋" w:hAnsi="仿宋" w:hint="eastAsia"/>
          <w:kern w:val="0"/>
          <w:sz w:val="32"/>
          <w:szCs w:val="32"/>
        </w:rPr>
        <w:t>昌黎县财政局的要求及</w:t>
      </w:r>
      <w:r>
        <w:rPr>
          <w:rFonts w:ascii="仿宋_GB2312" w:eastAsia="仿宋_GB2312" w:cs="仿宋" w:hAnsi="仿宋" w:hint="eastAsia"/>
          <w:kern w:val="0"/>
          <w:sz w:val="32"/>
          <w:szCs w:val="32"/>
          <w:lang w:val="zh-TW"/>
        </w:rPr>
        <w:t>被评价单位行业管理职能的特点，形成评价重点如下：</w:t>
      </w:r>
    </w:p>
    <w:p>
      <w:pPr>
        <w:spacing w:line="560" w:lineRule="exact"/>
        <w:ind w:firstLineChars="200" w:firstLine="640"/>
        <w:rPr>
          <w:rFonts w:ascii="仿宋_GB2312" w:eastAsia="仿宋_GB2312" w:cs="仿宋" w:hAnsi="仿宋" w:hint="eastAsia"/>
          <w:kern w:val="0"/>
          <w:sz w:val="32"/>
          <w:szCs w:val="32"/>
          <w:lang w:val="zh-TW"/>
        </w:rPr>
      </w:pPr>
      <w:r>
        <w:rPr>
          <w:rFonts w:ascii="仿宋_GB2312" w:eastAsia="仿宋_GB2312" w:cs="仿宋" w:hAnsi="仿宋" w:hint="eastAsia"/>
          <w:kern w:val="0"/>
          <w:sz w:val="32"/>
          <w:szCs w:val="32"/>
          <w:lang w:val="zh-TW"/>
        </w:rPr>
        <w:t>（1）重点关注昌黎县统计局履职投入和过程管理。主要关注</w:t>
      </w:r>
      <w:r>
        <w:rPr>
          <w:rFonts w:ascii="仿宋_GB2312" w:eastAsia="仿宋_GB2312" w:cs="仿宋" w:hAnsi="仿宋" w:hint="eastAsia"/>
          <w:kern w:val="0"/>
          <w:sz w:val="32"/>
          <w:szCs w:val="32"/>
          <w:lang w:eastAsia="zh-CN"/>
        </w:rPr>
        <w:t>昌黎县统计局</w:t>
      </w:r>
      <w:r>
        <w:rPr>
          <w:rFonts w:ascii="仿宋_GB2312" w:eastAsia="仿宋_GB2312" w:cs="仿宋" w:hAnsi="仿宋" w:hint="eastAsia"/>
          <w:kern w:val="0"/>
          <w:sz w:val="32"/>
          <w:szCs w:val="32"/>
          <w:lang w:val="zh-TW"/>
        </w:rPr>
        <w:t>履职所需的财政资金和资产,以及服务履职应开展的财政管理活动，包括</w:t>
      </w:r>
      <w:r>
        <w:rPr>
          <w:rFonts w:ascii="仿宋_GB2312" w:eastAsia="仿宋_GB2312" w:cs="仿宋" w:hAnsi="仿宋" w:hint="eastAsia"/>
          <w:kern w:val="0"/>
          <w:sz w:val="32"/>
          <w:szCs w:val="32"/>
          <w:lang w:val="zh-TW" w:eastAsia="zh-CN"/>
        </w:rPr>
        <w:t>昌黎县统计局</w:t>
      </w:r>
      <w:r>
        <w:rPr>
          <w:rFonts w:ascii="仿宋_GB2312" w:eastAsia="仿宋_GB2312" w:cs="仿宋" w:hAnsi="仿宋" w:hint="eastAsia"/>
          <w:kern w:val="0"/>
          <w:sz w:val="32"/>
          <w:szCs w:val="32"/>
          <w:lang w:val="zh-TW"/>
        </w:rPr>
        <w:t>目标编制和确定，预算编报、执行、决算、资产管理、信息公开、内控监督等。评价</w:t>
      </w:r>
      <w:r>
        <w:rPr>
          <w:rFonts w:ascii="仿宋_GB2312" w:eastAsia="仿宋_GB2312" w:cs="仿宋" w:hAnsi="仿宋" w:hint="eastAsia"/>
          <w:kern w:val="0"/>
          <w:sz w:val="32"/>
          <w:szCs w:val="32"/>
          <w:lang w:val="zh-TW" w:eastAsia="zh-CN"/>
        </w:rPr>
        <w:t>昌黎县统计局</w:t>
      </w:r>
      <w:r>
        <w:rPr>
          <w:rFonts w:ascii="仿宋_GB2312" w:eastAsia="仿宋_GB2312" w:cs="仿宋" w:hAnsi="仿宋" w:hint="eastAsia"/>
          <w:kern w:val="0"/>
          <w:sz w:val="32"/>
          <w:szCs w:val="32"/>
          <w:lang w:val="zh-TW"/>
        </w:rPr>
        <w:t>整体支出绩效目标是否符合本县国民经济和社会发展规划、本</w:t>
      </w:r>
      <w:r>
        <w:rPr>
          <w:rFonts w:ascii="仿宋_GB2312" w:eastAsia="仿宋_GB2312" w:cs="仿宋" w:hAnsi="仿宋" w:hint="eastAsia"/>
          <w:kern w:val="0"/>
          <w:sz w:val="32"/>
          <w:szCs w:val="32"/>
          <w:lang w:val="en-US" w:eastAsia="zh-CN"/>
        </w:rPr>
        <w:t>部门</w:t>
      </w:r>
      <w:r>
        <w:rPr>
          <w:rFonts w:ascii="仿宋_GB2312" w:eastAsia="仿宋_GB2312" w:cs="仿宋" w:hAnsi="仿宋" w:hint="eastAsia"/>
          <w:kern w:val="0"/>
          <w:sz w:val="32"/>
          <w:szCs w:val="32"/>
          <w:lang w:val="zh-TW"/>
        </w:rPr>
        <w:t>职能及事业发展规划，是否具体细化，便于衡量。绩效目标是否符合客观实际，与年度履职和管理要求密切相关。</w:t>
      </w:r>
    </w:p>
    <w:p>
      <w:pPr>
        <w:spacing w:line="560" w:lineRule="exact"/>
        <w:ind w:firstLineChars="200" w:firstLine="640"/>
        <w:rPr>
          <w:rFonts w:ascii="仿宋_GB2312" w:eastAsia="仿宋_GB2312" w:cs="仿宋" w:hAnsi="仿宋" w:hint="eastAsia"/>
          <w:kern w:val="0"/>
          <w:sz w:val="32"/>
          <w:szCs w:val="32"/>
          <w:lang w:val="zh-TW"/>
        </w:rPr>
      </w:pPr>
      <w:r>
        <w:rPr>
          <w:rFonts w:ascii="仿宋_GB2312" w:eastAsia="仿宋_GB2312" w:cs="仿宋" w:hAnsi="仿宋" w:hint="eastAsia"/>
          <w:kern w:val="0"/>
          <w:sz w:val="32"/>
          <w:szCs w:val="32"/>
          <w:lang w:val="zh-TW"/>
        </w:rPr>
        <w:t>（2）重点关注昌黎县统计局预期产出情况。包括履职数量目标，单位计划完成的各类重点工作和任务的数量；履职质量目标，重点工作和任务需要达到的质量标准和要求；履职时效目标，重点工作和任务的计划完成时间要求等。</w:t>
      </w:r>
    </w:p>
    <w:p>
      <w:pPr>
        <w:spacing w:line="560" w:lineRule="exact"/>
        <w:ind w:firstLineChars="200" w:firstLine="640"/>
        <w:rPr>
          <w:rFonts w:ascii="仿宋_GB2312" w:eastAsia="仿宋_GB2312" w:cs="仿宋" w:hAnsi="仿宋" w:hint="eastAsia"/>
          <w:kern w:val="0"/>
          <w:sz w:val="32"/>
          <w:szCs w:val="32"/>
          <w:lang w:val="zh-TW"/>
        </w:rPr>
      </w:pPr>
      <w:r>
        <w:rPr>
          <w:rFonts w:ascii="仿宋_GB2312" w:eastAsia="仿宋_GB2312" w:cs="仿宋" w:hAnsi="仿宋" w:hint="eastAsia"/>
          <w:kern w:val="0"/>
          <w:sz w:val="32"/>
          <w:szCs w:val="32"/>
          <w:lang w:val="zh-TW"/>
        </w:rPr>
        <w:t>（3）重点关注部门产出的预期效果和效益。主要体现单位职能履职效果，可持续发展情况，社会效益以及履职满意度。</w:t>
      </w:r>
    </w:p>
    <w:p>
      <w:pPr>
        <w:spacing w:line="560" w:lineRule="exact"/>
        <w:ind w:firstLineChars="200" w:firstLine="640"/>
        <w:rPr>
          <w:rFonts w:ascii="仿宋_GB2312" w:eastAsia="仿宋_GB2312" w:cs="仿宋" w:hAnsi="仿宋" w:hint="eastAsia"/>
          <w:kern w:val="0"/>
          <w:sz w:val="32"/>
          <w:szCs w:val="32"/>
        </w:rPr>
      </w:pPr>
      <w:r>
        <w:rPr>
          <w:rFonts w:ascii="仿宋_GB2312" w:eastAsia="仿宋_GB2312" w:cs="仿宋" w:hAnsi="仿宋" w:hint="eastAsia"/>
          <w:kern w:val="0"/>
          <w:sz w:val="32"/>
          <w:szCs w:val="32"/>
          <w:lang w:val="zh-TW"/>
        </w:rPr>
        <w:t>绩效自评整体结果概况，如：得分情况（或档次）、预算编制和执行情况、节能降耗情况、三公经费控制情况，项目支出管理规范和绩效情况等。</w:t>
      </w:r>
    </w:p>
    <w:p>
      <w:pPr>
        <w:numPr>
          <w:ilvl w:val="0"/>
          <w:numId w:val="2"/>
        </w:numPr>
        <w:spacing w:line="560" w:lineRule="exact"/>
        <w:ind w:left="0" w:firstLineChars="200" w:firstLine="640"/>
        <w:rPr>
          <w:rFonts w:ascii="楷体_GB2312" w:eastAsia="楷体_GB2312" w:hint="eastAsia"/>
          <w:b/>
          <w:sz w:val="32"/>
          <w:szCs w:val="32"/>
        </w:rPr>
      </w:pPr>
      <w:r>
        <w:rPr>
          <w:rFonts w:ascii="楷体_GB2312" w:eastAsia="楷体_GB2312" w:hint="eastAsia"/>
          <w:b/>
          <w:sz w:val="32"/>
          <w:szCs w:val="32"/>
        </w:rPr>
        <w:t>当年部门预算及执行情况。</w:t>
      </w:r>
    </w:p>
    <w:p>
      <w:pPr>
        <w:spacing w:line="560" w:lineRule="exact"/>
        <w:ind w:firstLineChars="200" w:firstLine="640"/>
        <w:rPr>
          <w:rFonts w:ascii="仿宋_GB2312" w:eastAsia="仿宋_GB2312" w:cs="仿宋" w:hAnsi="仿宋" w:hint="eastAsia"/>
          <w:kern w:val="0"/>
          <w:sz w:val="32"/>
          <w:szCs w:val="32"/>
          <w:lang w:val="en-US" w:eastAsia="zh-CN"/>
        </w:rPr>
      </w:pPr>
      <w:r>
        <w:rPr>
          <w:rFonts w:ascii="仿宋_GB2312" w:eastAsia="仿宋_GB2312" w:cs="仿宋" w:hAnsi="仿宋" w:hint="eastAsia"/>
          <w:kern w:val="0"/>
          <w:sz w:val="32"/>
          <w:szCs w:val="32"/>
          <w:lang w:val="en-US" w:eastAsia="zh-CN"/>
        </w:rPr>
        <w:t>1.加强政治业学习，提高思想认识。组织单位人员认真学习《</w:t>
      </w:r>
      <w:r>
        <w:rPr>
          <w:rFonts w:ascii="仿宋_GB2312" w:eastAsia="仿宋_GB2312" w:cs="仿宋" w:hAnsi="仿宋"/>
          <w:kern w:val="0"/>
          <w:sz w:val="32"/>
          <w:szCs w:val="32"/>
          <w:lang w:val="en-US" w:eastAsia="zh-CN"/>
        </w:rPr>
        <w:t>中华人民共和国</w:t>
      </w:r>
      <w:bookmarkStart w:id="10" w:name="_GoBack"/>
      <w:bookmarkEnd w:id="10"/>
      <w:r>
        <w:rPr>
          <w:rFonts w:ascii="仿宋_GB2312" w:eastAsia="仿宋_GB2312" w:cs="仿宋" w:hAnsi="仿宋" w:hint="eastAsia"/>
          <w:kern w:val="0"/>
          <w:sz w:val="32"/>
          <w:szCs w:val="32"/>
          <w:lang w:val="en-US" w:eastAsia="zh-CN"/>
        </w:rPr>
        <w:t>预算法》等相关法规、制度，提高单位领导及各业务科室对全面预算管理的重视程度，增强财务人员的预算意识，坚持先有预算，后有支出，没有预算不得支出的财政预算管理理念。</w:t>
      </w:r>
    </w:p>
    <w:p>
      <w:pPr>
        <w:spacing w:line="560" w:lineRule="exact"/>
        <w:ind w:firstLineChars="200" w:firstLine="640"/>
        <w:rPr>
          <w:rFonts w:ascii="仿宋_GB2312" w:eastAsia="仿宋_GB2312" w:cs="仿宋" w:hAnsi="仿宋" w:hint="eastAsia"/>
          <w:kern w:val="0"/>
          <w:sz w:val="32"/>
          <w:szCs w:val="32"/>
          <w:lang w:val="en-US" w:eastAsia="zh-CN"/>
        </w:rPr>
      </w:pPr>
      <w:r>
        <w:rPr>
          <w:rFonts w:ascii="仿宋_GB2312" w:eastAsia="仿宋_GB2312" w:cs="仿宋" w:hAnsi="仿宋" w:hint="eastAsia"/>
          <w:kern w:val="0"/>
          <w:sz w:val="32"/>
          <w:szCs w:val="32"/>
          <w:lang w:val="en-US" w:eastAsia="zh-CN"/>
        </w:rPr>
        <w:t>2.坚强预算管理，提高预算科学性。预算编制前根据年度内单位可预见的工作任务，确定单位年度预算目标，细化预算指标，科学合理编制部门预算，推进预算编制科学化、准确化。按照预算管理有关规定，目前部门预算的编制实行综合预算制度，即全部收入和支出都反映在预算中。</w:t>
      </w:r>
    </w:p>
    <w:p>
      <w:pPr>
        <w:spacing w:line="560" w:lineRule="exact"/>
        <w:ind w:firstLineChars="200" w:firstLine="640"/>
        <w:rPr>
          <w:rFonts w:ascii="仿宋_GB2312" w:eastAsia="仿宋_GB2312" w:cs="仿宋" w:hAnsi="仿宋" w:hint="eastAsia"/>
          <w:kern w:val="0"/>
          <w:sz w:val="32"/>
          <w:szCs w:val="32"/>
          <w:lang w:val="en-US" w:eastAsia="zh-CN"/>
        </w:rPr>
      </w:pPr>
      <w:r>
        <w:rPr>
          <w:rFonts w:ascii="仿宋_GB2312" w:eastAsia="仿宋_GB2312" w:cs="仿宋" w:hAnsi="仿宋" w:hint="eastAsia"/>
          <w:kern w:val="0"/>
          <w:sz w:val="32"/>
          <w:szCs w:val="32"/>
          <w:lang w:val="en-US" w:eastAsia="zh-CN"/>
        </w:rPr>
        <w:t>3.加强预算执行管理，年度预算编制后，根据实际情况，定期做好预算执行分析，掌握预算执行进度，及时找出预算实际执行情况和预算目标之间的差异，采取有效措施纠正偏差，提高预算执行的时效性和均衡性，同时为下一年科学、准确的编制部门预算积累经验。严格控制年末结转结余，对于预算实施进度偏慢、支出进度较低、存量资金数额较大的项目，要加强组织领导，分工明确，落实相关责任，同时加大监管力度，把预算执行工作抓紧抓好抓落实，达到提高财政资金使用效益的目的。</w:t>
      </w:r>
    </w:p>
    <w:p>
      <w:pPr>
        <w:spacing w:line="560" w:lineRule="exact"/>
        <w:ind w:firstLineChars="200" w:firstLine="640"/>
        <w:rPr>
          <w:rFonts w:ascii="仿宋_GB2312" w:eastAsia="仿宋_GB2312" w:cs="仿宋" w:hAnsi="仿宋" w:hint="eastAsia"/>
          <w:kern w:val="0"/>
          <w:sz w:val="32"/>
          <w:szCs w:val="32"/>
          <w:lang w:val="zh-TW"/>
        </w:rPr>
      </w:pPr>
      <w:r>
        <w:rPr>
          <w:rFonts w:ascii="仿宋_GB2312" w:eastAsia="仿宋_GB2312" w:cs="仿宋" w:hAnsi="仿宋" w:hint="eastAsia"/>
          <w:kern w:val="0"/>
          <w:sz w:val="32"/>
          <w:szCs w:val="32"/>
          <w:lang w:val="zh-TW"/>
        </w:rPr>
        <w:t>本单位积极履职，强化管理，较好的完成了年度工作目标。通过加强预算收支管理，不断建立健全内部管理制度，梳理内部管理流程，部门整体支出管理水平得到提升。根据部门整体支出绩效评价指标体系，我单位201</w:t>
      </w:r>
      <w:r>
        <w:rPr>
          <w:rFonts w:ascii="仿宋_GB2312" w:eastAsia="仿宋_GB2312" w:cs="仿宋" w:hAnsi="仿宋" w:hint="eastAsia"/>
          <w:kern w:val="0"/>
          <w:sz w:val="32"/>
          <w:szCs w:val="32"/>
          <w:lang w:val="en-US" w:eastAsia="zh-CN"/>
        </w:rPr>
        <w:t>9</w:t>
      </w:r>
      <w:r>
        <w:rPr>
          <w:rFonts w:ascii="仿宋_GB2312" w:eastAsia="仿宋_GB2312" w:cs="仿宋" w:hAnsi="仿宋" w:hint="eastAsia"/>
          <w:kern w:val="0"/>
          <w:sz w:val="32"/>
          <w:szCs w:val="32"/>
          <w:lang w:val="zh-TW"/>
        </w:rPr>
        <w:t>年度评价得分为</w:t>
      </w:r>
      <w:r>
        <w:rPr>
          <w:rFonts w:ascii="仿宋_GB2312" w:eastAsia="仿宋_GB2312" w:cs="仿宋" w:hAnsi="仿宋" w:hint="eastAsia"/>
          <w:kern w:val="0"/>
          <w:sz w:val="32"/>
          <w:szCs w:val="32"/>
          <w:lang w:val="en-US" w:eastAsia="zh-CN"/>
        </w:rPr>
        <w:t>96</w:t>
      </w:r>
      <w:r>
        <w:rPr>
          <w:rFonts w:ascii="仿宋_GB2312" w:eastAsia="仿宋_GB2312" w:cs="仿宋" w:hAnsi="仿宋" w:hint="eastAsia"/>
          <w:kern w:val="0"/>
          <w:sz w:val="32"/>
          <w:szCs w:val="32"/>
          <w:lang w:val="zh-TW"/>
        </w:rPr>
        <w:t>分</w:t>
      </w:r>
      <w:r>
        <w:rPr>
          <w:rFonts w:ascii="仿宋_GB2312" w:eastAsia="仿宋_GB2312" w:cs="仿宋" w:hAnsi="仿宋" w:hint="eastAsia"/>
          <w:kern w:val="0"/>
          <w:sz w:val="32"/>
          <w:szCs w:val="32"/>
          <w:lang w:val="en-US" w:eastAsia="zh-CN"/>
        </w:rPr>
        <w:t>（优秀）</w:t>
      </w:r>
      <w:r>
        <w:rPr>
          <w:rFonts w:ascii="仿宋_GB2312" w:eastAsia="仿宋_GB2312" w:cs="仿宋" w:hAnsi="仿宋" w:hint="eastAsia"/>
          <w:kern w:val="0"/>
          <w:sz w:val="32"/>
          <w:szCs w:val="32"/>
          <w:lang w:val="zh-TW"/>
        </w:rPr>
        <w:t>。</w:t>
      </w:r>
    </w:p>
    <w:p>
      <w:pPr>
        <w:spacing w:line="560" w:lineRule="exact"/>
        <w:ind w:firstLineChars="200" w:firstLine="640"/>
        <w:rPr>
          <w:rFonts w:ascii="仿宋_GB2312" w:eastAsia="仿宋_GB2312" w:cs="仿宋" w:hAnsi="仿宋" w:hint="eastAsia"/>
          <w:kern w:val="0"/>
          <w:sz w:val="32"/>
          <w:szCs w:val="32"/>
          <w:lang w:val="zh-TW"/>
        </w:rPr>
      </w:pPr>
      <w:r>
        <w:rPr>
          <w:rFonts w:ascii="仿宋_GB2312" w:eastAsia="仿宋_GB2312" w:cs="仿宋" w:hAnsi="仿宋" w:hint="eastAsia"/>
          <w:kern w:val="0"/>
          <w:sz w:val="32"/>
          <w:szCs w:val="32"/>
          <w:lang w:val="en-US" w:eastAsia="zh-CN"/>
        </w:rPr>
        <w:t>2019年部门预算执行数208.33万元，综合执行率86.02%。其中基本支出156.37万元，执行率100%。项目支出51.96万元，执行率60.55%。</w:t>
      </w:r>
    </w:p>
    <w:p>
      <w:pPr>
        <w:spacing w:line="560" w:lineRule="exact"/>
        <w:ind w:firstLineChars="200" w:firstLine="640"/>
        <w:rPr>
          <w:rFonts w:ascii="黑体" w:eastAsia="黑体"/>
          <w:sz w:val="32"/>
          <w:szCs w:val="32"/>
        </w:rPr>
      </w:pPr>
      <w:r>
        <w:rPr>
          <w:rFonts w:ascii="黑体" w:eastAsia="黑体" w:hint="eastAsia"/>
          <w:sz w:val="32"/>
          <w:szCs w:val="32"/>
        </w:rPr>
        <w:t>二、部门整体支出绩效实现情况</w:t>
      </w:r>
    </w:p>
    <w:p>
      <w:pPr>
        <w:adjustRightInd w:val="0"/>
        <w:snapToGrid w:val="0"/>
        <w:spacing w:line="560" w:lineRule="exact"/>
        <w:ind w:firstLineChars="200" w:firstLine="640"/>
        <w:rPr>
          <w:rFonts w:ascii="仿宋_GB2312" w:eastAsia="仿宋_GB2312" w:cs="DengXian-Regular"/>
          <w:sz w:val="32"/>
          <w:szCs w:val="32"/>
        </w:rPr>
      </w:pPr>
      <w:r>
        <w:rPr>
          <w:rFonts w:ascii="楷体_GB2312" w:eastAsia="楷体_GB2312" w:hint="eastAsia"/>
          <w:b/>
          <w:sz w:val="32"/>
          <w:szCs w:val="32"/>
        </w:rPr>
        <w:t>（一）履职完成情况：</w:t>
      </w:r>
      <w:r>
        <w:rPr>
          <w:rFonts w:ascii="仿宋_GB2312" w:eastAsia="仿宋_GB2312" w:cs="DengXian-Regular" w:hint="eastAsia"/>
          <w:sz w:val="32"/>
          <w:szCs w:val="32"/>
        </w:rPr>
        <w:t>保障全县统计信息自动化系统和统计数据库系统运行安全平稳。保证统计数据的顺利报送汇总。主要绩效指标：四上企业联网直报率为</w:t>
      </w:r>
      <w:r>
        <w:rPr>
          <w:rFonts w:ascii="仿宋_GB2312" w:eastAsia="仿宋_GB2312" w:cs="DengXian-Regular"/>
          <w:sz w:val="32"/>
          <w:szCs w:val="32"/>
        </w:rPr>
        <w:t>90%</w:t>
      </w:r>
      <w:r>
        <w:rPr>
          <w:rFonts w:ascii="仿宋_GB2312" w:eastAsia="仿宋_GB2312" w:cs="DengXian-Regular" w:hint="eastAsia"/>
          <w:sz w:val="32"/>
          <w:szCs w:val="32"/>
        </w:rPr>
        <w:t>以上；业务培训覆盖率</w:t>
      </w:r>
      <w:r>
        <w:rPr>
          <w:rFonts w:ascii="仿宋_GB2312" w:eastAsia="仿宋_GB2312" w:cs="DengXian-Regular"/>
          <w:sz w:val="32"/>
          <w:szCs w:val="32"/>
        </w:rPr>
        <w:t>95%</w:t>
      </w:r>
      <w:r>
        <w:rPr>
          <w:rFonts w:ascii="仿宋_GB2312" w:eastAsia="仿宋_GB2312" w:cs="DengXian-Regular" w:hint="eastAsia"/>
          <w:sz w:val="32"/>
          <w:szCs w:val="32"/>
        </w:rPr>
        <w:t>以上。</w:t>
      </w:r>
    </w:p>
    <w:p>
      <w:pPr>
        <w:adjustRightInd w:val="0"/>
        <w:snapToGrid w:val="0"/>
        <w:spacing w:line="560" w:lineRule="exact"/>
        <w:ind w:firstLineChars="200" w:firstLine="640"/>
        <w:rPr>
          <w:rFonts w:eastAsia="仿宋_GB2312"/>
          <w:sz w:val="30"/>
        </w:rPr>
      </w:pPr>
      <w:r>
        <w:rPr>
          <w:rFonts w:ascii="仿宋_GB2312" w:eastAsia="仿宋_GB2312" w:cs="DengXian-Regular" w:hint="eastAsia"/>
          <w:sz w:val="32"/>
          <w:szCs w:val="32"/>
        </w:rPr>
        <w:t>组织完成国家部署的国情国力普查及重要调查任务，研究提出重大县情县力普查和抽样调查计划并组织实施，汇总、整理和提供有关县情县力方面的统计数据。主要绩效指标：调查对象覆盖率</w:t>
      </w:r>
      <w:r>
        <w:rPr>
          <w:rFonts w:ascii="仿宋_GB2312" w:eastAsia="仿宋_GB2312" w:cs="DengXian-Regular"/>
          <w:sz w:val="32"/>
          <w:szCs w:val="32"/>
        </w:rPr>
        <w:t>95%</w:t>
      </w:r>
      <w:r>
        <w:rPr>
          <w:rFonts w:ascii="仿宋_GB2312" w:eastAsia="仿宋_GB2312" w:cs="DengXian-Regular" w:hint="eastAsia"/>
          <w:sz w:val="32"/>
          <w:szCs w:val="32"/>
        </w:rPr>
        <w:t>以上，普查统计完成率</w:t>
      </w:r>
      <w:r>
        <w:rPr>
          <w:rFonts w:ascii="仿宋_GB2312" w:eastAsia="仿宋_GB2312" w:cs="DengXian-Regular"/>
          <w:sz w:val="32"/>
          <w:szCs w:val="32"/>
        </w:rPr>
        <w:t>98%</w:t>
      </w:r>
      <w:r>
        <w:rPr>
          <w:rFonts w:ascii="仿宋_GB2312" w:eastAsia="仿宋_GB2312" w:cs="DengXian-Regular" w:hint="eastAsia"/>
          <w:sz w:val="32"/>
          <w:szCs w:val="32"/>
        </w:rPr>
        <w:t>以上。</w:t>
      </w:r>
    </w:p>
    <w:p>
      <w:pPr>
        <w:tabs>
          <w:tab w:val="left" w:pos="1580"/>
        </w:tabs>
        <w:spacing w:line="560" w:lineRule="exact"/>
        <w:ind w:firstLineChars="200" w:firstLine="640"/>
        <w:rPr>
          <w:rFonts w:eastAsia="仿宋_GB2312"/>
          <w:sz w:val="30"/>
        </w:rPr>
      </w:pPr>
      <w:r>
        <w:rPr>
          <w:rFonts w:ascii="楷体_GB2312" w:eastAsia="楷体_GB2312" w:hint="eastAsia"/>
          <w:b/>
          <w:sz w:val="32"/>
          <w:szCs w:val="32"/>
        </w:rPr>
        <w:t>（二）履职效果情况：</w:t>
      </w:r>
      <w:r>
        <w:rPr>
          <w:rFonts w:ascii="仿宋_GB2312" w:eastAsia="仿宋_GB2312" w:cs="仿宋" w:hAnsi="仿宋" w:hint="eastAsia"/>
          <w:kern w:val="0"/>
          <w:sz w:val="32"/>
          <w:szCs w:val="32"/>
          <w:lang w:val="en-US" w:eastAsia="zh-CN"/>
        </w:rPr>
        <w:t>1.加强了现代服务业和“三新”（新产业、新业态、新商业模式）统计。抓好清查摸底，完善统计名录，开展调查监测。2.加强了个体工商户转型升级为企业工作。将经税务部门核定为一般纳税人的个体工商户，拥有商标、专利等自主知识产权的个体工商户，其他符合国家产业政策导向的个体工商户，基本达到或已经达到“四上”企业标准的个体工商户作为“个转企”的重点，为新增“四上”企业奠定了基础。3.加强了GDP核算。加强了基础数据的比较、分析和评估，及时进行预</w:t>
      </w:r>
      <w:r>
        <w:rPr>
          <w:rFonts w:ascii="仿宋_GB2312" w:eastAsia="仿宋_GB2312" w:cs="DengXian-Regular" w:hint="eastAsia"/>
          <w:sz w:val="32"/>
          <w:szCs w:val="32"/>
        </w:rPr>
        <w:t>警，协调解决问题。</w:t>
      </w:r>
      <w:r>
        <w:rPr>
          <w:rFonts w:ascii="仿宋_GB2312" w:eastAsia="仿宋_GB2312" w:cs="DengXian-Regular"/>
          <w:sz w:val="32"/>
          <w:szCs w:val="32"/>
        </w:rPr>
        <w:t>4</w:t>
      </w:r>
      <w:r>
        <w:rPr>
          <w:rFonts w:ascii="仿宋_GB2312" w:eastAsia="仿宋_GB2312" w:cs="DengXian-Regular" w:hint="eastAsia"/>
          <w:sz w:val="32"/>
          <w:szCs w:val="32"/>
        </w:rPr>
        <w:t>、兑现企业扶持政策。做好第四次全国经济普查收尾工作及各项常规统计调查工作。认真做好第四次全国经济普查收尾工作，建立数据库，资料评估、分析和数据公布等工作，确保按时、高质量完成我县第四次全国经济普查工作任务。抓好了各项常规统计调查，扎实抓好了住户调查和农村贫困帮扶工作；认真组织实施好了农业、工业、建筑业、批发和零售业、住宿和餐饮业、房地产业、服务业等行业，以及能源、投资、人口、劳动、社会、科技、环境等领域各项常规统计调查。</w:t>
      </w:r>
    </w:p>
    <w:p>
      <w:pPr>
        <w:spacing w:line="560" w:lineRule="exact"/>
        <w:ind w:firstLineChars="200" w:firstLine="640"/>
        <w:rPr>
          <w:rFonts w:ascii="楷体_GB2312" w:eastAsia="楷体_GB2312"/>
          <w:b/>
          <w:sz w:val="32"/>
          <w:szCs w:val="32"/>
        </w:rPr>
      </w:pPr>
      <w:r>
        <w:rPr>
          <w:rFonts w:ascii="楷体_GB2312" w:eastAsia="楷体_GB2312" w:hint="eastAsia"/>
          <w:b/>
          <w:sz w:val="32"/>
          <w:szCs w:val="32"/>
        </w:rPr>
        <w:t>（三）社会满意度及可持续性影响</w:t>
      </w:r>
    </w:p>
    <w:p>
      <w:pPr>
        <w:spacing w:line="560" w:lineRule="exact"/>
        <w:ind w:firstLineChars="200" w:firstLine="640"/>
        <w:rPr>
          <w:rFonts w:ascii="仿宋_GB2312" w:eastAsia="仿宋_GB2312" w:cs="宋体" w:hAnsi="楷体"/>
          <w:kern w:val="0"/>
          <w:sz w:val="32"/>
          <w:szCs w:val="32"/>
        </w:rPr>
      </w:pPr>
      <w:r>
        <w:rPr>
          <w:rFonts w:ascii="仿宋_GB2312" w:eastAsia="仿宋_GB2312" w:cs="宋体" w:hAnsi="楷体" w:hint="eastAsia"/>
          <w:kern w:val="0"/>
          <w:sz w:val="32"/>
          <w:szCs w:val="32"/>
        </w:rPr>
        <w:t>在县委的正确领导下，紧紧围绕全县大局和县委中心工作，着力提升素质强能力，改进作风优服务，真抓实干促发展，保证了机关的正常运转，调查对象覆盖率、培训出勤率、统计失误率均到较高水平。圆满完成了统计综合业务管理项目的实施。开展各项统计报表工作，整合多方统计资源，充分发挥统计工作者作用，加强统计组织领导能力，统计数据管理业务工作保障率达到</w:t>
      </w:r>
      <w:r>
        <w:rPr>
          <w:rFonts w:ascii="仿宋_GB2312" w:eastAsia="仿宋_GB2312" w:cs="宋体" w:hAnsi="楷体"/>
          <w:kern w:val="0"/>
          <w:sz w:val="32"/>
          <w:szCs w:val="32"/>
        </w:rPr>
        <w:t>95%</w:t>
      </w:r>
      <w:r>
        <w:rPr>
          <w:rFonts w:ascii="仿宋_GB2312" w:eastAsia="仿宋_GB2312" w:cs="宋体" w:hAnsi="楷体" w:hint="eastAsia"/>
          <w:kern w:val="0"/>
          <w:sz w:val="32"/>
          <w:szCs w:val="32"/>
        </w:rPr>
        <w:t>。</w:t>
      </w:r>
    </w:p>
    <w:p>
      <w:pPr>
        <w:spacing w:line="560" w:lineRule="exact"/>
        <w:ind w:firstLineChars="200" w:firstLine="600"/>
        <w:rPr>
          <w:rFonts w:ascii="黑体" w:eastAsia="黑体"/>
          <w:sz w:val="30"/>
        </w:rPr>
      </w:pPr>
      <w:r>
        <w:rPr>
          <w:rFonts w:ascii="黑体" w:eastAsia="黑体" w:hint="eastAsia"/>
          <w:sz w:val="30"/>
        </w:rPr>
        <w:t>三、部门整体支出绩效中存在问题及改进措施</w:t>
      </w:r>
    </w:p>
    <w:p>
      <w:pPr>
        <w:spacing w:line="560" w:lineRule="exact"/>
        <w:ind w:firstLineChars="200" w:firstLine="640"/>
        <w:rPr>
          <w:rFonts w:ascii="黑体" w:eastAsia="黑体"/>
          <w:sz w:val="30"/>
        </w:rPr>
      </w:pPr>
      <w:r>
        <w:rPr>
          <w:rFonts w:ascii="楷体_GB2312" w:eastAsia="楷体_GB2312" w:hint="eastAsia"/>
          <w:b/>
          <w:sz w:val="32"/>
          <w:szCs w:val="32"/>
        </w:rPr>
        <w:t>（一）主要问题及原因分析</w:t>
      </w:r>
    </w:p>
    <w:p>
      <w:pPr>
        <w:spacing w:line="560" w:lineRule="exact"/>
        <w:ind w:firstLineChars="196" w:firstLine="627"/>
        <w:rPr>
          <w:rFonts w:ascii="仿宋_GB2312" w:eastAsia="仿宋_GB2312" w:hAnsi="微软雅黑"/>
          <w:sz w:val="32"/>
          <w:szCs w:val="32"/>
        </w:rPr>
      </w:pPr>
      <w:r>
        <w:rPr>
          <w:rFonts w:ascii="仿宋_GB2312" w:eastAsia="仿宋_GB2312" w:hAnsi="微软雅黑" w:hint="eastAsia"/>
          <w:sz w:val="32"/>
          <w:szCs w:val="32"/>
        </w:rPr>
        <w:t>一是</w:t>
      </w:r>
      <w:r>
        <w:rPr>
          <w:rFonts w:ascii="仿宋_GB2312" w:eastAsia="仿宋_GB2312" w:hAnsi="微软雅黑"/>
          <w:sz w:val="32"/>
          <w:szCs w:val="32"/>
        </w:rPr>
        <w:t>:</w:t>
      </w:r>
      <w:r>
        <w:rPr>
          <w:rFonts w:ascii="仿宋_GB2312" w:eastAsia="仿宋_GB2312" w:hAnsi="微软雅黑" w:hint="eastAsia"/>
          <w:sz w:val="32"/>
          <w:szCs w:val="32"/>
        </w:rPr>
        <w:t>绩效理念尚未真正建立。工作中还存在“重分配、轻</w:t>
      </w:r>
      <w:r>
        <w:rPr>
          <w:rFonts w:ascii="仿宋_GB2312" w:eastAsia="仿宋_GB2312" w:hAnsi="微软雅黑"/>
          <w:sz w:val="32"/>
          <w:szCs w:val="32"/>
        </w:rPr>
        <w:t xml:space="preserve"> </w:t>
      </w:r>
      <w:r>
        <w:rPr>
          <w:rFonts w:ascii="仿宋_GB2312" w:eastAsia="仿宋_GB2312" w:hAnsi="微软雅黑" w:hint="eastAsia"/>
          <w:sz w:val="32"/>
          <w:szCs w:val="32"/>
        </w:rPr>
        <w:t>管理”的观念，重产出、重结果的绩效理念尚未真正建立，只</w:t>
      </w:r>
      <w:r>
        <w:rPr>
          <w:rFonts w:ascii="仿宋_GB2312" w:eastAsia="仿宋_GB2312" w:hAnsi="微软雅黑"/>
          <w:sz w:val="32"/>
          <w:szCs w:val="32"/>
        </w:rPr>
        <w:t xml:space="preserve"> </w:t>
      </w:r>
      <w:r>
        <w:rPr>
          <w:rFonts w:ascii="仿宋_GB2312" w:eastAsia="仿宋_GB2312" w:hAnsi="微软雅黑" w:hint="eastAsia"/>
          <w:sz w:val="32"/>
          <w:szCs w:val="32"/>
        </w:rPr>
        <w:t>是满足于资金使用只要合法合规就行，对绩效管理工作重视不够。</w:t>
      </w:r>
      <w:r>
        <w:rPr>
          <w:rFonts w:ascii="仿宋_GB2312" w:eastAsia="仿宋_GB2312" w:hAnsi="微软雅黑"/>
          <w:sz w:val="32"/>
          <w:szCs w:val="32"/>
        </w:rPr>
        <w:t xml:space="preserve"> </w:t>
      </w:r>
    </w:p>
    <w:p>
      <w:pPr>
        <w:spacing w:line="560" w:lineRule="exact"/>
        <w:ind w:firstLineChars="196" w:firstLine="627"/>
        <w:rPr>
          <w:rFonts w:ascii="仿宋_GB2312" w:eastAsia="仿宋_GB2312" w:hAnsi="微软雅黑"/>
          <w:sz w:val="32"/>
          <w:szCs w:val="32"/>
        </w:rPr>
      </w:pPr>
      <w:r>
        <w:rPr>
          <w:rFonts w:ascii="仿宋_GB2312" w:eastAsia="仿宋_GB2312" w:hAnsi="微软雅黑" w:hint="eastAsia"/>
          <w:sz w:val="32"/>
          <w:szCs w:val="32"/>
        </w:rPr>
        <w:t>二是</w:t>
      </w:r>
      <w:r>
        <w:rPr>
          <w:rFonts w:ascii="仿宋_GB2312" w:eastAsia="仿宋_GB2312" w:hAnsi="微软雅黑"/>
          <w:sz w:val="32"/>
          <w:szCs w:val="32"/>
        </w:rPr>
        <w:t>:</w:t>
      </w:r>
      <w:r>
        <w:rPr>
          <w:rFonts w:ascii="仿宋_GB2312" w:eastAsia="仿宋_GB2312" w:hAnsi="微软雅黑" w:hint="eastAsia"/>
          <w:sz w:val="32"/>
          <w:szCs w:val="32"/>
        </w:rPr>
        <w:t>相关制度体系不够完善。协商机制还不够健全，协商形式还不够丰富，界别作用发挥还不够充分。</w:t>
      </w:r>
    </w:p>
    <w:p>
      <w:pPr>
        <w:spacing w:line="560" w:lineRule="exact"/>
        <w:ind w:firstLineChars="196" w:firstLine="627"/>
        <w:rPr>
          <w:rFonts w:ascii="仿宋_GB2312" w:eastAsia="仿宋_GB2312" w:hAnsi="微软雅黑"/>
          <w:sz w:val="32"/>
          <w:szCs w:val="32"/>
        </w:rPr>
      </w:pPr>
      <w:r>
        <w:rPr>
          <w:rFonts w:ascii="仿宋_GB2312" w:eastAsia="仿宋_GB2312" w:hAnsi="微软雅黑" w:hint="eastAsia"/>
          <w:sz w:val="32"/>
          <w:szCs w:val="32"/>
        </w:rPr>
        <w:t>三是：部分项目存在客观原因造成预算项目资金执行率达不到</w:t>
      </w:r>
      <w:r>
        <w:rPr>
          <w:rFonts w:ascii="仿宋_GB2312" w:eastAsia="仿宋_GB2312" w:hAnsi="微软雅黑"/>
          <w:sz w:val="32"/>
          <w:szCs w:val="32"/>
        </w:rPr>
        <w:t>100.00%</w:t>
      </w:r>
      <w:r>
        <w:rPr>
          <w:rFonts w:ascii="仿宋_GB2312" w:eastAsia="仿宋_GB2312" w:hAnsi="微软雅黑" w:hint="eastAsia"/>
          <w:sz w:val="32"/>
          <w:szCs w:val="32"/>
        </w:rPr>
        <w:t>，造成结转资金，需要在下年度进行支付。</w:t>
      </w:r>
    </w:p>
    <w:p>
      <w:pPr>
        <w:spacing w:line="560" w:lineRule="exact"/>
        <w:ind w:firstLineChars="196" w:firstLine="627"/>
        <w:rPr>
          <w:rFonts w:ascii="仿宋_GB2312" w:eastAsia="仿宋_GB2312" w:hAnsi="微软雅黑"/>
          <w:sz w:val="32"/>
          <w:szCs w:val="32"/>
        </w:rPr>
      </w:pPr>
      <w:r>
        <w:rPr>
          <w:rFonts w:ascii="仿宋_GB2312" w:eastAsia="仿宋_GB2312" w:hAnsi="微软雅黑" w:hint="eastAsia"/>
          <w:sz w:val="32"/>
          <w:szCs w:val="32"/>
        </w:rPr>
        <w:t>四是：资料收集整理困难，未能做到全覆盖，造成部分指标需要根据以往资金来判断执行情况，没有充分的佐证依据来支撑评价结果，降低了绩效评价的工作质量。</w:t>
      </w:r>
    </w:p>
    <w:p>
      <w:pPr>
        <w:spacing w:line="560" w:lineRule="exact"/>
        <w:ind w:firstLineChars="200" w:firstLine="640"/>
        <w:rPr>
          <w:rFonts w:ascii="楷体_GB2312" w:eastAsia="楷体_GB2312"/>
          <w:b/>
          <w:sz w:val="32"/>
          <w:szCs w:val="32"/>
        </w:rPr>
      </w:pPr>
      <w:r>
        <w:rPr>
          <w:rFonts w:ascii="楷体_GB2312" w:eastAsia="楷体_GB2312" w:hint="eastAsia"/>
          <w:b/>
          <w:sz w:val="32"/>
          <w:szCs w:val="32"/>
        </w:rPr>
        <w:t>（二）改进的方向和具体措施</w:t>
      </w:r>
    </w:p>
    <w:p>
      <w:pPr>
        <w:spacing w:line="560" w:lineRule="exact"/>
        <w:ind w:firstLineChars="196" w:firstLine="627"/>
        <w:rPr>
          <w:rFonts w:ascii="仿宋_GB2312" w:eastAsia="仿宋_GB2312" w:hAnsi="微软雅黑"/>
          <w:sz w:val="32"/>
          <w:szCs w:val="32"/>
        </w:rPr>
      </w:pPr>
      <w:r>
        <w:rPr>
          <w:rFonts w:ascii="仿宋_GB2312" w:eastAsia="仿宋_GB2312" w:hAnsi="微软雅黑"/>
          <w:sz w:val="32"/>
          <w:szCs w:val="32"/>
        </w:rPr>
        <w:t>1</w:t>
      </w:r>
      <w:r>
        <w:rPr>
          <w:rFonts w:ascii="仿宋_GB2312" w:eastAsia="仿宋_GB2312" w:hAnsi="微软雅黑" w:hint="eastAsia"/>
          <w:sz w:val="32"/>
          <w:szCs w:val="32"/>
        </w:rPr>
        <w:t>、加大培训力度，提高工作人员绩效评价水平，提升工作</w:t>
      </w:r>
      <w:r>
        <w:rPr>
          <w:rFonts w:ascii="仿宋_GB2312" w:eastAsia="仿宋_GB2312" w:hAnsi="微软雅黑"/>
          <w:sz w:val="32"/>
          <w:szCs w:val="32"/>
        </w:rPr>
        <w:t xml:space="preserve"> </w:t>
      </w:r>
      <w:r>
        <w:rPr>
          <w:rFonts w:ascii="仿宋_GB2312" w:eastAsia="仿宋_GB2312" w:hAnsi="微软雅黑" w:hint="eastAsia"/>
          <w:sz w:val="32"/>
          <w:szCs w:val="32"/>
        </w:rPr>
        <w:t>人员绩效管理意识。转变工作人员思想观念，从思想根源上除</w:t>
      </w:r>
      <w:r>
        <w:rPr>
          <w:rFonts w:ascii="仿宋_GB2312" w:eastAsia="仿宋_GB2312" w:hAnsi="微软雅黑"/>
          <w:sz w:val="32"/>
          <w:szCs w:val="32"/>
        </w:rPr>
        <w:t xml:space="preserve"> </w:t>
      </w:r>
      <w:r>
        <w:rPr>
          <w:rFonts w:ascii="仿宋_GB2312" w:eastAsia="仿宋_GB2312" w:hAnsi="微软雅黑" w:hint="eastAsia"/>
          <w:sz w:val="32"/>
          <w:szCs w:val="32"/>
        </w:rPr>
        <w:t>去重资金轻绩效的思想观念，真正认识到绩效不只是财务的事</w:t>
      </w:r>
      <w:r>
        <w:rPr>
          <w:rFonts w:ascii="仿宋_GB2312" w:eastAsia="仿宋_GB2312" w:hAnsi="微软雅黑"/>
          <w:sz w:val="32"/>
          <w:szCs w:val="32"/>
        </w:rPr>
        <w:t xml:space="preserve"> </w:t>
      </w:r>
      <w:r>
        <w:rPr>
          <w:rFonts w:ascii="仿宋_GB2312" w:eastAsia="仿宋_GB2312" w:hAnsi="微软雅黑" w:hint="eastAsia"/>
          <w:sz w:val="32"/>
          <w:szCs w:val="32"/>
        </w:rPr>
        <w:t>情，而是与各委室工作息息相关。</w:t>
      </w:r>
      <w:r>
        <w:rPr>
          <w:rFonts w:ascii="仿宋_GB2312" w:eastAsia="仿宋_GB2312" w:hAnsi="微软雅黑"/>
          <w:sz w:val="32"/>
          <w:szCs w:val="32"/>
        </w:rPr>
        <w:t xml:space="preserve"> </w:t>
      </w:r>
    </w:p>
    <w:p>
      <w:pPr>
        <w:spacing w:line="560" w:lineRule="exact"/>
        <w:ind w:firstLineChars="196" w:firstLine="627"/>
        <w:rPr>
          <w:rFonts w:ascii="仿宋_GB2312" w:eastAsia="仿宋_GB2312" w:hAnsi="微软雅黑"/>
          <w:sz w:val="32"/>
          <w:szCs w:val="32"/>
        </w:rPr>
      </w:pPr>
      <w:r>
        <w:rPr>
          <w:rFonts w:ascii="仿宋_GB2312" w:eastAsia="仿宋_GB2312" w:hAnsi="微软雅黑"/>
          <w:sz w:val="32"/>
          <w:szCs w:val="32"/>
        </w:rPr>
        <w:t>2</w:t>
      </w:r>
      <w:r>
        <w:rPr>
          <w:rFonts w:ascii="仿宋_GB2312" w:eastAsia="仿宋_GB2312" w:hAnsi="微软雅黑" w:hint="eastAsia"/>
          <w:sz w:val="32"/>
          <w:szCs w:val="32"/>
        </w:rPr>
        <w:t>、完善内控流程、严格执行各项财政政策。抓好经费落实，</w:t>
      </w:r>
      <w:r>
        <w:rPr>
          <w:rFonts w:ascii="仿宋_GB2312" w:eastAsia="仿宋_GB2312" w:hAnsi="微软雅黑"/>
          <w:sz w:val="32"/>
          <w:szCs w:val="32"/>
        </w:rPr>
        <w:t xml:space="preserve"> </w:t>
      </w:r>
      <w:r>
        <w:rPr>
          <w:rFonts w:ascii="仿宋_GB2312" w:eastAsia="仿宋_GB2312" w:hAnsi="微软雅黑" w:hint="eastAsia"/>
          <w:sz w:val="32"/>
          <w:szCs w:val="32"/>
        </w:rPr>
        <w:t>配合相关委室，提高资金使用效益，共同完成绩效管理工作。</w:t>
      </w:r>
    </w:p>
    <w:p>
      <w:pPr>
        <w:adjustRightInd w:val="0"/>
        <w:snapToGrid w:val="0"/>
        <w:spacing w:line="560" w:lineRule="exact"/>
        <w:ind w:firstLineChars="200" w:firstLine="640"/>
        <w:rPr>
          <w:rFonts w:ascii="仿宋_GB2312" w:eastAsia="仿宋_GB2312" w:cs="仿宋_GB2312" w:hAnsi="宋体"/>
          <w:color w:val="333333"/>
          <w:sz w:val="32"/>
          <w:szCs w:val="32"/>
          <w:shd w:val="clear" w:color="auto" w:fill="FFFFFF"/>
        </w:rPr>
      </w:pPr>
      <w:r>
        <w:rPr>
          <w:rFonts w:ascii="仿宋_GB2312" w:eastAsia="仿宋_GB2312" w:hAnsi="微软雅黑"/>
          <w:sz w:val="32"/>
          <w:szCs w:val="32"/>
        </w:rPr>
        <w:t>3</w:t>
      </w:r>
      <w:r>
        <w:rPr>
          <w:rFonts w:ascii="仿宋_GB2312" w:eastAsia="仿宋_GB2312" w:hAnsi="微软雅黑" w:hint="eastAsia"/>
          <w:sz w:val="32"/>
          <w:szCs w:val="32"/>
        </w:rPr>
        <w:t>、</w:t>
      </w:r>
      <w:r>
        <w:rPr>
          <w:rFonts w:ascii="仿宋_GB2312" w:eastAsia="仿宋_GB2312" w:cs="仿宋_GB2312" w:hAnsi="宋体" w:hint="eastAsia"/>
          <w:color w:val="333333"/>
          <w:sz w:val="32"/>
          <w:szCs w:val="32"/>
          <w:shd w:val="clear" w:color="auto" w:fill="FFFFFF"/>
        </w:rPr>
        <w:t>细化预算编制工作，认真做好预算的编制。要进一步加强预算管理意识，严格按照预算编制的相关制度和要求，公用经费根据单位的年度工作重点和项目专项工作规划，本着“勤俭节约、保障运转”的原则进行预算的编制，编制范围尽可能的全面，进一步提高预算编制的完整性、科学性、合理性。</w:t>
      </w:r>
    </w:p>
    <w:p>
      <w:pPr>
        <w:adjustRightInd w:val="0"/>
        <w:snapToGrid w:val="0"/>
        <w:spacing w:line="560" w:lineRule="exact"/>
        <w:ind w:firstLineChars="200" w:firstLine="640"/>
        <w:rPr>
          <w:rFonts w:ascii="仿宋_GB2312" w:eastAsia="仿宋_GB2312" w:cs="仿宋_GB2312" w:hAnsi="宋体" w:hint="eastAsia"/>
          <w:color w:val="333333"/>
          <w:sz w:val="32"/>
          <w:szCs w:val="32"/>
          <w:shd w:val="clear" w:color="auto" w:fill="FFFFFF"/>
        </w:rPr>
      </w:pPr>
      <w:r>
        <w:rPr>
          <w:rFonts w:ascii="仿宋_GB2312" w:eastAsia="仿宋_GB2312" w:cs="仿宋_GB2312" w:hAnsi="宋体" w:hint="eastAsia"/>
          <w:color w:val="333333"/>
          <w:sz w:val="32"/>
          <w:szCs w:val="32"/>
          <w:shd w:val="clear" w:color="auto" w:fill="FFFFFF"/>
        </w:rPr>
        <w:t>4、加强财务管理，严格财务审核，经费支出严格按预算规定项目的财务支出内容进行财务核算，在预算金额内严格控制费用的支出。</w:t>
      </w:r>
    </w:p>
    <w:p>
      <w:pPr>
        <w:adjustRightInd w:val="0"/>
        <w:snapToGrid w:val="0"/>
        <w:spacing w:line="560" w:lineRule="exact"/>
        <w:ind w:firstLineChars="200" w:firstLine="640"/>
        <w:rPr>
          <w:rFonts w:ascii="仿宋_GB2312" w:eastAsia="仿宋_GB2312" w:cs="仿宋_GB2312" w:hAnsi="宋体" w:hint="eastAsia"/>
          <w:color w:val="333333"/>
          <w:sz w:val="32"/>
          <w:szCs w:val="32"/>
          <w:shd w:val="clear" w:color="auto" w:fill="FFFFFF"/>
        </w:rPr>
      </w:pPr>
      <w:r>
        <w:rPr>
          <w:rFonts w:ascii="仿宋_GB2312" w:eastAsia="仿宋_GB2312" w:cs="仿宋_GB2312" w:hAnsi="宋体" w:hint="eastAsia"/>
          <w:color w:val="333333"/>
          <w:sz w:val="32"/>
          <w:szCs w:val="32"/>
          <w:shd w:val="clear" w:color="auto" w:fill="FFFFFF"/>
        </w:rPr>
        <w:t>5、增强资金支出责任意识和绩效观念，提高财政资金的使用效益，与预算资金安排相结合，在预算额度内促进财政资金的合理分配与有效使用。另外，要加强资金的管理，注重支出的经济性、效益性，充分利用绩效评价结果，将结果作为改进预算管理和安排以后年度预算的重要依据。</w:t>
      </w:r>
    </w:p>
    <w:p>
      <w:pPr>
        <w:adjustRightInd w:val="0"/>
        <w:snapToGrid w:val="0"/>
        <w:spacing w:line="560" w:lineRule="exact"/>
        <w:ind w:firstLineChars="200" w:firstLine="640"/>
        <w:rPr>
          <w:rFonts w:ascii="仿宋_GB2312" w:eastAsia="仿宋_GB2312" w:cs="仿宋_GB2312" w:hAnsi="宋体" w:hint="eastAsia"/>
          <w:color w:val="333333"/>
          <w:sz w:val="32"/>
          <w:szCs w:val="32"/>
          <w:shd w:val="clear" w:color="auto" w:fill="FFFFFF"/>
        </w:rPr>
      </w:pPr>
      <w:r>
        <w:rPr>
          <w:rFonts w:ascii="仿宋_GB2312" w:eastAsia="仿宋_GB2312" w:cs="仿宋_GB2312" w:hAnsi="宋体" w:hint="eastAsia"/>
          <w:color w:val="333333"/>
          <w:sz w:val="32"/>
          <w:szCs w:val="32"/>
          <w:shd w:val="clear" w:color="auto" w:fill="FFFFFF"/>
        </w:rPr>
        <w:t>6、认真整理收集各个绩效指标完成结果，并保留纸质或者电子数据，作为绩效指标评价的重要依据，提升预算项目绩效评价质量。</w:t>
      </w:r>
    </w:p>
    <w:p>
      <w:pPr>
        <w:adjustRightInd w:val="0"/>
        <w:snapToGrid w:val="0"/>
        <w:spacing w:line="560" w:lineRule="exact"/>
        <w:ind w:firstLineChars="200" w:firstLine="640"/>
        <w:rPr>
          <w:rFonts w:ascii="仿宋_GB2312" w:eastAsia="仿宋_GB2312" w:cs="仿宋_GB2312" w:hAnsi="宋体" w:hint="eastAsia"/>
          <w:color w:val="333333"/>
          <w:sz w:val="32"/>
          <w:szCs w:val="32"/>
          <w:shd w:val="clear" w:color="auto" w:fill="FFFFFF"/>
        </w:rPr>
      </w:pPr>
      <w:r>
        <w:rPr>
          <w:rFonts w:ascii="仿宋_GB2312" w:eastAsia="仿宋_GB2312" w:cs="仿宋_GB2312" w:hAnsi="宋体" w:hint="eastAsia"/>
          <w:color w:val="333333"/>
          <w:sz w:val="32"/>
          <w:szCs w:val="32"/>
          <w:shd w:val="clear" w:color="auto" w:fill="FFFFFF"/>
        </w:rPr>
        <w:t>7.将绩效管理工作作为一项日常性重要工作来抓；过去忽视财政资金的使用绩效的作用；合理组织人员进行绩效评价，聘请专家进行绩效评价，进行纵向、横向比较、评价，发现缺点，及时纠正，积累经验，做到预算精准和绩效效益明显；严控财政资金，落实中央过紧日子的要求，精简一般性支出，把有限的财政资金花在最需要的地方、最有效的地方，以保障重点项目支出，确保重大统计改革任务、重点统计工作的经费需求。</w:t>
      </w:r>
    </w:p>
    <w:p>
      <w:pPr>
        <w:spacing w:line="560" w:lineRule="exact"/>
        <w:ind w:firstLineChars="200" w:firstLine="640"/>
        <w:rPr>
          <w:rFonts w:ascii="黑体" w:eastAsia="黑体"/>
          <w:sz w:val="32"/>
          <w:szCs w:val="32"/>
        </w:rPr>
      </w:pPr>
      <w:r>
        <w:rPr>
          <w:rFonts w:ascii="黑体" w:eastAsia="黑体" w:hint="eastAsia"/>
          <w:sz w:val="32"/>
          <w:szCs w:val="32"/>
        </w:rPr>
        <w:t>四、绩效自评结果拟应用和公开情况</w:t>
      </w:r>
    </w:p>
    <w:p>
      <w:pPr>
        <w:pStyle w:val="17"/>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60" w:lineRule="exact"/>
        <w:ind w:firstLineChars="200" w:firstLine="640"/>
        <w:rPr>
          <w:rFonts w:ascii="仿宋_GB2312" w:eastAsia="仿宋_GB2312" w:cs="DengXian-Regular" w:hAnsi="Times New Roman" w:hint="eastAsia"/>
          <w:kern w:val="2"/>
          <w:sz w:val="32"/>
          <w:szCs w:val="32"/>
          <w:lang w:val="en-US" w:eastAsia="zh-CN"/>
        </w:rPr>
      </w:pPr>
      <w:r>
        <w:rPr>
          <w:rFonts w:ascii="仿宋_GB2312" w:eastAsia="仿宋_GB2312" w:cs="DengXian-Regular" w:hAnsi="Times New Roman" w:hint="eastAsia"/>
          <w:kern w:val="2"/>
          <w:sz w:val="32"/>
          <w:szCs w:val="32"/>
          <w:lang w:val="en-US" w:eastAsia="zh-CN"/>
        </w:rPr>
        <w:t>按照财政局部署的绩效评价工作，我局认真对照2019年预算、决算情况，开展了部门整体支出绩效自评，并将在指定时间和网站进行评价结果的公开。</w:t>
      </w:r>
    </w:p>
    <w:p>
      <w:pPr>
        <w:pStyle w:val="17"/>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60" w:lineRule="exact"/>
        <w:ind w:firstLineChars="200" w:firstLine="640"/>
        <w:rPr>
          <w:rFonts w:ascii="仿宋_GB2312" w:eastAsia="仿宋_GB2312" w:cs="DengXian-Regular" w:hAnsi="Times New Roman" w:hint="eastAsia"/>
          <w:kern w:val="2"/>
          <w:sz w:val="32"/>
          <w:szCs w:val="32"/>
          <w:lang w:val="en-US" w:eastAsia="zh-CN"/>
        </w:rPr>
      </w:pPr>
      <w:r>
        <w:rPr>
          <w:rFonts w:ascii="仿宋_GB2312" w:eastAsia="仿宋_GB2312" w:cs="DengXian-Regular" w:hAnsi="Times New Roman" w:hint="eastAsia"/>
          <w:kern w:val="2"/>
          <w:sz w:val="32"/>
          <w:szCs w:val="32"/>
          <w:lang w:val="en-US" w:eastAsia="zh-CN"/>
        </w:rPr>
        <w:t>在以后年度的预算编制工作中，将充分利用绩效评价成果，对工作进度及资金使用进度进行动态监控，确保资金绩效做到“三个匹配”，即：工作目标与经费预算相匹配、工作进度与预算执行进度相匹配、最终工作成果与资金消耗量相匹配。</w:t>
      </w:r>
    </w:p>
    <w:p>
      <w:pPr>
        <w:pStyle w:val="17"/>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60" w:lineRule="exact"/>
        <w:ind w:firstLineChars="200" w:firstLine="640"/>
        <w:rPr>
          <w:rFonts w:ascii="仿宋_GB2312" w:eastAsia="仿宋_GB2312" w:cs="DengXian-Regular" w:hAnsi="Times New Roman" w:hint="eastAsia"/>
          <w:kern w:val="2"/>
          <w:sz w:val="32"/>
          <w:szCs w:val="32"/>
          <w:lang w:val="en-US" w:eastAsia="zh-CN"/>
        </w:rPr>
      </w:pPr>
      <w:r>
        <w:rPr>
          <w:rFonts w:ascii="仿宋_GB2312" w:eastAsia="仿宋_GB2312" w:cs="DengXian-Regular" w:hAnsi="Times New Roman" w:hint="eastAsia"/>
          <w:kern w:val="2"/>
          <w:sz w:val="32"/>
          <w:szCs w:val="32"/>
          <w:lang w:val="en-US" w:eastAsia="zh-CN"/>
        </w:rPr>
        <w:t>精学细研，全面掌握预算编制全流程。分管财务负责人和财务人员积极参加财务培训，掌握国家财政政策，熟悉预算编制报备流程，尤其是熟练掌握了2020年预算编制的一些新要求、新变化；对于预算管理中的一些常见问题基本做到处理方法应会尽会，新系统的操作电子手册具体步骤理解透彻，丰富业务实践能力。</w:t>
      </w:r>
    </w:p>
    <w:p>
      <w:pPr>
        <w:pStyle w:val="17"/>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60" w:lineRule="exact"/>
        <w:ind w:firstLineChars="200" w:firstLine="640"/>
        <w:rPr>
          <w:rFonts w:ascii="仿宋_GB2312" w:eastAsia="仿宋_GB2312" w:cs="DengXian-Regular" w:hAnsi="Times New Roman" w:hint="eastAsia"/>
          <w:kern w:val="2"/>
          <w:sz w:val="32"/>
          <w:szCs w:val="32"/>
          <w:lang w:val="en-US" w:eastAsia="zh-CN"/>
        </w:rPr>
      </w:pPr>
      <w:r>
        <w:rPr>
          <w:rFonts w:ascii="仿宋_GB2312" w:eastAsia="仿宋_GB2312" w:cs="DengXian-Regular" w:hAnsi="Times New Roman" w:hint="eastAsia"/>
          <w:kern w:val="2"/>
          <w:sz w:val="32"/>
          <w:szCs w:val="32"/>
          <w:lang w:val="en-US" w:eastAsia="zh-CN"/>
        </w:rPr>
        <w:t>在预算编制过程中，积极响应党中央国务院“过紧日子”的号召，认真细致做好各项目的财务预算。进一步压减一般性支出，对于非重点非刚性支出能省则省，能减则减；从严把控会议、差旅、培训、调研等公务活动。从严从紧控制“三公”经费预算，严禁铺张浪费。全局上下要积极配合财务人员认真计算各专业项目预算编制工作。</w:t>
      </w:r>
    </w:p>
    <w:p>
      <w:pPr>
        <w:pStyle w:val="17"/>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60" w:lineRule="exact"/>
        <w:ind w:firstLineChars="200" w:firstLine="640"/>
        <w:rPr>
          <w:rFonts w:ascii="仿宋_GB2312" w:eastAsia="仿宋_GB2312" w:cs="DengXian-Regular" w:hAnsi="Times New Roman" w:hint="eastAsia"/>
          <w:kern w:val="2"/>
          <w:sz w:val="32"/>
          <w:szCs w:val="32"/>
        </w:rPr>
      </w:pPr>
    </w:p>
    <w:p>
      <w:pPr>
        <w:pStyle w:val="17"/>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60" w:lineRule="exact"/>
        <w:ind w:firstLineChars="200" w:firstLine="640"/>
        <w:rPr>
          <w:rFonts w:ascii="仿宋_GB2312" w:eastAsia="仿宋_GB2312" w:cs="DengXian-Regular" w:hAnsi="Times New Roman"/>
          <w:kern w:val="2"/>
          <w:sz w:val="32"/>
          <w:szCs w:val="32"/>
        </w:rPr>
      </w:pPr>
    </w:p>
    <w:p>
      <w:pPr>
        <w:pStyle w:val="17"/>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60" w:lineRule="exact"/>
        <w:ind w:firstLineChars="200" w:firstLine="640"/>
        <w:rPr>
          <w:rFonts w:ascii="仿宋_GB2312" w:eastAsia="仿宋_GB2312" w:cs="DengXian-Regular"/>
          <w:sz w:val="32"/>
          <w:szCs w:val="32"/>
        </w:rPr>
      </w:pPr>
    </w:p>
    <w:p>
      <w:pPr>
        <w:adjustRightInd w:val="0"/>
        <w:snapToGrid w:val="0"/>
        <w:spacing w:line="560" w:lineRule="exact"/>
        <w:ind w:firstLineChars="200" w:firstLine="640"/>
        <w:rPr>
          <w:rFonts w:ascii="仿宋_GB2312" w:eastAsia="仿宋_GB2312" w:cs="DengXian-Regular"/>
          <w:sz w:val="32"/>
          <w:szCs w:val="32"/>
        </w:rPr>
      </w:pPr>
      <w:r>
        <w:rPr>
          <w:rFonts w:ascii="仿宋_GB2312" w:eastAsia="仿宋_GB2312" w:cs="DengXian-Regular"/>
          <w:sz w:val="32"/>
          <w:szCs w:val="32"/>
        </w:rPr>
        <w:t xml:space="preserve">                                   </w:t>
      </w:r>
      <w:r>
        <w:rPr>
          <w:rFonts w:ascii="仿宋_GB2312" w:eastAsia="仿宋_GB2312" w:cs="DengXian-Regular" w:hint="eastAsia"/>
          <w:sz w:val="32"/>
          <w:szCs w:val="32"/>
        </w:rPr>
        <w:t>昌黎县统计局</w:t>
      </w:r>
    </w:p>
    <w:p>
      <w:pPr>
        <w:adjustRightInd w:val="0"/>
        <w:snapToGrid w:val="0"/>
        <w:spacing w:line="560" w:lineRule="exact"/>
        <w:ind w:firstLineChars="200" w:firstLine="640"/>
        <w:rPr>
          <w:rFonts w:ascii="仿宋_GB2312" w:eastAsia="仿宋_GB2312" w:cs="宋体" w:hAnsi="楷体"/>
          <w:kern w:val="0"/>
          <w:sz w:val="32"/>
          <w:szCs w:val="32"/>
        </w:rPr>
        <w:sectPr>
          <w:footerReference w:type="default" r:id="rId2"/>
          <w:pgSz w:w="11906" w:h="16838"/>
          <w:pgMar w:top="1440" w:right="1800" w:bottom="1440" w:left="1800" w:header="851" w:footer="992" w:gutter="0"/>
          <w:cols w:num="1" w:space="425"/>
          <w:docGrid w:type="lines" w:linePitch="312" w:charSpace="0"/>
        </w:sectPr>
      </w:pPr>
      <w:r>
        <w:rPr>
          <w:rFonts w:ascii="仿宋_GB2312" w:eastAsia="仿宋_GB2312" w:cs="DengXian-Regular"/>
          <w:sz w:val="32"/>
          <w:szCs w:val="32"/>
        </w:rPr>
        <w:t xml:space="preserve">                                 2020</w:t>
      </w:r>
      <w:r>
        <w:rPr>
          <w:rFonts w:ascii="仿宋_GB2312" w:eastAsia="仿宋_GB2312" w:cs="DengXian-Regular" w:hint="eastAsia"/>
          <w:sz w:val="32"/>
          <w:szCs w:val="32"/>
        </w:rPr>
        <w:t>年</w:t>
      </w:r>
      <w:r>
        <w:rPr>
          <w:rFonts w:ascii="仿宋_GB2312" w:eastAsia="仿宋_GB2312" w:cs="DengXian-Regular"/>
          <w:sz w:val="32"/>
          <w:szCs w:val="32"/>
        </w:rPr>
        <w:t>3</w:t>
      </w:r>
      <w:r>
        <w:rPr>
          <w:rFonts w:ascii="仿宋_GB2312" w:eastAsia="仿宋_GB2312" w:cs="DengXian-Regular" w:hint="eastAsia"/>
          <w:sz w:val="32"/>
          <w:szCs w:val="32"/>
        </w:rPr>
        <w:t>月</w:t>
      </w:r>
      <w:r>
        <w:rPr>
          <w:rFonts w:ascii="仿宋_GB2312" w:eastAsia="仿宋_GB2312" w:cs="DengXian-Regular"/>
          <w:sz w:val="32"/>
          <w:szCs w:val="32"/>
        </w:rPr>
        <w:t>20</w:t>
      </w:r>
      <w:r>
        <w:rPr>
          <w:rFonts w:ascii="仿宋_GB2312" w:eastAsia="仿宋_GB2312" w:cs="DengXian-Regular" w:hint="eastAsia"/>
          <w:sz w:val="32"/>
          <w:szCs w:val="32"/>
        </w:rPr>
        <w:t>日</w:t>
      </w:r>
    </w:p>
    <w:p>
      <w:pPr>
        <w:spacing w:line="560" w:lineRule="exact"/>
        <w:rPr>
          <w:rFonts w:ascii="仿宋_GB2312" w:eastAsia="仿宋_GB2312" w:hAnsi="微软雅黑"/>
          <w:sz w:val="32"/>
          <w:szCs w:val="32"/>
        </w:rPr>
      </w:pPr>
    </w:p>
    <w:sectPr>
      <w:pgSz w:w="11906" w:h="16838"/>
      <w:pgMar w:top="1984" w:right="1417" w:bottom="1417" w:left="1417" w:header="851" w:footer="992" w:gutter="0"/>
      <w:cols w:num="1" w:space="0"/>
      <w:docGrid w:type="lines" w:linePitch="312" w:charSpace="0"/>
    </w:sectPr>
  </w:body>
</w:document>
</file>

<file path=word/fontTable.xml><?xml version="1.0" encoding="utf-8"?>
<w:fonts xmlns:w="http://schemas.openxmlformats.org/wordprocessingml/2006/main" xmlns:r="http://schemas.openxmlformats.org/officeDocument/2006/relationships">
  <w:font w:name="方正小标宋简体">
    <w:altName w:val="Arial Unicode MS"/>
    <w:panose1 w:val="02000000000000000000"/>
    <w:charset w:val="86"/>
    <w:family w:val="auto"/>
    <w:pitch w:val="variable"/>
    <w:sig w:usb0="00000000" w:usb1="00000000" w:usb2="00000012" w:usb3="00000000" w:csb0="00040001" w:csb1="00000000"/>
  </w:font>
  <w:font w:name="黑体">
    <w:panose1 w:val="02010609060101010101"/>
    <w:charset w:val="86"/>
    <w:family w:val="auto"/>
    <w:pitch w:val="variable"/>
    <w:sig w:usb0="800002BF" w:usb1="38CF7CFA" w:usb2="00000016" w:usb3="00000000" w:csb0="00040001" w:csb1="00000000"/>
  </w:font>
  <w:font w:name="楷体_GB2312">
    <w:altName w:val="楷体"/>
    <w:panose1 w:val="02010609030101010101"/>
    <w:charset w:val="86"/>
    <w:family w:val="modern"/>
    <w:pitch w:val="variable"/>
    <w:sig w:usb0="00000000" w:usb1="00000000" w:usb2="00000010" w:usb3="00000000" w:csb0="00040000" w:csb1="00000000"/>
  </w:font>
  <w:font w:name="仿宋_GB2312">
    <w:altName w:val="仿宋"/>
    <w:panose1 w:val="02010609030101010101"/>
    <w:charset w:val="86"/>
    <w:family w:val="modern"/>
    <w:pitch w:val="variable"/>
    <w:sig w:usb0="00000000" w:usb1="00000000" w:usb2="00000000" w:usb3="00000000" w:csb0="00040000" w:csb1="00000000"/>
  </w:font>
  <w:font w:name="宋体">
    <w:panose1 w:val="02010600030101010101"/>
    <w:charset w:val="86"/>
    <w:family w:val="auto"/>
    <w:pitch w:val="variable"/>
    <w:sig w:usb0="00000003" w:usb1="288F0000" w:usb2="00000006" w:usb3="00000000" w:csb0="00040001" w:csb1="00000000"/>
  </w:font>
  <w:font w:name="仿宋">
    <w:panose1 w:val="02010609060101010101"/>
    <w:charset w:val="86"/>
    <w:family w:val="modern"/>
    <w:pitch w:val="variable"/>
    <w:sig w:usb0="800002BF" w:usb1="38CF7CFA" w:usb2="00000016" w:usb3="00000000" w:csb0="00040001" w:csb1="00000000"/>
  </w:font>
  <w:font w:name="DengXian-Regular">
    <w:altName w:val="宋体"/>
    <w:panose1 w:val="00000000000000000000"/>
    <w:charset w:val="86"/>
    <w:family w:val="auto"/>
    <w:pitch w:val="variable"/>
    <w:sig w:usb0="00000000" w:usb1="00000000" w:usb2="00000010" w:usb3="00000000" w:csb0="00040000" w:csb1="00000000"/>
  </w:font>
  <w:font w:name="楷体">
    <w:panose1 w:val="02010609060101010101"/>
    <w:charset w:val="86"/>
    <w:family w:val="modern"/>
    <w:pitch w:val="variable"/>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86"/>
    <w:family w:val="auto"/>
    <w:pitch w:val="variable"/>
    <w:sig w:usb0="E0002AFF" w:usb1="C0007841" w:usb2="00000009" w:usb3="00000000" w:csb0="400001FF" w:csb1="FFFF0000"/>
  </w:font>
  <w:font w:name="Arial">
    <w:panose1 w:val="020B0604020202020204"/>
    <w:charset w:val="00"/>
    <w:family w:val="auto"/>
    <w:pitch w:val="variable"/>
    <w:sig w:usb0="00007A87" w:usb1="80000000" w:usb2="00000008" w:usb3="00000000" w:csb0="400001FF" w:csb1="FFFF0000"/>
  </w:font>
  <w:font w:name="Tahoma">
    <w:panose1 w:val="020B0604030504040204"/>
    <w:charset w:val="00"/>
    <w:family w:val="swiss"/>
    <w:pitch w:val="variable"/>
    <w:sig w:usb0="E1002EFF" w:usb1="C000605B" w:usb2="00000029" w:usb3="00000000" w:csb0="200101FF" w:csb1="20280000"/>
  </w:font>
</w:fonts>
</file>

<file path=word/footer1.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15"/>
      <w:tabs>
        <w:tab w:val="center" w:pos="4153"/>
        <w:tab w:val="right" w:pos="8306"/>
      </w:tabs>
    </w:pPr>
    <w:r>
      <mc:AlternateContent>
        <mc:Choice Requires="wps">
          <w:drawing>
            <wp:anchor distT="0" distB="0" distL="114300" distR="114300" simplePos="0" relativeHeight="18" behindDoc="0" locked="0" layoutInCell="1" hidden="0" allowOverlap="1">
              <wp:simplePos x="0" y="0"/>
              <wp:positionH relativeFrom="margin">
                <wp:align>center</wp:align>
              </wp:positionH>
              <wp:positionV relativeFrom="paragraph">
                <wp:posOffset>0</wp:posOffset>
              </wp:positionV>
              <wp:extent cx="76200" cy="131433"/>
              <wp:wrapNone/>
              <wp:docPr id="2049" name="_x0000_s2049"/>
              <wp:cNvGraphicFramePr>
                <a:graphicFrameLocks noChangeAspect="0"/>
              </wp:cNvGraphicFramePr>
              <a:graphic>
                <a:graphicData uri="http://schemas.microsoft.com/office/word/2010/wordprocessingShape">
                  <wps:wsp>
                    <wps:cNvSpPr/>
                    <wps:spPr>
                      <a:xfrm rot="0">
                        <a:off x="0" y="0"/>
                        <a:ext cx="76200" cy="131433"/>
                      </a:xfrm>
                      <a:prstGeom prst="rect"/>
                      <a:noFill/>
                      <a:ln w="9525" cmpd="sng" cap="flat">
                        <a:noFill/>
                        <a:prstDash val="solid"/>
                        <a:miter/>
                      </a:ln>
                    </wps:spPr>
                    <wps:txbx id="1">
                      <w:txbxContent>
                        <w:p>
                          <w:pPr>
                            <w:pStyle w:val="15"/>
                            <w:tabs>
                              <w:tab w:val="center" w:pos="4153"/>
                              <w:tab w:val="right" w:pos="8306"/>
                            </w:tabs>
                          </w:pPr>
                          <w:r>
                            <w:fldChar w:fldCharType="begin"/>
                          </w:r>
                          <w:r>
                            <w:instrText xml:space="preserve"> PAGE  \* MERGEFORMAT </w:instrText>
                          </w:r>
                          <w:r>
                            <w:fldChar w:fldCharType="separate"/>
                          </w:r>
                          <w:r>
                            <w:t>12</w:t>
                          </w:r>
                          <w:r>
                            <w:fldChar w:fldCharType="end"/>
                          </w:r>
                        </w:p>
                      </w:txbxContent>
                    </wps:txbx>
                    <wps:bodyPr vert="horz" wrap="none" lIns="0" tIns="0" rIns="0" bIns="0" anchor="t" anchorCtr="0" upright="1">
                      <a:spAutoFit/>
                    </wps:bodyPr>
                  </wps:wsp>
                </a:graphicData>
              </a:graphic>
            </wp:anchor>
          </w:drawing>
        </mc:Choice>
        <mc:Fallback>
          <w:pict>
            <v:shape type="#_x0000_t202" id="_x0000_s2049" o:spid="_x0000_s2" filled="f" stroked="f" style="position:absolute;margin-left:0.0pt;margin-top:0.0pt;width:6.0pt;height:10.349121pt;z-index:18;mso-position-horizontal:center;mso-position-horizontal-relative:margin;mso-position-vertical:absolute;mso-wrap-style:none;">
              <v:stroke color="#000000"/>
              <v:textbox id="848" inset="0mm,0mm,0mm,0mm" o:insetmode="custom" style="layout-flow:horizontal;v-text-anchor:top;mso-fit-shape-to-text:t;">
                <w:txbxContent>
                  <w:p>
                    <w:pPr>
                      <w:pStyle w:val="15"/>
                      <w:tabs>
                        <w:tab w:val="center" w:pos="4153"/>
                        <w:tab w:val="right" w:pos="8306"/>
                      </w:tabs>
                    </w:pPr>
                    <w:r>
                      <w:fldChar w:fldCharType="begin"/>
                    </w:r>
                    <w:r>
                      <w:instrText xml:space="preserve"> PAGE  \* MERGEFORMAT </w:instrText>
                    </w:r>
                    <w:r>
                      <w:fldChar w:fldCharType="separate"/>
                    </w:r>
                    <w:r>
                      <w:t>12</w:t>
                    </w:r>
                    <w:r>
                      <w:fldChar w:fldCharType="end"/>
                    </w:r>
                  </w:p>
                </w:txbxContent>
              </v:textbox>
            </v:shape>
          </w:pict>
        </mc:Fallback>
      </mc:AlternateContent>
    </w:r>
  </w:p>
</w:ftr>
</file>

<file path=word/numbering.xml><?xml version="1.0" encoding="utf-8"?>
<w:numbering xmlns:w="http://schemas.openxmlformats.org/wordprocessingml/2006/main" xmlns:o="urn:schemas-microsoft-com:office:office" xmlns:r="http://schemas.openxmlformats.org/officeDocument/2006/relationships" xmlns:m="http://schemas.openxmlformats.org/officeDocument/2006/math" xmlns:v="urn:schemas-microsoft-com:vml" xmlns:mc="http://schemas.openxmlformats.org/markup-compatibility/2006" xmlns:w14="http://schemas.microsoft.com/office/word/2010/wordml">
  <w:abstractNum w:abstractNumId="0">
    <w:nsid w:val="36518791"/>
    <w:multiLevelType w:val="singleLevel"/>
    <w:tmpl w:val="36518791"/>
    <w:lvl w:ilvl="0">
      <w:start w:val="1"/>
      <w:numFmt w:val="decimal"/>
      <w:lvlRestart w:val="0"/>
      <w:suff w:val="nothing"/>
      <w:lvlText w:val="%1、"/>
      <w:lvlJc w:val="left"/>
      <w:pPr/>
      <w:rPr>
        <w:rFonts w:cs="Times New Roman"/>
      </w:rPr>
    </w:lvl>
  </w:abstractNum>
  <w:abstractNum w:abstractNumId="1">
    <w:nsid w:val="18921971"/>
    <w:multiLevelType w:val="singleLevel"/>
    <w:tmpl w:val="18921971"/>
    <w:lvl w:ilvl="0">
      <w:start w:val="5"/>
      <w:numFmt w:val="chineseCounting"/>
      <w:lvlRestart w:val="0"/>
      <w:suff w:val="nothing"/>
      <w:lvlText w:val="（%1）"/>
      <w:lvlJc w:val="left"/>
      <w:pPr/>
      <w:rPr>
        <w:rFonts w:hint="eastAsia"/>
      </w:rPr>
    </w:lvl>
  </w:abstractNum>
  <w:num w:numId="1">
    <w:abstractNumId w:val="0"/>
  </w:num>
  <w:num w:numId="2">
    <w:abstractNumId w:val="1"/>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30"/>
  <w:bordersDoNotSurroundHeader/>
  <w:bordersDoNotSurroundFooter/>
  <w:defaultTabStop w:val="420"/>
  <w:drawingGridHorizontalSpacing w:val="105"/>
  <w:drawingGridVerticalSpacing w:val="156"/>
  <w:displayHorizontalDrawingGridEvery w:val="0"/>
  <w:displayVerticalDrawingGridEvery w:val="1"/>
  <w:noPunctuationKerning/>
  <w:characterSpacingControl w:val="compressPunctuation"/>
  <w:noLineBreaksAfter w:lang="zh-CN" w:val="$([{£¥·‘“〈《「『【〔〖〝﹙﹛﹝＄（．［｛￡￥"/>
  <w:noLineBreaksBefore w:lang="zh-CN" w:val="!%),.:;&gt;?]}¢¨°·ˇˉ―‖’”…‰′″›℃∶、。〃〉》」』】〕〗〞︶︺︾﹀﹄﹚﹜﹞！＂％＇），．：；？］｀｜｝～￠"/>
  <w:compat>
    <w:spaceForUL/>
    <w:balanceSingleByteDoubleByteWidth/>
    <w:ulTrailSpace/>
    <w:doNotExpandShiftReturn/>
    <w:adjustLineHeightInTable/>
    <w:doNotUseIndentAsNumberingTabStop/>
    <w:useAltKinsokuLineBreakRules/>
    <w:doNotSuppressIndentation/>
    <w:splitPgBreakAndParaMark/>
    <w:autofitToFirstFixedWidthCell/>
    <w:doNotVertAlignCellWithSp/>
    <w:compatSetting w:name="compatibilityMode" w:uri="http://schemas.microsoft.com/office/word" w:val="11"/>
  </w:compat>
  <m:mathPr>
    <m:mathFont m:val="Cambria Math"/>
    <m:brkBin m:val="before"/>
    <m:brkBinSub m:val="--"/>
    <m:smallFrac m:val="0"/>
    <m:dispDef/>
    <m:lMargin m:val="0"/>
    <m:rMargin m:val="0"/>
    <m:defJc m:val="centerGroup"/>
    <m:wrapIndent m:val="1440"/>
    <m:intLim m:val="subSup"/>
    <m:naryLim m:val="undOvr"/>
  </m:mathPr>
  <w:doNotIncludeSubdocsInStats/>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Arial"/>
        <w:lang w:val="en-US" w:eastAsia="zh-CN" w:bidi="ar-SA"/>
      </w:rPr>
    </w:rPrDefault>
    <w:pPrDefault/>
  </w:docDefaults>
  <w:latentStyles w:count="23">
    <w:lsdException w:name="heading 1" w:locked="1"/>
    <w:lsdException w:name="heading 2" w:locked="1"/>
    <w:lsdException w:name="heading 3" w:locked="1"/>
    <w:lsdException w:name="heading 4" w:locked="1"/>
    <w:lsdException w:name="heading 5" w:locked="1"/>
    <w:lsdException w:name="heading 6" w:locked="1"/>
    <w:lsdException w:name="heading 7" w:locked="1"/>
    <w:lsdException w:name="heading 8" w:locked="1"/>
    <w:lsdException w:name="heading 9" w:lock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lsdException w:name="Title" w:locked="1"/>
    <w:lsdException w:name="Subtitle" w:locked="1"/>
    <w:lsdException w:name="Strong" w:locked="1"/>
    <w:lsdException w:name="Emphasis" w:locked="1"/>
  </w:latentStyles>
  <w:style w:type="paragraph" w:default="1" w:styleId="0">
    <w:name w:val="Normal"/>
    <w:qFormat/>
    <w:pPr>
      <w:widowControl w:val="0"/>
      <w:jc w:val="both"/>
    </w:pPr>
    <w:rPr>
      <w:rFonts w:ascii="Times New Roman" w:eastAsia="宋体" w:cs="Times New Roman" w:hAnsi="Times New Roman"/>
      <w:kern w:val="2"/>
      <w:sz w:val="21"/>
      <w:szCs w:val="24"/>
      <w:lang w:val="en-US" w:eastAsia="zh-CN" w:bidi="ar-SA"/>
    </w:rPr>
  </w:style>
  <w:style w:type="paragraph" w:styleId="1">
    <w:name w:val="heading 1"/>
    <w:qFormat/>
    <w:basedOn w:val="0"/>
    <w:locked/>
    <w:next w:val="0"/>
    <w:link w:val="1Char"/>
    <w:pPr>
      <w:keepNext/>
      <w:keepLines/>
      <w:spacing w:before="340" w:after="330" w:line="578" w:lineRule="auto"/>
      <w:outlineLvl w:val="0"/>
    </w:pPr>
    <w:rPr>
      <w:b/>
      <w:bCs/>
      <w:kern w:val="44"/>
      <w:sz w:val="44"/>
      <w:szCs w:val="44"/>
    </w:rPr>
  </w:style>
  <w:style w:type="character" w:customStyle="1" w:styleId="1Char">
    <w:name w:val="heading 1 Char"/>
    <w:basedOn w:val="10"/>
    <w:link w:val="1"/>
    <w:rPr>
      <w:rFonts w:ascii="Times New Roman" w:eastAsia="宋体" w:cs="Times New Roman" w:hAnsi="Times New Roman"/>
      <w:b/>
      <w:bCs/>
      <w:kern w:val="44"/>
      <w:sz w:val="44"/>
      <w:szCs w:val="44"/>
      <w:lang w:val="en-US" w:eastAsia="zh-CN" w:bidi="ar-SA"/>
    </w:rPr>
  </w:style>
  <w:style w:type="paragraph" w:styleId="2">
    <w:name w:val="heading 2"/>
    <w:qFormat/>
    <w:basedOn w:val="0"/>
    <w:locked/>
    <w:next w:val="0"/>
    <w:link w:val="2Char"/>
    <w:pPr>
      <w:keepNext/>
      <w:keepLines/>
      <w:spacing w:before="260" w:after="260" w:line="415" w:lineRule="auto"/>
      <w:outlineLvl w:val="1"/>
    </w:pPr>
    <w:rPr>
      <w:rFonts w:ascii="Times New Roman" w:eastAsia="黑体" w:hAnsi="Times New Roman"/>
      <w:b/>
      <w:bCs/>
      <w:sz w:val="32"/>
      <w:szCs w:val="32"/>
    </w:rPr>
  </w:style>
  <w:style w:type="character" w:customStyle="1" w:styleId="2Char">
    <w:name w:val="heading 2 Char"/>
    <w:basedOn w:val="10"/>
    <w:link w:val="2"/>
    <w:rPr>
      <w:rFonts w:ascii="Times New Roman" w:eastAsia="黑体" w:cs="Times New Roman" w:hAnsi="Times New Roman"/>
      <w:b/>
      <w:bCs/>
      <w:kern w:val="2"/>
      <w:sz w:val="32"/>
      <w:szCs w:val="32"/>
      <w:lang w:val="en-US" w:eastAsia="zh-CN" w:bidi="ar-SA"/>
    </w:rPr>
  </w:style>
  <w:style w:type="paragraph" w:styleId="3">
    <w:name w:val="heading 3"/>
    <w:qFormat/>
    <w:basedOn w:val="0"/>
    <w:locked/>
    <w:next w:val="0"/>
    <w:link w:val="3Char"/>
    <w:pPr>
      <w:keepNext/>
      <w:keepLines/>
      <w:spacing w:before="260" w:after="260" w:line="415" w:lineRule="auto"/>
      <w:outlineLvl w:val="2"/>
    </w:pPr>
    <w:rPr>
      <w:b/>
      <w:bCs/>
      <w:sz w:val="32"/>
      <w:szCs w:val="32"/>
    </w:rPr>
  </w:style>
  <w:style w:type="character" w:customStyle="1" w:styleId="3Char">
    <w:name w:val="heading 3 Char"/>
    <w:basedOn w:val="10"/>
    <w:link w:val="3"/>
    <w:rPr>
      <w:rFonts w:ascii="Times New Roman" w:eastAsia="宋体" w:cs="Times New Roman" w:hAnsi="Times New Roman"/>
      <w:b/>
      <w:bCs/>
      <w:kern w:val="2"/>
      <w:sz w:val="32"/>
      <w:szCs w:val="32"/>
      <w:lang w:val="en-US" w:eastAsia="zh-CN" w:bidi="ar-SA"/>
    </w:rPr>
  </w:style>
  <w:style w:type="character" w:default="1" w:styleId="10">
    <w:name w:val="Default Paragraph Font"/>
    <w:qFormat/>
  </w:style>
  <w:style w:type="paragraph" w:styleId="15">
    <w:name w:val="footer"/>
    <w:qFormat/>
    <w:basedOn w:val="0"/>
    <w:pPr>
      <w:tabs>
        <w:tab w:val="center" w:pos="4153"/>
        <w:tab w:val="right" w:pos="8306"/>
      </w:tabs>
      <w:snapToGrid w:val="0"/>
      <w:jc w:val="left"/>
    </w:pPr>
    <w:rPr>
      <w:sz w:val="18"/>
    </w:rPr>
  </w:style>
  <w:style w:type="paragraph" w:styleId="16">
    <w:name w:val="header"/>
    <w:qFormat/>
    <w:basedOn w:val="0"/>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7">
    <w:name w:val="HTML Preformatted"/>
    <w:qFormat/>
    <w:basedOn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18">
    <w:name w:val="Normal (Web)"/>
    <w:qFormat/>
    <w:basedOn w:val="0"/>
    <w:pPr>
      <w:spacing w:beforeAutospacing="1" w:afterAutospacing="1"/>
      <w:jc w:val="left"/>
    </w:pPr>
    <w:rPr>
      <w:kern w:val="0"/>
      <w:sz w:val="24"/>
    </w:rPr>
  </w:style>
  <w:style w:type="paragraph" w:customStyle="1" w:yozoId="4094" w:styleId="19">
    <w:name w:val="Char Char Char Char"/>
    <w:qFormat/>
    <w:basedOn w:val="0"/>
    <w:rPr>
      <w:rFonts w:ascii="Tahoma" w:hAnsi="Tahoma"/>
      <w:sz w:val="24"/>
      <w:szCs w:val="20"/>
    </w:rPr>
  </w:style>
  <w:style w:type="character" w:customStyle="1" w:yozoId="4094" w:styleId="20">
    <w:name w:val="font21"/>
    <w:qFormat/>
    <w:basedOn w:val="10"/>
    <w:rPr>
      <w:rFonts w:ascii="宋体" w:eastAsia="宋体" w:cs="宋体" w:hAnsi="宋体"/>
      <w:color w:val="000000"/>
      <w:sz w:val="16"/>
      <w:szCs w:val="16"/>
      <w:u w:val="none"/>
    </w:rPr>
  </w:style>
  <w:style w:type="character" w:customStyle="1" w:yozoId="4094" w:styleId="21">
    <w:name w:val="bjh-p"/>
    <w:qFormat/>
    <w:basedOn w:val="10"/>
    <w:rPr>
      <w:rFonts w:cs="Times New Roman"/>
    </w:rPr>
  </w:style>
  <w:style w:type="paragraph" w:customStyle="1" w:yozoId="4094" w:styleId="22">
    <w:name w:val="Normal1"/>
    <w:qFormat/>
    <w:basedOn w:val="0"/>
    <w:rPr>
      <w:kern w:val="0"/>
      <w:szCs w:val="2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oter" Target="footer1.xml"/><Relationship Id="rId3" Type="http://schemas.openxmlformats.org/officeDocument/2006/relationships/styles" Target="styles.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customXml" Target="../customXml/item1.xml"/><Relationship Id="rId7" Type="http://schemas.openxmlformats.org/officeDocument/2006/relationships/theme" Target="theme/theme1.xml"/></Relationships>
</file>

<file path=word/theme/theme1.xml><?xml version="1.0" encoding="utf-8"?>
<a:theme xmlns:a="http://schemas.openxmlformats.org/drawingml/2006/main" name="Office Theme">
  <a:themeElements>
    <a:clrScheme name="Office The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Theme">
      <a:majorFont>
        <a:latin typeface=""/>
        <a:ea typeface=""/>
        <a:cs typeface=""/>
      </a:majorFont>
      <a:minorFont>
        <a:latin typeface=""/>
        <a:ea typeface=""/>
        <a:cs typefac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1"/>
        </a:gradFill>
      </a:fillStyleLst>
      <a:lnStyleLst>
        <a:ln w="9525" cmpd="sng" cap="flat">
          <a:solidFill>
            <a:schemeClr val="phClr">
              <a:shade val="95000"/>
              <a:satMod val="105000"/>
            </a:schemeClr>
          </a:solidFill>
          <a:prstDash val="solid"/>
          <a:round/>
        </a:ln>
        <a:ln w="25400" cmpd="sng" cap="flat">
          <a:solidFill>
            <a:schemeClr val="phClr"/>
          </a:solidFill>
          <a:prstDash val="solid"/>
          <a:round/>
        </a:ln>
        <a:ln w="38100" cmpd="sng" cap="flat">
          <a:solidFill>
            <a:schemeClr val="phClr"/>
          </a:solidFill>
          <a:prstDash val="solid"/>
          <a:round/>
        </a:ln>
      </a:lnStyleLst>
      <a:effectStyleLst>
        <a:effectStyle>
          <a:effectLst>
            <a:outerShdw sx="100000" sy="100000" algn="b" rotWithShape="0" blurRad="40000" dist="20000" dir="5400000">
              <a:srgbClr val="000000">
                <a:alpha val="37647"/>
              </a:srgbClr>
            </a:outerShdw>
          </a:effectLst>
        </a:effectStyle>
        <a:effectStyle>
          <a:effectLst>
            <a:outerShdw sx="100000" sy="100000" algn="b" rotWithShape="0" blurRad="40000" dist="23000" dir="5400000">
              <a:srgbClr val="000000">
                <a:alpha val="34509"/>
              </a:srgbClr>
            </a:outerShdw>
          </a:effectLst>
        </a:effectStyle>
        <a:effectStyle>
          <a:effectLst>
            <a:outerShdw sx="100000" sy="100000" algn="b" rotWithShape="0" blurRad="40000" dist="23000" dir="5400000">
              <a:srgbClr val="000000">
                <a:alpha val="34509"/>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50000" r="50000" b="5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ustomData xmlns="http://www.yozosoft.com.cn/officeDocument/2016/customData">
  <customProps>
    <docPr revisions="3 0 5 0 0 0 1 0 0 0 26650 1 1 1 1 1"/>
    <sectPr/>
    <sectPr/>
  </customProps>
</customData>
</file>

<file path=customXml/itemProps1.xml><?xml version="1.0" encoding="utf-8"?>
<ds:datastoreItem xmlns:ds="http://schemas.openxmlformats.org/officeDocument/2006/customXml" ds:itemID="{F9495408-B15C-4522-9BC1-9DEFF3ACEC1E}">
  <ds:schemaRefs>
    <ds:schemaRef ds:uri="http://www.yozosoft.com.cn/officeDocument/2016/customData"/>
  </ds:schemaRefs>
</ds:datastoreItem>
</file>

<file path=docProps/app.xml><?xml version="1.0" encoding="utf-8"?>
<Properties xmlns="http://schemas.openxmlformats.org/officeDocument/2006/extended-properties">
  <Template>Normal.eit</Template>
  <TotalTime>8</TotalTime>
  <Application>WPS_Yozo_Office9.0.6292.102ZH.HE70</Application>
  <Pages>13</Pages>
  <Words>0</Words>
  <Characters>4698</Characters>
  <Lines>0</Lines>
  <Paragraphs>76</Paragraphs>
  <CharactersWithSpaces>6265</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itle>昌黎县统计局</dc:title>
  <dc:creator>Administrator</dc:creator>
  <cp:lastModifiedBy>Administrator</cp:lastModifiedBy>
  <cp:revision>16</cp:revision>
  <dcterms:created xsi:type="dcterms:W3CDTF">2021-03-31T02:44:00Z</dcterms:created>
  <dcterms:modified xsi:type="dcterms:W3CDTF">2026-01-27T07:32:23Z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2052-12.1.0.20784</vt:lpwstr>
  </property>
  <property fmtid="{D5CDD505-2E9C-101B-9397-08002B2CF9AE}" pid="3" name="KSOTemplateDocerSaveRecord">
    <vt:lpwstr>eyJoZGlkIjoiNzEzYjllYjkxMzNmMWMyMmI4ODMyM2Y3NmY0ZDQ4NzAifQ==</vt:lpwstr>
  </property>
  <property fmtid="{D5CDD505-2E9C-101B-9397-08002B2CF9AE}" pid="4" name="ICV">
    <vt:lpwstr>AF74C27FBBF0425ABB9F446B0AC65099_12</vt:lpwstr>
  </property>
</Properties>
</file>