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一、昌黎县应急管理局本级收支预算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_Toc_4_4_0000000002</w:instrText>
      </w:r>
      <w:r>
        <w:fldChar w:fldCharType="separate"/>
      </w:r>
      <w:r>
        <w:rPr>
          <w:b w:val="0"/>
        </w:rPr>
        <w:t xml:space="preserve">二、昌黎县应急管理局（事业）收支预算</w:t>
      </w:r>
      <w:r>
        <w:tab/>
      </w:r>
      <w:r>
        <w:fldChar w:fldCharType="begin"/>
      </w:r>
      <w:r>
        <w:instrText xml:space="preserve">PAGEREF _Toc_4_4_0000000002 \h</w:instrText>
      </w:r>
      <w:r>
        <w:fldChar w:fldCharType="separate"/>
      </w:r>
      <w:r>
        <w:t xml:space="preserve">32</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一、昌黎县应急管理局本级收支预算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701.03</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26.83</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11.93</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13.42</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962.59</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r>
              <w:t xml:space="preserve">123.00</w:t>
            </w: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701.03</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1137.77</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436.74</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1137.77</w:t>
            </w:r>
          </w:p>
        </w:tc>
        <w:tc>
          <w:tcPr>
            <w:tcW w:w="4535" w:type="dxa"/>
            <w:vAlign w:val="center"/>
          </w:tcPr>
          <w:p>
            <w:pPr>
              <w:pStyle w:val="单元格样式6"/>
            </w:pPr>
            <w:r>
              <w:t xml:space="preserve">支出总计</w:t>
            </w:r>
          </w:p>
        </w:tc>
        <w:tc>
          <w:tcPr>
            <w:tcW w:w="2126" w:type="dxa"/>
            <w:vAlign w:val="center"/>
          </w:tcPr>
          <w:p>
            <w:pPr>
              <w:pStyle w:val="单元格样式7"/>
            </w:pPr>
            <w:r>
              <w:t xml:space="preserve">1137.77</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1137.77</w:t>
            </w:r>
          </w:p>
        </w:tc>
        <w:tc>
          <w:tcPr>
            <w:tcW w:w="1134" w:type="dxa"/>
            <w:vAlign w:val="center"/>
          </w:tcPr>
          <w:p>
            <w:pPr>
              <w:pStyle w:val="单元格样式7"/>
            </w:pPr>
            <w:r>
              <w:t xml:space="preserve">701.03</w:t>
            </w:r>
          </w:p>
        </w:tc>
        <w:tc>
          <w:tcPr>
            <w:tcW w:w="1134" w:type="dxa"/>
            <w:vAlign w:val="center"/>
          </w:tcPr>
          <w:p>
            <w:pPr>
              <w:pStyle w:val="单元格样式7"/>
            </w:pPr>
            <w:r>
              <w:t xml:space="preserve">701.03</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436.74</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r>
              <w:t xml:space="preserve">26.83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11.93</w:t>
            </w:r>
          </w:p>
        </w:tc>
        <w:tc>
          <w:tcPr>
            <w:tcW w:w="1134" w:type="dxa"/>
            <w:vAlign w:val="center"/>
          </w:tcPr>
          <w:p>
            <w:pPr>
              <w:pStyle w:val="单元格样式4"/>
            </w:pPr>
            <w:r>
              <w:t xml:space="preserve">11.93</w:t>
            </w:r>
          </w:p>
        </w:tc>
        <w:tc>
          <w:tcPr>
            <w:tcW w:w="1134" w:type="dxa"/>
            <w:vAlign w:val="center"/>
          </w:tcPr>
          <w:p>
            <w:pPr>
              <w:pStyle w:val="单元格样式4"/>
            </w:pPr>
            <w:r>
              <w:t xml:space="preserve">11.93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11.93</w:t>
            </w:r>
          </w:p>
        </w:tc>
        <w:tc>
          <w:tcPr>
            <w:tcW w:w="1134" w:type="dxa"/>
            <w:vAlign w:val="center"/>
          </w:tcPr>
          <w:p>
            <w:pPr>
              <w:pStyle w:val="单元格样式4"/>
            </w:pPr>
            <w:r>
              <w:t xml:space="preserve">11.93</w:t>
            </w:r>
          </w:p>
        </w:tc>
        <w:tc>
          <w:tcPr>
            <w:tcW w:w="1134" w:type="dxa"/>
            <w:vAlign w:val="center"/>
          </w:tcPr>
          <w:p>
            <w:pPr>
              <w:pStyle w:val="单元格样式4"/>
            </w:pPr>
            <w:r>
              <w:t xml:space="preserve">11.93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11.81</w:t>
            </w:r>
          </w:p>
        </w:tc>
        <w:tc>
          <w:tcPr>
            <w:tcW w:w="1134" w:type="dxa"/>
            <w:vAlign w:val="center"/>
          </w:tcPr>
          <w:p>
            <w:pPr>
              <w:pStyle w:val="单元格样式4"/>
            </w:pPr>
            <w:r>
              <w:t xml:space="preserve">11.81</w:t>
            </w:r>
          </w:p>
        </w:tc>
        <w:tc>
          <w:tcPr>
            <w:tcW w:w="1134" w:type="dxa"/>
            <w:vAlign w:val="center"/>
          </w:tcPr>
          <w:p>
            <w:pPr>
              <w:pStyle w:val="单元格样式4"/>
            </w:pPr>
            <w:r>
              <w:t xml:space="preserve">11.81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0.12</w:t>
            </w:r>
          </w:p>
        </w:tc>
        <w:tc>
          <w:tcPr>
            <w:tcW w:w="1134" w:type="dxa"/>
            <w:vAlign w:val="center"/>
          </w:tcPr>
          <w:p>
            <w:pPr>
              <w:pStyle w:val="单元格样式4"/>
            </w:pPr>
            <w:r>
              <w:t xml:space="preserve">0.12</w:t>
            </w:r>
          </w:p>
        </w:tc>
        <w:tc>
          <w:tcPr>
            <w:tcW w:w="1134" w:type="dxa"/>
            <w:vAlign w:val="center"/>
          </w:tcPr>
          <w:p>
            <w:pPr>
              <w:pStyle w:val="单元格样式4"/>
            </w:pPr>
            <w:r>
              <w:t xml:space="preserve">0.12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r>
              <w:t xml:space="preserve">13.42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962.59</w:t>
            </w:r>
          </w:p>
        </w:tc>
        <w:tc>
          <w:tcPr>
            <w:tcW w:w="1134" w:type="dxa"/>
            <w:vAlign w:val="center"/>
          </w:tcPr>
          <w:p>
            <w:pPr>
              <w:pStyle w:val="单元格样式4"/>
            </w:pPr>
            <w:r>
              <w:t xml:space="preserve">648.85</w:t>
            </w:r>
          </w:p>
        </w:tc>
        <w:tc>
          <w:tcPr>
            <w:tcW w:w="1134" w:type="dxa"/>
            <w:vAlign w:val="center"/>
          </w:tcPr>
          <w:p>
            <w:pPr>
              <w:pStyle w:val="单元格样式4"/>
            </w:pPr>
            <w:r>
              <w:t xml:space="preserve">648.85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313.74</w:t>
            </w: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22401</w:t>
            </w:r>
          </w:p>
        </w:tc>
        <w:tc>
          <w:tcPr>
            <w:tcW w:w="1559" w:type="dxa"/>
            <w:vAlign w:val="center"/>
          </w:tcPr>
          <w:p>
            <w:pPr>
              <w:pStyle w:val="单元格样式2"/>
            </w:pPr>
            <w:r>
              <w:t xml:space="preserve">应急管理事务</w:t>
            </w:r>
          </w:p>
        </w:tc>
        <w:tc>
          <w:tcPr>
            <w:tcW w:w="1134" w:type="dxa"/>
            <w:vAlign w:val="center"/>
          </w:tcPr>
          <w:p>
            <w:pPr>
              <w:pStyle w:val="单元格样式4"/>
            </w:pPr>
            <w:r>
              <w:t xml:space="preserve">524.62</w:t>
            </w:r>
          </w:p>
        </w:tc>
        <w:tc>
          <w:tcPr>
            <w:tcW w:w="1134" w:type="dxa"/>
            <w:vAlign w:val="center"/>
          </w:tcPr>
          <w:p>
            <w:pPr>
              <w:pStyle w:val="单元格样式4"/>
            </w:pPr>
            <w:r>
              <w:t xml:space="preserve">524.62</w:t>
            </w:r>
          </w:p>
        </w:tc>
        <w:tc>
          <w:tcPr>
            <w:tcW w:w="1134" w:type="dxa"/>
            <w:vAlign w:val="center"/>
          </w:tcPr>
          <w:p>
            <w:pPr>
              <w:pStyle w:val="单元格样式4"/>
            </w:pPr>
            <w:r>
              <w:t xml:space="preserve">524.62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2240101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212.92</w:t>
            </w:r>
          </w:p>
        </w:tc>
        <w:tc>
          <w:tcPr>
            <w:tcW w:w="1134" w:type="dxa"/>
            <w:vAlign w:val="center"/>
          </w:tcPr>
          <w:p>
            <w:pPr>
              <w:pStyle w:val="单元格样式4"/>
            </w:pPr>
            <w:r>
              <w:t xml:space="preserve">212.92</w:t>
            </w:r>
          </w:p>
        </w:tc>
        <w:tc>
          <w:tcPr>
            <w:tcW w:w="1134" w:type="dxa"/>
            <w:vAlign w:val="center"/>
          </w:tcPr>
          <w:p>
            <w:pPr>
              <w:pStyle w:val="单元格样式4"/>
            </w:pPr>
            <w:r>
              <w:t xml:space="preserve">212.92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2240199</w:t>
            </w:r>
          </w:p>
        </w:tc>
        <w:tc>
          <w:tcPr>
            <w:tcW w:w="1559" w:type="dxa"/>
            <w:vAlign w:val="center"/>
          </w:tcPr>
          <w:p>
            <w:pPr>
              <w:pStyle w:val="单元格样式2"/>
            </w:pPr>
            <w:r>
              <w:t xml:space="preserve">其他应急管理支出</w:t>
            </w:r>
          </w:p>
        </w:tc>
        <w:tc>
          <w:tcPr>
            <w:tcW w:w="1134" w:type="dxa"/>
            <w:vAlign w:val="center"/>
          </w:tcPr>
          <w:p>
            <w:pPr>
              <w:pStyle w:val="单元格样式4"/>
            </w:pPr>
            <w:r>
              <w:t xml:space="preserve">311.70</w:t>
            </w:r>
          </w:p>
        </w:tc>
        <w:tc>
          <w:tcPr>
            <w:tcW w:w="1134" w:type="dxa"/>
            <w:vAlign w:val="center"/>
          </w:tcPr>
          <w:p>
            <w:pPr>
              <w:pStyle w:val="单元格样式4"/>
            </w:pPr>
            <w:r>
              <w:t xml:space="preserve">311.70</w:t>
            </w:r>
          </w:p>
        </w:tc>
        <w:tc>
          <w:tcPr>
            <w:tcW w:w="1134" w:type="dxa"/>
            <w:vAlign w:val="center"/>
          </w:tcPr>
          <w:p>
            <w:pPr>
              <w:pStyle w:val="单元格样式4"/>
            </w:pPr>
            <w:r>
              <w:t xml:space="preserve">311.70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22407</w:t>
            </w:r>
          </w:p>
        </w:tc>
        <w:tc>
          <w:tcPr>
            <w:tcW w:w="1559" w:type="dxa"/>
            <w:vAlign w:val="center"/>
          </w:tcPr>
          <w:p>
            <w:pPr>
              <w:pStyle w:val="单元格样式2"/>
            </w:pPr>
            <w:r>
              <w:t xml:space="preserve">自然灾害救灾及恢复重建支出</w:t>
            </w:r>
          </w:p>
        </w:tc>
        <w:tc>
          <w:tcPr>
            <w:tcW w:w="1134" w:type="dxa"/>
            <w:vAlign w:val="center"/>
          </w:tcPr>
          <w:p>
            <w:pPr>
              <w:pStyle w:val="单元格样式4"/>
            </w:pPr>
            <w:r>
              <w:t xml:space="preserve">437.98</w:t>
            </w:r>
          </w:p>
        </w:tc>
        <w:tc>
          <w:tcPr>
            <w:tcW w:w="1134" w:type="dxa"/>
            <w:vAlign w:val="center"/>
          </w:tcPr>
          <w:p>
            <w:pPr>
              <w:pStyle w:val="单元格样式4"/>
            </w:pPr>
            <w:r>
              <w:t xml:space="preserve">124.23</w:t>
            </w:r>
          </w:p>
        </w:tc>
        <w:tc>
          <w:tcPr>
            <w:tcW w:w="1134" w:type="dxa"/>
            <w:vAlign w:val="center"/>
          </w:tcPr>
          <w:p>
            <w:pPr>
              <w:pStyle w:val="单元格样式4"/>
            </w:pPr>
            <w:r>
              <w:t xml:space="preserve">124.23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313.74</w:t>
            </w: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2240703</w:t>
            </w:r>
          </w:p>
        </w:tc>
        <w:tc>
          <w:tcPr>
            <w:tcW w:w="1559" w:type="dxa"/>
            <w:vAlign w:val="center"/>
          </w:tcPr>
          <w:p>
            <w:pPr>
              <w:pStyle w:val="单元格样式2"/>
            </w:pPr>
            <w:r>
              <w:t xml:space="preserve">自然灾害救灾补助</w:t>
            </w:r>
          </w:p>
        </w:tc>
        <w:tc>
          <w:tcPr>
            <w:tcW w:w="1134" w:type="dxa"/>
            <w:vAlign w:val="center"/>
          </w:tcPr>
          <w:p>
            <w:pPr>
              <w:pStyle w:val="单元格样式4"/>
            </w:pPr>
            <w:r>
              <w:t xml:space="preserve">437.98</w:t>
            </w:r>
          </w:p>
        </w:tc>
        <w:tc>
          <w:tcPr>
            <w:tcW w:w="1134" w:type="dxa"/>
            <w:vAlign w:val="center"/>
          </w:tcPr>
          <w:p>
            <w:pPr>
              <w:pStyle w:val="单元格样式4"/>
            </w:pPr>
            <w:r>
              <w:t xml:space="preserve">124.23</w:t>
            </w:r>
          </w:p>
        </w:tc>
        <w:tc>
          <w:tcPr>
            <w:tcW w:w="1134" w:type="dxa"/>
            <w:vAlign w:val="center"/>
          </w:tcPr>
          <w:p>
            <w:pPr>
              <w:pStyle w:val="单元格样式4"/>
            </w:pPr>
            <w:r>
              <w:t xml:space="preserve">124.23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313.74</w:t>
            </w: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229</w:t>
            </w:r>
          </w:p>
        </w:tc>
        <w:tc>
          <w:tcPr>
            <w:tcW w:w="1559" w:type="dxa"/>
            <w:vAlign w:val="center"/>
          </w:tcPr>
          <w:p>
            <w:pPr>
              <w:pStyle w:val="单元格样式2"/>
            </w:pPr>
            <w:r>
              <w:t xml:space="preserve">其他支出</w:t>
            </w:r>
          </w:p>
        </w:tc>
        <w:tc>
          <w:tcPr>
            <w:tcW w:w="1134" w:type="dxa"/>
            <w:vAlign w:val="center"/>
          </w:tcPr>
          <w:p>
            <w:pPr>
              <w:pStyle w:val="单元格样式4"/>
            </w:pPr>
            <w:r>
              <w:t xml:space="preserve">123.00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123.00</w:t>
            </w: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22904</w:t>
            </w:r>
          </w:p>
        </w:tc>
        <w:tc>
          <w:tcPr>
            <w:tcW w:w="1559" w:type="dxa"/>
            <w:vAlign w:val="center"/>
          </w:tcPr>
          <w:p>
            <w:pPr>
              <w:pStyle w:val="单元格样式2"/>
            </w:pPr>
            <w:r>
              <w:t xml:space="preserve">其他政府性基金及对应专项债务收入安排的支出</w:t>
            </w:r>
          </w:p>
        </w:tc>
        <w:tc>
          <w:tcPr>
            <w:tcW w:w="1134" w:type="dxa"/>
            <w:vAlign w:val="center"/>
          </w:tcPr>
          <w:p>
            <w:pPr>
              <w:pStyle w:val="单元格样式4"/>
            </w:pPr>
            <w:r>
              <w:t xml:space="preserve">123.00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123.00</w:t>
            </w: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2290402</w:t>
            </w:r>
          </w:p>
        </w:tc>
        <w:tc>
          <w:tcPr>
            <w:tcW w:w="1559" w:type="dxa"/>
            <w:vAlign w:val="center"/>
          </w:tcPr>
          <w:p>
            <w:pPr>
              <w:pStyle w:val="单元格样式2"/>
            </w:pPr>
            <w:r>
              <w:t xml:space="preserve">其他地方自行试点项目收益专项债券收入安排的支出</w:t>
            </w:r>
          </w:p>
        </w:tc>
        <w:tc>
          <w:tcPr>
            <w:tcW w:w="1134" w:type="dxa"/>
            <w:vAlign w:val="center"/>
          </w:tcPr>
          <w:p>
            <w:pPr>
              <w:pStyle w:val="单元格样式4"/>
            </w:pPr>
            <w:r>
              <w:t xml:space="preserve">123.00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123.00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1137.77</w:t>
            </w:r>
          </w:p>
        </w:tc>
        <w:tc>
          <w:tcPr>
            <w:tcW w:w="1361" w:type="dxa"/>
            <w:vAlign w:val="center"/>
          </w:tcPr>
          <w:p>
            <w:pPr>
              <w:pStyle w:val="单元格样式7"/>
            </w:pPr>
            <w:r>
              <w:t xml:space="preserve">265.10</w:t>
            </w:r>
          </w:p>
        </w:tc>
        <w:tc>
          <w:tcPr>
            <w:tcW w:w="1361" w:type="dxa"/>
            <w:vAlign w:val="center"/>
          </w:tcPr>
          <w:p>
            <w:pPr>
              <w:pStyle w:val="单元格样式7"/>
            </w:pPr>
            <w:r>
              <w:t xml:space="preserve">872.67</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26.83</w:t>
            </w:r>
          </w:p>
        </w:tc>
        <w:tc>
          <w:tcPr>
            <w:tcW w:w="1361" w:type="dxa"/>
            <w:vAlign w:val="center"/>
          </w:tcPr>
          <w:p>
            <w:pPr>
              <w:pStyle w:val="单元格样式4"/>
            </w:pPr>
            <w:r>
              <w:t xml:space="preserve">26.83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26.83</w:t>
            </w:r>
          </w:p>
        </w:tc>
        <w:tc>
          <w:tcPr>
            <w:tcW w:w="1361" w:type="dxa"/>
            <w:vAlign w:val="center"/>
          </w:tcPr>
          <w:p>
            <w:pPr>
              <w:pStyle w:val="单元格样式4"/>
            </w:pPr>
            <w:r>
              <w:t xml:space="preserve">26.83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26.83</w:t>
            </w:r>
          </w:p>
        </w:tc>
        <w:tc>
          <w:tcPr>
            <w:tcW w:w="1361" w:type="dxa"/>
            <w:vAlign w:val="center"/>
          </w:tcPr>
          <w:p>
            <w:pPr>
              <w:pStyle w:val="单元格样式4"/>
            </w:pPr>
            <w:r>
              <w:t xml:space="preserve">26.83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11.93</w:t>
            </w:r>
          </w:p>
        </w:tc>
        <w:tc>
          <w:tcPr>
            <w:tcW w:w="1361" w:type="dxa"/>
            <w:vAlign w:val="center"/>
          </w:tcPr>
          <w:p>
            <w:pPr>
              <w:pStyle w:val="单元格样式4"/>
            </w:pPr>
            <w:r>
              <w:t xml:space="preserve">11.93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11.93</w:t>
            </w:r>
          </w:p>
        </w:tc>
        <w:tc>
          <w:tcPr>
            <w:tcW w:w="1361" w:type="dxa"/>
            <w:vAlign w:val="center"/>
          </w:tcPr>
          <w:p>
            <w:pPr>
              <w:pStyle w:val="单元格样式4"/>
            </w:pPr>
            <w:r>
              <w:t xml:space="preserve">11.93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11.81</w:t>
            </w:r>
          </w:p>
        </w:tc>
        <w:tc>
          <w:tcPr>
            <w:tcW w:w="1361" w:type="dxa"/>
            <w:vAlign w:val="center"/>
          </w:tcPr>
          <w:p>
            <w:pPr>
              <w:pStyle w:val="单元格样式4"/>
            </w:pPr>
            <w:r>
              <w:t xml:space="preserve">11.81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0.12</w:t>
            </w:r>
          </w:p>
        </w:tc>
        <w:tc>
          <w:tcPr>
            <w:tcW w:w="1361" w:type="dxa"/>
            <w:vAlign w:val="center"/>
          </w:tcPr>
          <w:p>
            <w:pPr>
              <w:pStyle w:val="单元格样式4"/>
            </w:pPr>
            <w:r>
              <w:t xml:space="preserve">0.12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13.42</w:t>
            </w:r>
          </w:p>
        </w:tc>
        <w:tc>
          <w:tcPr>
            <w:tcW w:w="1361" w:type="dxa"/>
            <w:vAlign w:val="center"/>
          </w:tcPr>
          <w:p>
            <w:pPr>
              <w:pStyle w:val="单元格样式4"/>
            </w:pPr>
            <w:r>
              <w:t xml:space="preserve">13.42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13.42</w:t>
            </w:r>
          </w:p>
        </w:tc>
        <w:tc>
          <w:tcPr>
            <w:tcW w:w="1361" w:type="dxa"/>
            <w:vAlign w:val="center"/>
          </w:tcPr>
          <w:p>
            <w:pPr>
              <w:pStyle w:val="单元格样式4"/>
            </w:pPr>
            <w:r>
              <w:t xml:space="preserve">13.42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13.42</w:t>
            </w:r>
          </w:p>
        </w:tc>
        <w:tc>
          <w:tcPr>
            <w:tcW w:w="1361" w:type="dxa"/>
            <w:vAlign w:val="center"/>
          </w:tcPr>
          <w:p>
            <w:pPr>
              <w:pStyle w:val="单元格样式4"/>
            </w:pPr>
            <w:r>
              <w:t xml:space="preserve">13.42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962.59</w:t>
            </w:r>
          </w:p>
        </w:tc>
        <w:tc>
          <w:tcPr>
            <w:tcW w:w="1361" w:type="dxa"/>
            <w:vAlign w:val="center"/>
          </w:tcPr>
          <w:p>
            <w:pPr>
              <w:pStyle w:val="单元格样式4"/>
            </w:pPr>
            <w:r>
              <w:t xml:space="preserve">212.92</w:t>
            </w:r>
          </w:p>
        </w:tc>
        <w:tc>
          <w:tcPr>
            <w:tcW w:w="1361" w:type="dxa"/>
            <w:vAlign w:val="center"/>
          </w:tcPr>
          <w:p>
            <w:pPr>
              <w:pStyle w:val="单元格样式4"/>
            </w:pPr>
            <w:r>
              <w:t xml:space="preserve">749.67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1361" w:type="dxa"/>
            <w:vAlign w:val="center"/>
          </w:tcPr>
          <w:p>
            <w:pPr>
              <w:pStyle w:val="单元格样式4"/>
            </w:pPr>
            <w:r>
              <w:t xml:space="preserve">524.62</w:t>
            </w:r>
          </w:p>
        </w:tc>
        <w:tc>
          <w:tcPr>
            <w:tcW w:w="1361" w:type="dxa"/>
            <w:vAlign w:val="center"/>
          </w:tcPr>
          <w:p>
            <w:pPr>
              <w:pStyle w:val="单元格样式4"/>
            </w:pPr>
            <w:r>
              <w:t xml:space="preserve">212.92</w:t>
            </w:r>
          </w:p>
        </w:tc>
        <w:tc>
          <w:tcPr>
            <w:tcW w:w="1361" w:type="dxa"/>
            <w:vAlign w:val="center"/>
          </w:tcPr>
          <w:p>
            <w:pPr>
              <w:pStyle w:val="单元格样式4"/>
            </w:pPr>
            <w:r>
              <w:t xml:space="preserve">311.70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2240101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212.92</w:t>
            </w:r>
          </w:p>
        </w:tc>
        <w:tc>
          <w:tcPr>
            <w:tcW w:w="1361" w:type="dxa"/>
            <w:vAlign w:val="center"/>
          </w:tcPr>
          <w:p>
            <w:pPr>
              <w:pStyle w:val="单元格样式4"/>
            </w:pPr>
            <w:r>
              <w:t xml:space="preserve">212.92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2240199</w:t>
            </w:r>
          </w:p>
        </w:tc>
        <w:tc>
          <w:tcPr>
            <w:tcW w:w="4535" w:type="dxa"/>
            <w:vAlign w:val="center"/>
          </w:tcPr>
          <w:p>
            <w:pPr>
              <w:pStyle w:val="单元格样式2"/>
            </w:pPr>
            <w:r>
              <w:t xml:space="preserve">其他应急管理支出</w:t>
            </w:r>
          </w:p>
        </w:tc>
        <w:tc>
          <w:tcPr>
            <w:tcW w:w="1361" w:type="dxa"/>
            <w:vAlign w:val="center"/>
          </w:tcPr>
          <w:p>
            <w:pPr>
              <w:pStyle w:val="单元格样式4"/>
            </w:pPr>
            <w:r>
              <w:t xml:space="preserve">311.70</w:t>
            </w:r>
          </w:p>
        </w:tc>
        <w:tc>
          <w:tcPr>
            <w:tcW w:w="1361" w:type="dxa"/>
            <w:vAlign w:val="center"/>
          </w:tcPr>
          <w:p>
            <w:pPr>
              <w:pStyle w:val="单元格样式4"/>
            </w:pPr>
          </w:p>
        </w:tc>
        <w:tc>
          <w:tcPr>
            <w:tcW w:w="1361" w:type="dxa"/>
            <w:vAlign w:val="center"/>
          </w:tcPr>
          <w:p>
            <w:pPr>
              <w:pStyle w:val="单元格样式4"/>
            </w:pPr>
            <w:r>
              <w:t xml:space="preserve">311.70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22407</w:t>
            </w:r>
          </w:p>
        </w:tc>
        <w:tc>
          <w:tcPr>
            <w:tcW w:w="4535" w:type="dxa"/>
            <w:vAlign w:val="center"/>
          </w:tcPr>
          <w:p>
            <w:pPr>
              <w:pStyle w:val="单元格样式2"/>
            </w:pPr>
            <w:r>
              <w:t xml:space="preserve">自然灾害救灾及恢复重建支出</w:t>
            </w:r>
          </w:p>
        </w:tc>
        <w:tc>
          <w:tcPr>
            <w:tcW w:w="1361" w:type="dxa"/>
            <w:vAlign w:val="center"/>
          </w:tcPr>
          <w:p>
            <w:pPr>
              <w:pStyle w:val="单元格样式4"/>
            </w:pPr>
            <w:r>
              <w:t xml:space="preserve">437.98</w:t>
            </w:r>
          </w:p>
        </w:tc>
        <w:tc>
          <w:tcPr>
            <w:tcW w:w="1361" w:type="dxa"/>
            <w:vAlign w:val="center"/>
          </w:tcPr>
          <w:p>
            <w:pPr>
              <w:pStyle w:val="单元格样式4"/>
            </w:pPr>
          </w:p>
        </w:tc>
        <w:tc>
          <w:tcPr>
            <w:tcW w:w="1361" w:type="dxa"/>
            <w:vAlign w:val="center"/>
          </w:tcPr>
          <w:p>
            <w:pPr>
              <w:pStyle w:val="单元格样式4"/>
            </w:pPr>
            <w:r>
              <w:t xml:space="preserve">437.98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2240703</w:t>
            </w:r>
          </w:p>
        </w:tc>
        <w:tc>
          <w:tcPr>
            <w:tcW w:w="4535" w:type="dxa"/>
            <w:vAlign w:val="center"/>
          </w:tcPr>
          <w:p>
            <w:pPr>
              <w:pStyle w:val="单元格样式2"/>
            </w:pPr>
            <w:r>
              <w:t xml:space="preserve">自然灾害救灾补助</w:t>
            </w:r>
          </w:p>
        </w:tc>
        <w:tc>
          <w:tcPr>
            <w:tcW w:w="1361" w:type="dxa"/>
            <w:vAlign w:val="center"/>
          </w:tcPr>
          <w:p>
            <w:pPr>
              <w:pStyle w:val="单元格样式4"/>
            </w:pPr>
            <w:r>
              <w:t xml:space="preserve">437.98</w:t>
            </w:r>
          </w:p>
        </w:tc>
        <w:tc>
          <w:tcPr>
            <w:tcW w:w="1361" w:type="dxa"/>
            <w:vAlign w:val="center"/>
          </w:tcPr>
          <w:p>
            <w:pPr>
              <w:pStyle w:val="单元格样式4"/>
            </w:pPr>
          </w:p>
        </w:tc>
        <w:tc>
          <w:tcPr>
            <w:tcW w:w="1361" w:type="dxa"/>
            <w:vAlign w:val="center"/>
          </w:tcPr>
          <w:p>
            <w:pPr>
              <w:pStyle w:val="单元格样式4"/>
            </w:pPr>
            <w:r>
              <w:t xml:space="preserve">437.98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229</w:t>
            </w:r>
          </w:p>
        </w:tc>
        <w:tc>
          <w:tcPr>
            <w:tcW w:w="4535" w:type="dxa"/>
            <w:vAlign w:val="center"/>
          </w:tcPr>
          <w:p>
            <w:pPr>
              <w:pStyle w:val="单元格样式2"/>
            </w:pPr>
            <w:r>
              <w:t xml:space="preserve">其他支出</w:t>
            </w: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22904</w:t>
            </w:r>
          </w:p>
        </w:tc>
        <w:tc>
          <w:tcPr>
            <w:tcW w:w="4535" w:type="dxa"/>
            <w:vAlign w:val="center"/>
          </w:tcPr>
          <w:p>
            <w:pPr>
              <w:pStyle w:val="单元格样式2"/>
            </w:pPr>
            <w:r>
              <w:t xml:space="preserve">其他政府性基金及对应专项债务收入安排的支出</w:t>
            </w: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2290402</w:t>
            </w:r>
          </w:p>
        </w:tc>
        <w:tc>
          <w:tcPr>
            <w:tcW w:w="4535" w:type="dxa"/>
            <w:vAlign w:val="center"/>
          </w:tcPr>
          <w:p>
            <w:pPr>
              <w:pStyle w:val="单元格样式2"/>
            </w:pPr>
            <w:r>
              <w:t xml:space="preserve">其他地方自行试点项目收益专项债券收入安排的支出</w:t>
            </w: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r>
              <w:t xml:space="preserve">123.00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701.03</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26.83</w:t>
            </w:r>
          </w:p>
        </w:tc>
        <w:tc>
          <w:tcPr>
            <w:tcW w:w="1474" w:type="dxa"/>
            <w:vAlign w:val="center"/>
          </w:tcPr>
          <w:p>
            <w:pPr>
              <w:pStyle w:val="单元格样式4"/>
            </w:pPr>
            <w:r>
              <w:t xml:space="preserve">26.83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11.93</w:t>
            </w:r>
          </w:p>
        </w:tc>
        <w:tc>
          <w:tcPr>
            <w:tcW w:w="1474" w:type="dxa"/>
            <w:vAlign w:val="center"/>
          </w:tcPr>
          <w:p>
            <w:pPr>
              <w:pStyle w:val="单元格样式4"/>
            </w:pPr>
            <w:r>
              <w:t xml:space="preserve">11.93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13.42</w:t>
            </w:r>
          </w:p>
        </w:tc>
        <w:tc>
          <w:tcPr>
            <w:tcW w:w="1474" w:type="dxa"/>
            <w:vAlign w:val="center"/>
          </w:tcPr>
          <w:p>
            <w:pPr>
              <w:pStyle w:val="单元格样式4"/>
            </w:pPr>
            <w:r>
              <w:t xml:space="preserve">13.42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962.59</w:t>
            </w:r>
          </w:p>
        </w:tc>
        <w:tc>
          <w:tcPr>
            <w:tcW w:w="1474" w:type="dxa"/>
            <w:vAlign w:val="center"/>
          </w:tcPr>
          <w:p>
            <w:pPr>
              <w:pStyle w:val="单元格样式4"/>
            </w:pPr>
            <w:r>
              <w:t xml:space="preserve">962.59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r>
              <w:t xml:space="preserve">123.00</w:t>
            </w:r>
          </w:p>
        </w:tc>
        <w:tc>
          <w:tcPr>
            <w:tcW w:w="1474" w:type="dxa"/>
            <w:vAlign w:val="center"/>
          </w:tcPr>
          <w:p>
            <w:pPr>
              <w:pStyle w:val="单元格样式4"/>
            </w:pPr>
          </w:p>
        </w:tc>
        <w:tc>
          <w:tcPr>
            <w:tcW w:w="1474" w:type="dxa"/>
            <w:vAlign w:val="center"/>
          </w:tcPr>
          <w:p>
            <w:pPr>
              <w:pStyle w:val="单元格样式4"/>
            </w:pPr>
            <w:r>
              <w:t xml:space="preserve">123.00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701.03</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1137.77</w:t>
            </w:r>
          </w:p>
        </w:tc>
        <w:tc>
          <w:tcPr>
            <w:tcW w:w="1474" w:type="dxa"/>
            <w:vAlign w:val="center"/>
          </w:tcPr>
          <w:p>
            <w:pPr>
              <w:pStyle w:val="单元格样式7"/>
            </w:pPr>
            <w:r>
              <w:t xml:space="preserve">1014.77</w:t>
            </w:r>
          </w:p>
        </w:tc>
        <w:tc>
          <w:tcPr>
            <w:tcW w:w="1474" w:type="dxa"/>
            <w:vAlign w:val="center"/>
          </w:tcPr>
          <w:p>
            <w:pPr>
              <w:pStyle w:val="单元格样式7"/>
            </w:pPr>
            <w:r>
              <w:t xml:space="preserve">123.00</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436.74</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313.74</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123.00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1137.77</w:t>
            </w:r>
          </w:p>
        </w:tc>
        <w:tc>
          <w:tcPr>
            <w:tcW w:w="3402" w:type="dxa"/>
            <w:vAlign w:val="center"/>
          </w:tcPr>
          <w:p>
            <w:pPr>
              <w:pStyle w:val="单元格样式6"/>
            </w:pPr>
            <w:r>
              <w:t xml:space="preserve">支出总计</w:t>
            </w:r>
          </w:p>
        </w:tc>
        <w:tc>
          <w:tcPr>
            <w:tcW w:w="1474" w:type="dxa"/>
            <w:vAlign w:val="center"/>
          </w:tcPr>
          <w:p>
            <w:pPr>
              <w:pStyle w:val="单元格样式7"/>
            </w:pPr>
            <w:r>
              <w:t xml:space="preserve">1137.77</w:t>
            </w:r>
          </w:p>
        </w:tc>
        <w:tc>
          <w:tcPr>
            <w:tcW w:w="1474" w:type="dxa"/>
            <w:vAlign w:val="center"/>
          </w:tcPr>
          <w:p>
            <w:pPr>
              <w:pStyle w:val="单元格样式7"/>
            </w:pPr>
            <w:r>
              <w:t xml:space="preserve">1014.77</w:t>
            </w:r>
          </w:p>
        </w:tc>
        <w:tc>
          <w:tcPr>
            <w:tcW w:w="1474" w:type="dxa"/>
            <w:vAlign w:val="center"/>
          </w:tcPr>
          <w:p>
            <w:pPr>
              <w:pStyle w:val="单元格样式7"/>
            </w:pPr>
            <w:r>
              <w:t xml:space="preserve">123.00</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1014.77</w:t>
            </w:r>
          </w:p>
        </w:tc>
        <w:tc>
          <w:tcPr>
            <w:tcW w:w="2551" w:type="dxa"/>
            <w:vAlign w:val="center"/>
          </w:tcPr>
          <w:p>
            <w:pPr>
              <w:pStyle w:val="单元格样式7"/>
            </w:pPr>
            <w:r>
              <w:t xml:space="preserve">265.10</w:t>
            </w:r>
          </w:p>
        </w:tc>
        <w:tc>
          <w:tcPr>
            <w:tcW w:w="2551" w:type="dxa"/>
            <w:vAlign w:val="center"/>
          </w:tcPr>
          <w:p>
            <w:pPr>
              <w:pStyle w:val="单元格样式7"/>
            </w:pPr>
            <w:r>
              <w:t xml:space="preserve">749.67</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26.83</w:t>
            </w:r>
          </w:p>
        </w:tc>
        <w:tc>
          <w:tcPr>
            <w:tcW w:w="2551" w:type="dxa"/>
            <w:vAlign w:val="center"/>
          </w:tcPr>
          <w:p>
            <w:pPr>
              <w:pStyle w:val="单元格样式4"/>
            </w:pPr>
            <w:r>
              <w:t xml:space="preserve">26.83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26.83</w:t>
            </w:r>
          </w:p>
        </w:tc>
        <w:tc>
          <w:tcPr>
            <w:tcW w:w="2551" w:type="dxa"/>
            <w:vAlign w:val="center"/>
          </w:tcPr>
          <w:p>
            <w:pPr>
              <w:pStyle w:val="单元格样式4"/>
            </w:pPr>
            <w:r>
              <w:t xml:space="preserve">26.83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26.83</w:t>
            </w:r>
          </w:p>
        </w:tc>
        <w:tc>
          <w:tcPr>
            <w:tcW w:w="2551" w:type="dxa"/>
            <w:vAlign w:val="center"/>
          </w:tcPr>
          <w:p>
            <w:pPr>
              <w:pStyle w:val="单元格样式4"/>
            </w:pPr>
            <w:r>
              <w:t xml:space="preserve">26.83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11.93</w:t>
            </w:r>
          </w:p>
        </w:tc>
        <w:tc>
          <w:tcPr>
            <w:tcW w:w="2551" w:type="dxa"/>
            <w:vAlign w:val="center"/>
          </w:tcPr>
          <w:p>
            <w:pPr>
              <w:pStyle w:val="单元格样式4"/>
            </w:pPr>
            <w:r>
              <w:t xml:space="preserve">11.93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11.93</w:t>
            </w:r>
          </w:p>
        </w:tc>
        <w:tc>
          <w:tcPr>
            <w:tcW w:w="2551" w:type="dxa"/>
            <w:vAlign w:val="center"/>
          </w:tcPr>
          <w:p>
            <w:pPr>
              <w:pStyle w:val="单元格样式4"/>
            </w:pPr>
            <w:r>
              <w:t xml:space="preserve">11.93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11.81</w:t>
            </w:r>
          </w:p>
        </w:tc>
        <w:tc>
          <w:tcPr>
            <w:tcW w:w="2551" w:type="dxa"/>
            <w:vAlign w:val="center"/>
          </w:tcPr>
          <w:p>
            <w:pPr>
              <w:pStyle w:val="单元格样式4"/>
            </w:pPr>
            <w:r>
              <w:t xml:space="preserve">11.81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0.12</w:t>
            </w:r>
          </w:p>
        </w:tc>
        <w:tc>
          <w:tcPr>
            <w:tcW w:w="2551" w:type="dxa"/>
            <w:vAlign w:val="center"/>
          </w:tcPr>
          <w:p>
            <w:pPr>
              <w:pStyle w:val="单元格样式4"/>
            </w:pPr>
            <w:r>
              <w:t xml:space="preserve">0.12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13.42</w:t>
            </w:r>
          </w:p>
        </w:tc>
        <w:tc>
          <w:tcPr>
            <w:tcW w:w="2551" w:type="dxa"/>
            <w:vAlign w:val="center"/>
          </w:tcPr>
          <w:p>
            <w:pPr>
              <w:pStyle w:val="单元格样式4"/>
            </w:pPr>
            <w:r>
              <w:t xml:space="preserve">13.42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13.42</w:t>
            </w:r>
          </w:p>
        </w:tc>
        <w:tc>
          <w:tcPr>
            <w:tcW w:w="2551" w:type="dxa"/>
            <w:vAlign w:val="center"/>
          </w:tcPr>
          <w:p>
            <w:pPr>
              <w:pStyle w:val="单元格样式4"/>
            </w:pPr>
            <w:r>
              <w:t xml:space="preserve">13.42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13.42</w:t>
            </w:r>
          </w:p>
        </w:tc>
        <w:tc>
          <w:tcPr>
            <w:tcW w:w="2551" w:type="dxa"/>
            <w:vAlign w:val="center"/>
          </w:tcPr>
          <w:p>
            <w:pPr>
              <w:pStyle w:val="单元格样式4"/>
            </w:pPr>
            <w:r>
              <w:t xml:space="preserve">13.42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962.59</w:t>
            </w:r>
          </w:p>
        </w:tc>
        <w:tc>
          <w:tcPr>
            <w:tcW w:w="2551" w:type="dxa"/>
            <w:vAlign w:val="center"/>
          </w:tcPr>
          <w:p>
            <w:pPr>
              <w:pStyle w:val="单元格样式4"/>
            </w:pPr>
            <w:r>
              <w:t xml:space="preserve">212.92</w:t>
            </w:r>
          </w:p>
        </w:tc>
        <w:tc>
          <w:tcPr>
            <w:tcW w:w="2551" w:type="dxa"/>
            <w:vAlign w:val="center"/>
          </w:tcPr>
          <w:p>
            <w:pPr>
              <w:pStyle w:val="单元格样式4"/>
            </w:pPr>
            <w:r>
              <w:t xml:space="preserve">749.67</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2551" w:type="dxa"/>
            <w:vAlign w:val="center"/>
          </w:tcPr>
          <w:p>
            <w:pPr>
              <w:pStyle w:val="单元格样式4"/>
            </w:pPr>
            <w:r>
              <w:t xml:space="preserve">524.62</w:t>
            </w:r>
          </w:p>
        </w:tc>
        <w:tc>
          <w:tcPr>
            <w:tcW w:w="2551" w:type="dxa"/>
            <w:vAlign w:val="center"/>
          </w:tcPr>
          <w:p>
            <w:pPr>
              <w:pStyle w:val="单元格样式4"/>
            </w:pPr>
            <w:r>
              <w:t xml:space="preserve">212.92</w:t>
            </w:r>
          </w:p>
        </w:tc>
        <w:tc>
          <w:tcPr>
            <w:tcW w:w="2551" w:type="dxa"/>
            <w:vAlign w:val="center"/>
          </w:tcPr>
          <w:p>
            <w:pPr>
              <w:pStyle w:val="单元格样式4"/>
            </w:pPr>
            <w:r>
              <w:t xml:space="preserve">311.70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2240101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212.92</w:t>
            </w:r>
          </w:p>
        </w:tc>
        <w:tc>
          <w:tcPr>
            <w:tcW w:w="2551" w:type="dxa"/>
            <w:vAlign w:val="center"/>
          </w:tcPr>
          <w:p>
            <w:pPr>
              <w:pStyle w:val="单元格样式4"/>
            </w:pPr>
            <w:r>
              <w:t xml:space="preserve">212.92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2240199</w:t>
            </w:r>
          </w:p>
        </w:tc>
        <w:tc>
          <w:tcPr>
            <w:tcW w:w="4535" w:type="dxa"/>
            <w:vAlign w:val="center"/>
          </w:tcPr>
          <w:p>
            <w:pPr>
              <w:pStyle w:val="单元格样式2"/>
            </w:pPr>
            <w:r>
              <w:t xml:space="preserve">其他应急管理支出</w:t>
            </w:r>
          </w:p>
        </w:tc>
        <w:tc>
          <w:tcPr>
            <w:tcW w:w="2551" w:type="dxa"/>
            <w:vAlign w:val="center"/>
          </w:tcPr>
          <w:p>
            <w:pPr>
              <w:pStyle w:val="单元格样式4"/>
            </w:pPr>
            <w:r>
              <w:t xml:space="preserve">311.70</w:t>
            </w:r>
          </w:p>
        </w:tc>
        <w:tc>
          <w:tcPr>
            <w:tcW w:w="2551" w:type="dxa"/>
            <w:vAlign w:val="center"/>
          </w:tcPr>
          <w:p>
            <w:pPr>
              <w:pStyle w:val="单元格样式4"/>
            </w:pPr>
          </w:p>
        </w:tc>
        <w:tc>
          <w:tcPr>
            <w:tcW w:w="2551" w:type="dxa"/>
            <w:vAlign w:val="center"/>
          </w:tcPr>
          <w:p>
            <w:pPr>
              <w:pStyle w:val="单元格样式4"/>
            </w:pPr>
            <w:r>
              <w:t xml:space="preserve">311.70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22407</w:t>
            </w:r>
          </w:p>
        </w:tc>
        <w:tc>
          <w:tcPr>
            <w:tcW w:w="4535" w:type="dxa"/>
            <w:vAlign w:val="center"/>
          </w:tcPr>
          <w:p>
            <w:pPr>
              <w:pStyle w:val="单元格样式2"/>
            </w:pPr>
            <w:r>
              <w:t xml:space="preserve">自然灾害救灾及恢复重建支出</w:t>
            </w:r>
          </w:p>
        </w:tc>
        <w:tc>
          <w:tcPr>
            <w:tcW w:w="2551" w:type="dxa"/>
            <w:vAlign w:val="center"/>
          </w:tcPr>
          <w:p>
            <w:pPr>
              <w:pStyle w:val="单元格样式4"/>
            </w:pPr>
            <w:r>
              <w:t xml:space="preserve">437.98</w:t>
            </w:r>
          </w:p>
        </w:tc>
        <w:tc>
          <w:tcPr>
            <w:tcW w:w="2551" w:type="dxa"/>
            <w:vAlign w:val="center"/>
          </w:tcPr>
          <w:p>
            <w:pPr>
              <w:pStyle w:val="单元格样式4"/>
            </w:pPr>
          </w:p>
        </w:tc>
        <w:tc>
          <w:tcPr>
            <w:tcW w:w="2551" w:type="dxa"/>
            <w:vAlign w:val="center"/>
          </w:tcPr>
          <w:p>
            <w:pPr>
              <w:pStyle w:val="单元格样式4"/>
            </w:pPr>
            <w:r>
              <w:t xml:space="preserve">437.98</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2240703</w:t>
            </w:r>
          </w:p>
        </w:tc>
        <w:tc>
          <w:tcPr>
            <w:tcW w:w="4535" w:type="dxa"/>
            <w:vAlign w:val="center"/>
          </w:tcPr>
          <w:p>
            <w:pPr>
              <w:pStyle w:val="单元格样式2"/>
            </w:pPr>
            <w:r>
              <w:t xml:space="preserve">自然灾害救灾补助</w:t>
            </w:r>
          </w:p>
        </w:tc>
        <w:tc>
          <w:tcPr>
            <w:tcW w:w="2551" w:type="dxa"/>
            <w:vAlign w:val="center"/>
          </w:tcPr>
          <w:p>
            <w:pPr>
              <w:pStyle w:val="单元格样式4"/>
            </w:pPr>
            <w:r>
              <w:t xml:space="preserve">437.98</w:t>
            </w:r>
          </w:p>
        </w:tc>
        <w:tc>
          <w:tcPr>
            <w:tcW w:w="2551" w:type="dxa"/>
            <w:vAlign w:val="center"/>
          </w:tcPr>
          <w:p>
            <w:pPr>
              <w:pStyle w:val="单元格样式4"/>
            </w:pPr>
          </w:p>
        </w:tc>
        <w:tc>
          <w:tcPr>
            <w:tcW w:w="2551" w:type="dxa"/>
            <w:vAlign w:val="center"/>
          </w:tcPr>
          <w:p>
            <w:pPr>
              <w:pStyle w:val="单元格样式4"/>
            </w:pPr>
            <w:r>
              <w:t xml:space="preserve">437.98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265.10</w:t>
            </w:r>
          </w:p>
        </w:tc>
        <w:tc>
          <w:tcPr>
            <w:tcW w:w="2551" w:type="dxa"/>
            <w:vAlign w:val="center"/>
          </w:tcPr>
          <w:p>
            <w:pPr>
              <w:pStyle w:val="单元格样式7"/>
            </w:pPr>
            <w:r>
              <w:t xml:space="preserve">242.36</w:t>
            </w:r>
          </w:p>
        </w:tc>
        <w:tc>
          <w:tcPr>
            <w:tcW w:w="2551" w:type="dxa"/>
            <w:vAlign w:val="center"/>
          </w:tcPr>
          <w:p>
            <w:pPr>
              <w:pStyle w:val="单元格样式7"/>
            </w:pPr>
            <w:r>
              <w:t xml:space="preserve">22.74</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232.42</w:t>
            </w:r>
          </w:p>
        </w:tc>
        <w:tc>
          <w:tcPr>
            <w:tcW w:w="2551" w:type="dxa"/>
            <w:vAlign w:val="center"/>
          </w:tcPr>
          <w:p>
            <w:pPr>
              <w:pStyle w:val="单元格样式4"/>
            </w:pPr>
            <w:r>
              <w:t xml:space="preserve">232.42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105.66</w:t>
            </w:r>
          </w:p>
        </w:tc>
        <w:tc>
          <w:tcPr>
            <w:tcW w:w="2551" w:type="dxa"/>
            <w:vAlign w:val="center"/>
          </w:tcPr>
          <w:p>
            <w:pPr>
              <w:pStyle w:val="单元格样式4"/>
            </w:pPr>
            <w:r>
              <w:t xml:space="preserve">105.66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51.17</w:t>
            </w:r>
          </w:p>
        </w:tc>
        <w:tc>
          <w:tcPr>
            <w:tcW w:w="2551" w:type="dxa"/>
            <w:vAlign w:val="center"/>
          </w:tcPr>
          <w:p>
            <w:pPr>
              <w:pStyle w:val="单元格样式4"/>
            </w:pPr>
            <w:r>
              <w:t xml:space="preserve">51.17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22.60</w:t>
            </w:r>
          </w:p>
        </w:tc>
        <w:tc>
          <w:tcPr>
            <w:tcW w:w="2551" w:type="dxa"/>
            <w:vAlign w:val="center"/>
          </w:tcPr>
          <w:p>
            <w:pPr>
              <w:pStyle w:val="单元格样式4"/>
            </w:pPr>
            <w:r>
              <w:t xml:space="preserve">22.60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26.83</w:t>
            </w:r>
          </w:p>
        </w:tc>
        <w:tc>
          <w:tcPr>
            <w:tcW w:w="2551" w:type="dxa"/>
            <w:vAlign w:val="center"/>
          </w:tcPr>
          <w:p>
            <w:pPr>
              <w:pStyle w:val="单元格样式4"/>
            </w:pPr>
            <w:r>
              <w:t xml:space="preserve">26.83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11.93</w:t>
            </w:r>
          </w:p>
        </w:tc>
        <w:tc>
          <w:tcPr>
            <w:tcW w:w="2551" w:type="dxa"/>
            <w:vAlign w:val="center"/>
          </w:tcPr>
          <w:p>
            <w:pPr>
              <w:pStyle w:val="单元格样式4"/>
            </w:pPr>
            <w:r>
              <w:t xml:space="preserve">11.93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0.82</w:t>
            </w:r>
          </w:p>
        </w:tc>
        <w:tc>
          <w:tcPr>
            <w:tcW w:w="2551" w:type="dxa"/>
            <w:vAlign w:val="center"/>
          </w:tcPr>
          <w:p>
            <w:pPr>
              <w:pStyle w:val="单元格样式4"/>
            </w:pPr>
            <w:r>
              <w:t xml:space="preserve">0.82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13.42</w:t>
            </w:r>
          </w:p>
        </w:tc>
        <w:tc>
          <w:tcPr>
            <w:tcW w:w="2551" w:type="dxa"/>
            <w:vAlign w:val="center"/>
          </w:tcPr>
          <w:p>
            <w:pPr>
              <w:pStyle w:val="单元格样式4"/>
            </w:pPr>
            <w:r>
              <w:t xml:space="preserve">13.42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22.74</w:t>
            </w:r>
          </w:p>
        </w:tc>
        <w:tc>
          <w:tcPr>
            <w:tcW w:w="2551" w:type="dxa"/>
            <w:vAlign w:val="center"/>
          </w:tcPr>
          <w:p>
            <w:pPr>
              <w:pStyle w:val="单元格样式4"/>
            </w:pPr>
          </w:p>
        </w:tc>
        <w:tc>
          <w:tcPr>
            <w:tcW w:w="2551" w:type="dxa"/>
            <w:vAlign w:val="center"/>
          </w:tcPr>
          <w:p>
            <w:pPr>
              <w:pStyle w:val="单元格样式4"/>
            </w:pPr>
            <w:r>
              <w:t xml:space="preserve">22.74</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2.70</w:t>
            </w:r>
          </w:p>
        </w:tc>
        <w:tc>
          <w:tcPr>
            <w:tcW w:w="2551" w:type="dxa"/>
            <w:vAlign w:val="center"/>
          </w:tcPr>
          <w:p>
            <w:pPr>
              <w:pStyle w:val="单元格样式4"/>
            </w:pPr>
          </w:p>
        </w:tc>
        <w:tc>
          <w:tcPr>
            <w:tcW w:w="2551" w:type="dxa"/>
            <w:vAlign w:val="center"/>
          </w:tcPr>
          <w:p>
            <w:pPr>
              <w:pStyle w:val="单元格样式4"/>
            </w:pPr>
            <w:r>
              <w:t xml:space="preserve">2.70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1.40</w:t>
            </w:r>
          </w:p>
        </w:tc>
        <w:tc>
          <w:tcPr>
            <w:tcW w:w="2551" w:type="dxa"/>
            <w:vAlign w:val="center"/>
          </w:tcPr>
          <w:p>
            <w:pPr>
              <w:pStyle w:val="单元格样式4"/>
            </w:pPr>
          </w:p>
        </w:tc>
        <w:tc>
          <w:tcPr>
            <w:tcW w:w="2551" w:type="dxa"/>
            <w:vAlign w:val="center"/>
          </w:tcPr>
          <w:p>
            <w:pPr>
              <w:pStyle w:val="单元格样式4"/>
            </w:pPr>
            <w:r>
              <w:t xml:space="preserve">1.40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3.40</w:t>
            </w:r>
          </w:p>
        </w:tc>
        <w:tc>
          <w:tcPr>
            <w:tcW w:w="2551" w:type="dxa"/>
            <w:vAlign w:val="center"/>
          </w:tcPr>
          <w:p>
            <w:pPr>
              <w:pStyle w:val="单元格样式4"/>
            </w:pPr>
          </w:p>
        </w:tc>
        <w:tc>
          <w:tcPr>
            <w:tcW w:w="2551" w:type="dxa"/>
            <w:vAlign w:val="center"/>
          </w:tcPr>
          <w:p>
            <w:pPr>
              <w:pStyle w:val="单元格样式4"/>
            </w:pPr>
            <w:r>
              <w:t xml:space="preserve">3.40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14.40</w:t>
            </w:r>
          </w:p>
        </w:tc>
        <w:tc>
          <w:tcPr>
            <w:tcW w:w="2551" w:type="dxa"/>
            <w:vAlign w:val="center"/>
          </w:tcPr>
          <w:p>
            <w:pPr>
              <w:pStyle w:val="单元格样式4"/>
            </w:pPr>
          </w:p>
        </w:tc>
        <w:tc>
          <w:tcPr>
            <w:tcW w:w="2551" w:type="dxa"/>
            <w:vAlign w:val="center"/>
          </w:tcPr>
          <w:p>
            <w:pPr>
              <w:pStyle w:val="单元格样式4"/>
            </w:pPr>
            <w:r>
              <w:t xml:space="preserve">14.40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0.34</w:t>
            </w:r>
          </w:p>
        </w:tc>
        <w:tc>
          <w:tcPr>
            <w:tcW w:w="2551" w:type="dxa"/>
            <w:vAlign w:val="center"/>
          </w:tcPr>
          <w:p>
            <w:pPr>
              <w:pStyle w:val="单元格样式4"/>
            </w:pPr>
          </w:p>
        </w:tc>
        <w:tc>
          <w:tcPr>
            <w:tcW w:w="2551" w:type="dxa"/>
            <w:vAlign w:val="center"/>
          </w:tcPr>
          <w:p>
            <w:pPr>
              <w:pStyle w:val="单元格样式4"/>
            </w:pPr>
            <w:r>
              <w:t xml:space="preserve">0.34</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9.94</w:t>
            </w:r>
          </w:p>
        </w:tc>
        <w:tc>
          <w:tcPr>
            <w:tcW w:w="2551" w:type="dxa"/>
            <w:vAlign w:val="center"/>
          </w:tcPr>
          <w:p>
            <w:pPr>
              <w:pStyle w:val="单元格样式4"/>
            </w:pPr>
            <w:r>
              <w:t xml:space="preserve">9.94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9.94</w:t>
            </w:r>
          </w:p>
        </w:tc>
        <w:tc>
          <w:tcPr>
            <w:tcW w:w="2551" w:type="dxa"/>
            <w:vAlign w:val="center"/>
          </w:tcPr>
          <w:p>
            <w:pPr>
              <w:pStyle w:val="单元格样式4"/>
            </w:pPr>
            <w:r>
              <w:t xml:space="preserve">9.94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123.00</w:t>
            </w:r>
          </w:p>
        </w:tc>
        <w:tc>
          <w:tcPr>
            <w:tcW w:w="2551" w:type="dxa"/>
            <w:vAlign w:val="center"/>
          </w:tcPr>
          <w:p>
            <w:pPr>
              <w:pStyle w:val="单元格样式7"/>
            </w:pPr>
          </w:p>
        </w:tc>
        <w:tc>
          <w:tcPr>
            <w:tcW w:w="2551" w:type="dxa"/>
            <w:vAlign w:val="center"/>
          </w:tcPr>
          <w:p>
            <w:pPr>
              <w:pStyle w:val="单元格样式7"/>
            </w:pPr>
            <w:r>
              <w:t xml:space="preserve">123.00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229</w:t>
            </w:r>
          </w:p>
        </w:tc>
        <w:tc>
          <w:tcPr>
            <w:tcW w:w="4535" w:type="dxa"/>
            <w:vAlign w:val="center"/>
          </w:tcPr>
          <w:p>
            <w:pPr>
              <w:pStyle w:val="单元格样式2"/>
            </w:pPr>
            <w:r>
              <w:t xml:space="preserve">其他支出</w:t>
            </w:r>
          </w:p>
        </w:tc>
        <w:tc>
          <w:tcPr>
            <w:tcW w:w="2551" w:type="dxa"/>
            <w:vAlign w:val="center"/>
          </w:tcPr>
          <w:p>
            <w:pPr>
              <w:pStyle w:val="单元格样式4"/>
            </w:pPr>
            <w:r>
              <w:t xml:space="preserve">123.00</w:t>
            </w:r>
          </w:p>
        </w:tc>
        <w:tc>
          <w:tcPr>
            <w:tcW w:w="2551" w:type="dxa"/>
            <w:vAlign w:val="center"/>
          </w:tcPr>
          <w:p>
            <w:pPr>
              <w:pStyle w:val="单元格样式4"/>
            </w:pPr>
          </w:p>
        </w:tc>
        <w:tc>
          <w:tcPr>
            <w:tcW w:w="2551" w:type="dxa"/>
            <w:vAlign w:val="center"/>
          </w:tcPr>
          <w:p>
            <w:pPr>
              <w:pStyle w:val="单元格样式4"/>
            </w:pPr>
            <w:r>
              <w:t xml:space="preserve">123.00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22904</w:t>
            </w:r>
          </w:p>
        </w:tc>
        <w:tc>
          <w:tcPr>
            <w:tcW w:w="4535" w:type="dxa"/>
            <w:vAlign w:val="center"/>
          </w:tcPr>
          <w:p>
            <w:pPr>
              <w:pStyle w:val="单元格样式2"/>
            </w:pPr>
            <w:r>
              <w:t xml:space="preserve">其他政府性基金及对应专项债务收入安排的支出</w:t>
            </w:r>
          </w:p>
        </w:tc>
        <w:tc>
          <w:tcPr>
            <w:tcW w:w="2551" w:type="dxa"/>
            <w:vAlign w:val="center"/>
          </w:tcPr>
          <w:p>
            <w:pPr>
              <w:pStyle w:val="单元格样式4"/>
            </w:pPr>
            <w:r>
              <w:t xml:space="preserve">123.00</w:t>
            </w:r>
          </w:p>
        </w:tc>
        <w:tc>
          <w:tcPr>
            <w:tcW w:w="2551" w:type="dxa"/>
            <w:vAlign w:val="center"/>
          </w:tcPr>
          <w:p>
            <w:pPr>
              <w:pStyle w:val="单元格样式4"/>
            </w:pPr>
          </w:p>
        </w:tc>
        <w:tc>
          <w:tcPr>
            <w:tcW w:w="2551" w:type="dxa"/>
            <w:vAlign w:val="center"/>
          </w:tcPr>
          <w:p>
            <w:pPr>
              <w:pStyle w:val="单元格样式4"/>
            </w:pPr>
            <w:r>
              <w:t xml:space="preserve">123.00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2290402</w:t>
            </w:r>
          </w:p>
        </w:tc>
        <w:tc>
          <w:tcPr>
            <w:tcW w:w="4535" w:type="dxa"/>
            <w:vAlign w:val="center"/>
          </w:tcPr>
          <w:p>
            <w:pPr>
              <w:pStyle w:val="单元格样式2"/>
            </w:pPr>
            <w:r>
              <w:t xml:space="preserve">其他地方自行试点项目收益专项债券收入安排的支出</w:t>
            </w:r>
          </w:p>
        </w:tc>
        <w:tc>
          <w:tcPr>
            <w:tcW w:w="2551" w:type="dxa"/>
            <w:vAlign w:val="center"/>
          </w:tcPr>
          <w:p>
            <w:pPr>
              <w:pStyle w:val="单元格样式4"/>
            </w:pPr>
            <w:r>
              <w:t xml:space="preserve">123.00</w:t>
            </w:r>
          </w:p>
        </w:tc>
        <w:tc>
          <w:tcPr>
            <w:tcW w:w="2551" w:type="dxa"/>
            <w:vAlign w:val="center"/>
          </w:tcPr>
          <w:p>
            <w:pPr>
              <w:pStyle w:val="单元格样式4"/>
            </w:pPr>
          </w:p>
        </w:tc>
        <w:tc>
          <w:tcPr>
            <w:tcW w:w="2551" w:type="dxa"/>
            <w:vAlign w:val="center"/>
          </w:tcPr>
          <w:p>
            <w:pPr>
              <w:pStyle w:val="单元格样式4"/>
            </w:pPr>
            <w:r>
              <w:t xml:space="preserve">123.00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3.40</w:t>
            </w:r>
          </w:p>
        </w:tc>
        <w:tc>
          <w:tcPr>
            <w:tcW w:w="2381" w:type="dxa"/>
            <w:vAlign w:val="center"/>
          </w:tcPr>
          <w:p>
            <w:pPr>
              <w:pStyle w:val="单元格样式7"/>
            </w:pPr>
            <w:r>
              <w:t xml:space="preserve">3.40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3.40</w:t>
            </w:r>
          </w:p>
        </w:tc>
        <w:tc>
          <w:tcPr>
            <w:tcW w:w="2381" w:type="dxa"/>
            <w:vAlign w:val="center"/>
          </w:tcPr>
          <w:p>
            <w:pPr>
              <w:pStyle w:val="单元格样式4"/>
            </w:pPr>
            <w:r>
              <w:t xml:space="preserve">3.40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3.40</w:t>
            </w:r>
          </w:p>
        </w:tc>
        <w:tc>
          <w:tcPr>
            <w:tcW w:w="2381" w:type="dxa"/>
            <w:vAlign w:val="center"/>
          </w:tcPr>
          <w:p>
            <w:pPr>
              <w:pStyle w:val="单元格样式4"/>
            </w:pPr>
            <w:r>
              <w:t xml:space="preserve">3.40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3.40</w:t>
            </w:r>
          </w:p>
        </w:tc>
        <w:tc>
          <w:tcPr>
            <w:tcW w:w="2381" w:type="dxa"/>
            <w:vAlign w:val="center"/>
          </w:tcPr>
          <w:p>
            <w:pPr>
              <w:pStyle w:val="单元格样式4"/>
            </w:pPr>
            <w:r>
              <w:t xml:space="preserve">3.40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昌黎县应急管理局本级2026年单位预算信息公开情况说明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按照《中华人民共和国预算法》、《地方预决算公开操作规程》和《关于进一步推进预算公开工作的实施意见》规定，现将昌黎县应急管理局本级2026年单位预算公开如下：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1、负责应急管理工作，指导各级各部门应对安全生产类、自然灾害类等突发事件和综合防灾减灾救灾工作。负责安全生产综合监督管理和工矿商贸行业安全生产监督管理工作。</w:t>
      </w:r>
    </w:p>
    <w:p>
      <w:pPr>
        <w:pStyle w:val="插入文本样式-插入单位职责文件"/>
      </w:pPr>
      <w:r>
        <w:t xml:space="preserve">2、落实应急管理、安全生产等政策规定，组织编制县应急体系建设、安全生产和综合防灾减灾规划，起草政府规章草案。</w:t>
      </w:r>
    </w:p>
    <w:p>
      <w:pPr>
        <w:pStyle w:val="插入文本样式-插入单位职责文件"/>
      </w:pPr>
      <w:r>
        <w:t xml:space="preserve">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插入文本样式-插入单位职责文件"/>
      </w:pPr>
      <w:r>
        <w:t xml:space="preserve">4、牵头建立统一的全县应急管理信息系统，负责信息传输渠道的规划和布局，建立监测预警和灾情报告制度，健全自然灾害信息资源获取和共享机制，依法统一发布灾情。</w:t>
      </w:r>
    </w:p>
    <w:p>
      <w:pPr>
        <w:pStyle w:val="插入文本样式-插入单位职责文件"/>
      </w:pPr>
      <w:r>
        <w:t xml:space="preserve">5、组织指导协调安全生产类、自然灾害类等突发事件应急救援，承担县应对重大灾害指挥部工作，综合研判突发事件发展态势并提出应对建议，协助县委、县政府指定的负责同志组织灾害应急处置工作。</w:t>
      </w:r>
    </w:p>
    <w:p>
      <w:pPr>
        <w:pStyle w:val="插入文本样式-插入单位职责文件"/>
      </w:pPr>
      <w:r>
        <w:t xml:space="preserve">6、统一协调指挥各类应急专业队伍，建立应急协调联动机制，推进指挥平台对接。衔接解放军和武警部队参与应急救援工作。</w:t>
      </w:r>
    </w:p>
    <w:p>
      <w:pPr>
        <w:pStyle w:val="插入文本样式-插入单位职责文件"/>
      </w:pPr>
      <w:r>
        <w:t xml:space="preserve">7、统筹应急救援力量建设，负责消防、抗洪抢险、地震和地质灾害救援、生产安全事故救援等专业应急救授力量建设。管理县综合性应急救援队伍，指导各级及社会应急救援力量建设。</w:t>
      </w:r>
    </w:p>
    <w:p>
      <w:pPr>
        <w:pStyle w:val="插入文本样式-插入单位职责文件"/>
      </w:pPr>
      <w:r>
        <w:t xml:space="preserve">8、组织协调消防工作。指导各级消防监督、火灾预防、火灾扑救等工作。</w:t>
      </w:r>
    </w:p>
    <w:p>
      <w:pPr>
        <w:pStyle w:val="插入文本样式-插入单位职责文件"/>
      </w:pPr>
      <w:r>
        <w:t xml:space="preserve">9、指导协调森林火灾、水旱灾害、地震和地质灾害等防治工作，负责自然灾害综合监测预警工作，指导开展自然灾害综合风险评估工作。</w:t>
      </w:r>
    </w:p>
    <w:p>
      <w:pPr>
        <w:pStyle w:val="插入文本样式-插入单位职责文件"/>
      </w:pPr>
      <w:r>
        <w:t xml:space="preserve">10、组织协调灾害救助工作。组织指导灾情核查、损失评估、救灾捐赠工作，管理、分配县救灾款物并监督使用。</w:t>
      </w:r>
    </w:p>
    <w:p>
      <w:pPr>
        <w:pStyle w:val="插入文本样式-插入单位职责文件"/>
      </w:pPr>
      <w:r>
        <w:t xml:space="preserve">11、依法行使县安委会监督管理职权，指导协调、监督检查县有关部门和各乡镇政府的安全生产工作。组织开展安全生产巡查、考核工作。</w:t>
      </w:r>
    </w:p>
    <w:p>
      <w:pPr>
        <w:pStyle w:val="插入文本样式-插入单位职责文件"/>
      </w:pPr>
      <w:r>
        <w:t xml:space="preserve">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插入文本样式-插入单位职责文件"/>
      </w:pPr>
      <w:r>
        <w:t xml:space="preserve">13、依法组织指导生产安全事故调查处理，监督事故查处和责任追究落实情况。组织开展自然灾害类突发事件的调查评估工作。</w:t>
      </w:r>
    </w:p>
    <w:p>
      <w:pPr>
        <w:pStyle w:val="插入文本样式-插入单位职责文件"/>
      </w:pPr>
      <w:r>
        <w:t xml:space="preserve">14、制定应急物资储备和应急救援装备规划并组织实施，会同县发改局（县粮食和物资储备局）等部门建立健全应急物资信息平台和调拨制度，在救灾时统一调度。</w:t>
      </w:r>
    </w:p>
    <w:p>
      <w:pPr>
        <w:pStyle w:val="插入文本样式-插入单位职责文件"/>
      </w:pPr>
      <w:r>
        <w:t xml:space="preserve">15、负责应急管理、安全生产宣传教育和培训工作，组织指导应急管理、安全生产的科学技术研究、推广应用和信息化建设工作。</w:t>
      </w:r>
    </w:p>
    <w:p>
      <w:pPr>
        <w:pStyle w:val="插入文本样式-插入单位职责文件"/>
      </w:pPr>
      <w:r>
        <w:t xml:space="preserve">16、负责组织指导协调和监督全县安全生产行政执法工作，组织开展对县属企业及驻昌中央、省、市企业的执法检查，组织开展对安全生产重点企业的执法检查。</w:t>
      </w:r>
    </w:p>
    <w:p>
      <w:pPr>
        <w:pStyle w:val="插入文本样式-插入单位职责文件"/>
      </w:pPr>
      <w:r>
        <w:t xml:space="preserve">17、组织开展应急管理方面的对外交流与合作。</w:t>
      </w:r>
    </w:p>
    <w:p>
      <w:pPr>
        <w:pStyle w:val="插入文本样式-插入单位职责文件"/>
      </w:pPr>
      <w:r>
        <w:t xml:space="preserve">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插入文本样式-插入单位职责文件"/>
      </w:pPr>
      <w:r>
        <w:t xml:space="preserve">19、完成县委、县政府交办的其他任务。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昌黎县应急管理局本级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1137.77万元，其中：一般公共预算收入701.03万元，基金预算收入0.00万元，国有资本经营预算收入0.00万元，财政专户核拨收入0.00万元，单位资金收入0.00万元，上年结转结余436.74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昌黎县应急管理局本级年度单位预算中支出预算的总体情况。2026年支出预算1137.77万元，其中基本支出265.10万元，包括人员经费242.36万元和日常公用经费22.74万元；项目支出872.67万元，主要为农房保险项目支出和国债项目支出；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1137.77万元，较2025年预算减少249.20万元，其中：基本支出增加18.16万元，主要为人员工资调标及保险调基支出。项目支出减少267.36万元，主要为减少不必要项目支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2026年，我单位机关运行经费共计安排22.74万元，主要用于日常维修、办公用房水电费、办公用房取暖费、办公用房物业管理费等日常运行支出。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三公经费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1、昌黎县2025年新增专项债券用于政府拖欠企业账款（6.30）-6659975382806044947-铁路箱涵增设自动抽排设施工程(施工合同）绩效目标表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13032225P00229510082R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昌黎县2025年新增专项债券用于政府拖欠企业账款（6.30）-6659975382806044947-铁路箱涵增设自动抽排设施工程(施工合同）</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进一步提高昌黎县应急救援队伍装备能力，提前做好做足应急救援准备工作。</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1.进一步提高昌黎县应急救援队伍装备能力，提前做好做足应急救援准备工作。</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项目支出总成本</w:t>
            </w:r>
          </w:p>
        </w:tc>
        <w:tc>
          <w:tcPr>
            <w:tcW w:w="2268" w:type="dxa"/>
            <w:vAlign w:val="center"/>
          </w:tcPr>
          <w:p>
            <w:pPr>
              <w:pStyle w:val="单元格样式2"/>
            </w:pPr>
            <w:r>
              <w:t xml:space="preserve">≤52万元</w:t>
            </w:r>
          </w:p>
        </w:tc>
        <w:tc>
          <w:tcPr>
            <w:tcW w:w="1276" w:type="dxa"/>
            <w:vAlign w:val="center"/>
          </w:tcPr>
          <w:p>
            <w:pPr>
              <w:pStyle w:val="单元格样式2"/>
            </w:pPr>
            <w:r>
              <w:t xml:space="preserve">工程合同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施工任务完成项目数量</w:t>
            </w:r>
          </w:p>
        </w:tc>
        <w:tc>
          <w:tcPr>
            <w:tcW w:w="5386" w:type="dxa"/>
            <w:vAlign w:val="center"/>
          </w:tcPr>
          <w:p>
            <w:pPr>
              <w:pStyle w:val="单元格样式2"/>
            </w:pPr>
            <w:r>
              <w:t xml:space="preserve">按年度计划时间完成的工程量的项目的数量</w:t>
            </w:r>
          </w:p>
        </w:tc>
        <w:tc>
          <w:tcPr>
            <w:tcW w:w="2268" w:type="dxa"/>
            <w:vAlign w:val="center"/>
          </w:tcPr>
          <w:p>
            <w:pPr>
              <w:pStyle w:val="单元格样式2"/>
            </w:pPr>
            <w:r>
              <w:t xml:space="preserve">1个</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完成项目质量合格率</w:t>
            </w:r>
          </w:p>
        </w:tc>
        <w:tc>
          <w:tcPr>
            <w:tcW w:w="5386" w:type="dxa"/>
            <w:vAlign w:val="center"/>
          </w:tcPr>
          <w:p>
            <w:pPr>
              <w:pStyle w:val="单元格样式2"/>
            </w:pPr>
            <w:r>
              <w:t xml:space="preserve">完成项目中验收合格项目占完成项目的比例</w:t>
            </w:r>
          </w:p>
        </w:tc>
        <w:tc>
          <w:tcPr>
            <w:tcW w:w="2268" w:type="dxa"/>
            <w:vAlign w:val="center"/>
          </w:tcPr>
          <w:p>
            <w:pPr>
              <w:pStyle w:val="单元格样式2"/>
            </w:pPr>
            <w:r>
              <w:t xml:space="preserve">≥98%</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按年度完成计划率</w:t>
            </w:r>
          </w:p>
        </w:tc>
        <w:tc>
          <w:tcPr>
            <w:tcW w:w="5386" w:type="dxa"/>
            <w:vAlign w:val="center"/>
          </w:tcPr>
          <w:p>
            <w:pPr>
              <w:pStyle w:val="单元格样式2"/>
            </w:pPr>
            <w:r>
              <w:t xml:space="preserve">按年度计划时间完成的工程量占年度计划总工程量的比率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提升环保效果</w:t>
            </w:r>
          </w:p>
        </w:tc>
        <w:tc>
          <w:tcPr>
            <w:tcW w:w="5386" w:type="dxa"/>
            <w:vAlign w:val="center"/>
          </w:tcPr>
          <w:p>
            <w:pPr>
              <w:pStyle w:val="单元格样式2"/>
            </w:pPr>
            <w:r>
              <w:t xml:space="preserve">提高环保效果，改造后环保效果提升</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提高项目可持续性</w:t>
            </w:r>
          </w:p>
        </w:tc>
        <w:tc>
          <w:tcPr>
            <w:tcW w:w="5386" w:type="dxa"/>
            <w:vAlign w:val="center"/>
          </w:tcPr>
          <w:p>
            <w:pPr>
              <w:pStyle w:val="单元格样式2"/>
            </w:pPr>
            <w:r>
              <w:t xml:space="preserve">提高资源可持续利用能力，服务期限延长</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提高经济发展水平</w:t>
            </w:r>
          </w:p>
        </w:tc>
        <w:tc>
          <w:tcPr>
            <w:tcW w:w="5386" w:type="dxa"/>
            <w:vAlign w:val="center"/>
          </w:tcPr>
          <w:p>
            <w:pPr>
              <w:pStyle w:val="单元格样式2"/>
            </w:pPr>
            <w:r>
              <w:t xml:space="preserve">提高经济发展水平</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项目完成效果是否提高</w:t>
            </w:r>
          </w:p>
        </w:tc>
        <w:tc>
          <w:tcPr>
            <w:tcW w:w="5386" w:type="dxa"/>
            <w:vAlign w:val="center"/>
          </w:tcPr>
          <w:p>
            <w:pPr>
              <w:pStyle w:val="单元格样式2"/>
            </w:pPr>
            <w:r>
              <w:t xml:space="preserve">提升项目效</w:t>
            </w:r>
          </w:p>
        </w:tc>
        <w:tc>
          <w:tcPr>
            <w:tcW w:w="2268" w:type="dxa"/>
            <w:vAlign w:val="center"/>
          </w:tcPr>
          <w:p>
            <w:pPr>
              <w:pStyle w:val="单元格样式2"/>
            </w:pPr>
            <w:r>
              <w:t xml:space="preserve">进一步提升</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调查中满意或较满意的群众占被调查群众的比率</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2、昌黎县2025年新增专项债券用于政府拖欠企业账款（6.30）-6659975382806045061-京哈铁路孔庄苏庄箱涵外翼墙重修工程款绩效目标表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13032225P002295100816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昌黎县2025年新增专项债券用于政府拖欠企业账款（6.30）-6659975382806045061-京哈铁路孔庄苏庄箱涵外翼墙重修工程款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进一步提高昌黎县应急救援队伍装备能力，提前做好做足应急救援准备工作。</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1.进一步提高昌黎县应急救援队伍装备能力，提前做好做足应急救援准备工作。</w:t>
            </w:r>
            <w:r>
              <w:tab/>
            </w:r>
            <w:r>
              <w:tab/>
            </w:r>
            <w:r>
              <w:tab/>
            </w:r>
            <w:r>
              <w:tab/>
            </w:r>
            <w:r>
              <w:tab/>
            </w:r>
            <w:r>
              <w:tab/>
            </w:r>
          </w:p>
          <w:p>
            <w:pPr>
              <w:pStyle w:val="单元格样式2"/>
            </w:pP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项目支出总成本</w:t>
            </w:r>
          </w:p>
        </w:tc>
        <w:tc>
          <w:tcPr>
            <w:tcW w:w="2268" w:type="dxa"/>
            <w:vAlign w:val="center"/>
          </w:tcPr>
          <w:p>
            <w:pPr>
              <w:pStyle w:val="单元格样式2"/>
            </w:pPr>
            <w:r>
              <w:t xml:space="preserve">≤22万元</w:t>
            </w:r>
          </w:p>
        </w:tc>
        <w:tc>
          <w:tcPr>
            <w:tcW w:w="1276" w:type="dxa"/>
            <w:vAlign w:val="center"/>
          </w:tcPr>
          <w:p>
            <w:pPr>
              <w:pStyle w:val="单元格样式2"/>
            </w:pPr>
            <w:r>
              <w:t xml:space="preserve">工程合同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施工任务完成项目数量</w:t>
            </w:r>
          </w:p>
        </w:tc>
        <w:tc>
          <w:tcPr>
            <w:tcW w:w="5386" w:type="dxa"/>
            <w:vAlign w:val="center"/>
          </w:tcPr>
          <w:p>
            <w:pPr>
              <w:pStyle w:val="单元格样式2"/>
            </w:pPr>
            <w:r>
              <w:t xml:space="preserve">按年度计划时间完成的工程量的项目的数量</w:t>
            </w:r>
          </w:p>
        </w:tc>
        <w:tc>
          <w:tcPr>
            <w:tcW w:w="2268" w:type="dxa"/>
            <w:vAlign w:val="center"/>
          </w:tcPr>
          <w:p>
            <w:pPr>
              <w:pStyle w:val="单元格样式2"/>
            </w:pPr>
            <w:r>
              <w:t xml:space="preserve">1个</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完成项目质量合格率</w:t>
            </w:r>
          </w:p>
        </w:tc>
        <w:tc>
          <w:tcPr>
            <w:tcW w:w="5386" w:type="dxa"/>
            <w:vAlign w:val="center"/>
          </w:tcPr>
          <w:p>
            <w:pPr>
              <w:pStyle w:val="单元格样式2"/>
            </w:pPr>
            <w:r>
              <w:t xml:space="preserve">完成项目中验收合格项目占完成项目的比例</w:t>
            </w:r>
          </w:p>
        </w:tc>
        <w:tc>
          <w:tcPr>
            <w:tcW w:w="2268" w:type="dxa"/>
            <w:vAlign w:val="center"/>
          </w:tcPr>
          <w:p>
            <w:pPr>
              <w:pStyle w:val="单元格样式2"/>
            </w:pPr>
            <w:r>
              <w:t xml:space="preserve">≥98%</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按年度完成计划率</w:t>
            </w:r>
          </w:p>
        </w:tc>
        <w:tc>
          <w:tcPr>
            <w:tcW w:w="5386" w:type="dxa"/>
            <w:vAlign w:val="center"/>
          </w:tcPr>
          <w:p>
            <w:pPr>
              <w:pStyle w:val="单元格样式2"/>
            </w:pPr>
            <w:r>
              <w:t xml:space="preserve">按年度计划时间完成的工程量占年度计划总工程量的比率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提升环保效果</w:t>
            </w:r>
          </w:p>
        </w:tc>
        <w:tc>
          <w:tcPr>
            <w:tcW w:w="5386" w:type="dxa"/>
            <w:vAlign w:val="center"/>
          </w:tcPr>
          <w:p>
            <w:pPr>
              <w:pStyle w:val="单元格样式2"/>
            </w:pPr>
            <w:r>
              <w:t xml:space="preserve">提高环保效果，改造后环保效果提升</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提高项目可持续性</w:t>
            </w:r>
          </w:p>
        </w:tc>
        <w:tc>
          <w:tcPr>
            <w:tcW w:w="5386" w:type="dxa"/>
            <w:vAlign w:val="center"/>
          </w:tcPr>
          <w:p>
            <w:pPr>
              <w:pStyle w:val="单元格样式2"/>
            </w:pPr>
            <w:r>
              <w:t xml:space="preserve">提高资源可持续利用能力，服务期限延长</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提高经济发展水平</w:t>
            </w:r>
          </w:p>
        </w:tc>
        <w:tc>
          <w:tcPr>
            <w:tcW w:w="5386" w:type="dxa"/>
            <w:vAlign w:val="center"/>
          </w:tcPr>
          <w:p>
            <w:pPr>
              <w:pStyle w:val="单元格样式2"/>
            </w:pPr>
            <w:r>
              <w:t xml:space="preserve">提高经济发展水平</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项目完成效果是否提高</w:t>
            </w:r>
          </w:p>
        </w:tc>
        <w:tc>
          <w:tcPr>
            <w:tcW w:w="5386" w:type="dxa"/>
            <w:vAlign w:val="center"/>
          </w:tcPr>
          <w:p>
            <w:pPr>
              <w:pStyle w:val="单元格样式2"/>
            </w:pPr>
            <w:r>
              <w:t xml:space="preserve">提升项目效</w:t>
            </w:r>
          </w:p>
        </w:tc>
        <w:tc>
          <w:tcPr>
            <w:tcW w:w="2268" w:type="dxa"/>
            <w:vAlign w:val="center"/>
          </w:tcPr>
          <w:p>
            <w:pPr>
              <w:pStyle w:val="单元格样式2"/>
            </w:pPr>
            <w:r>
              <w:t xml:space="preserve">进一步提升</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调查中满意或较满意的群众占被调查群众的比率</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3、昌黎县2025年新增专项债券用于政府拖欠企业账款（6.30）-6659975382806045065-昌黎县8.18水毁箱涵护坡修复工程-工程总价绩效目标表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13032225P00229510080J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昌黎县2025年新增专项债券用于政府拖欠企业账款（6.30）-6659975382806045065-昌黎县8.18水毁箱涵护坡修复工程-工程总价</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进一步提高昌黎县应急救援队伍装备能力，提前做好做足应急救援准备工作。</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1.进一步提高昌黎县应急救援队伍装备能力，提前做好做足应急救援准备工作。</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项目支出总成本</w:t>
            </w:r>
          </w:p>
        </w:tc>
        <w:tc>
          <w:tcPr>
            <w:tcW w:w="2268" w:type="dxa"/>
            <w:vAlign w:val="center"/>
          </w:tcPr>
          <w:p>
            <w:pPr>
              <w:pStyle w:val="单元格样式2"/>
            </w:pPr>
            <w:r>
              <w:t xml:space="preserve">≤49万元</w:t>
            </w:r>
          </w:p>
        </w:tc>
        <w:tc>
          <w:tcPr>
            <w:tcW w:w="1276" w:type="dxa"/>
            <w:vAlign w:val="center"/>
          </w:tcPr>
          <w:p>
            <w:pPr>
              <w:pStyle w:val="单元格样式2"/>
            </w:pPr>
            <w:r>
              <w:t xml:space="preserve">工程合同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施工任务完成项目数量</w:t>
            </w:r>
          </w:p>
        </w:tc>
        <w:tc>
          <w:tcPr>
            <w:tcW w:w="5386" w:type="dxa"/>
            <w:vAlign w:val="center"/>
          </w:tcPr>
          <w:p>
            <w:pPr>
              <w:pStyle w:val="单元格样式2"/>
            </w:pPr>
            <w:r>
              <w:t xml:space="preserve">按年度计划时间完成的工程量的项目的数量</w:t>
            </w:r>
          </w:p>
        </w:tc>
        <w:tc>
          <w:tcPr>
            <w:tcW w:w="2268" w:type="dxa"/>
            <w:vAlign w:val="center"/>
          </w:tcPr>
          <w:p>
            <w:pPr>
              <w:pStyle w:val="单元格样式2"/>
            </w:pPr>
            <w:r>
              <w:t xml:space="preserve">1个</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完成项目质量合格率</w:t>
            </w:r>
          </w:p>
        </w:tc>
        <w:tc>
          <w:tcPr>
            <w:tcW w:w="5386" w:type="dxa"/>
            <w:vAlign w:val="center"/>
          </w:tcPr>
          <w:p>
            <w:pPr>
              <w:pStyle w:val="单元格样式2"/>
            </w:pPr>
            <w:r>
              <w:t xml:space="preserve">完成项目中验收合格项目占完成项目的比例</w:t>
            </w:r>
          </w:p>
        </w:tc>
        <w:tc>
          <w:tcPr>
            <w:tcW w:w="2268" w:type="dxa"/>
            <w:vAlign w:val="center"/>
          </w:tcPr>
          <w:p>
            <w:pPr>
              <w:pStyle w:val="单元格样式2"/>
            </w:pPr>
            <w:r>
              <w:t xml:space="preserve">≥98%</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按年度完成计划率</w:t>
            </w:r>
          </w:p>
        </w:tc>
        <w:tc>
          <w:tcPr>
            <w:tcW w:w="5386" w:type="dxa"/>
            <w:vAlign w:val="center"/>
          </w:tcPr>
          <w:p>
            <w:pPr>
              <w:pStyle w:val="单元格样式2"/>
            </w:pPr>
            <w:r>
              <w:t xml:space="preserve">按年度计划时间完成的工程量占年度计划总工程量的比率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验收报告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提升环保效果</w:t>
            </w:r>
          </w:p>
        </w:tc>
        <w:tc>
          <w:tcPr>
            <w:tcW w:w="5386" w:type="dxa"/>
            <w:vAlign w:val="center"/>
          </w:tcPr>
          <w:p>
            <w:pPr>
              <w:pStyle w:val="单元格样式2"/>
            </w:pPr>
            <w:r>
              <w:t xml:space="preserve">提高环保效果，改造后环保效果提升</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提高项目可持续性</w:t>
            </w:r>
          </w:p>
        </w:tc>
        <w:tc>
          <w:tcPr>
            <w:tcW w:w="5386" w:type="dxa"/>
            <w:vAlign w:val="center"/>
          </w:tcPr>
          <w:p>
            <w:pPr>
              <w:pStyle w:val="单元格样式2"/>
            </w:pPr>
            <w:r>
              <w:t xml:space="preserve">提高资源可持续利用能力，服务期限延长</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提高经济发展水平</w:t>
            </w:r>
          </w:p>
        </w:tc>
        <w:tc>
          <w:tcPr>
            <w:tcW w:w="5386" w:type="dxa"/>
            <w:vAlign w:val="center"/>
          </w:tcPr>
          <w:p>
            <w:pPr>
              <w:pStyle w:val="单元格样式2"/>
            </w:pPr>
            <w:r>
              <w:t xml:space="preserve">提高经济发展水平</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项目完成效果是否提高</w:t>
            </w:r>
          </w:p>
        </w:tc>
        <w:tc>
          <w:tcPr>
            <w:tcW w:w="5386" w:type="dxa"/>
            <w:vAlign w:val="center"/>
          </w:tcPr>
          <w:p>
            <w:pPr>
              <w:pStyle w:val="单元格样式2"/>
            </w:pPr>
            <w:r>
              <w:t xml:space="preserve">提升项目效</w:t>
            </w:r>
          </w:p>
        </w:tc>
        <w:tc>
          <w:tcPr>
            <w:tcW w:w="2268" w:type="dxa"/>
            <w:vAlign w:val="center"/>
          </w:tcPr>
          <w:p>
            <w:pPr>
              <w:pStyle w:val="单元格样式2"/>
            </w:pPr>
            <w:r>
              <w:t xml:space="preserve">进一步提升</w:t>
            </w:r>
          </w:p>
        </w:tc>
        <w:tc>
          <w:tcPr>
            <w:tcW w:w="1276" w:type="dxa"/>
            <w:vAlign w:val="center"/>
          </w:tcPr>
          <w:p>
            <w:pPr>
              <w:pStyle w:val="单元格样式2"/>
            </w:pPr>
            <w:r>
              <w:t xml:space="preserve">工作经验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调查中满意或较满意的群众占被调查群众的比率</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4、冀财建[2025]217号提前下达2026年自然灾害救助资金（农房保险试点补助经费）绩效目标表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13032226P002285100074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冀财建[2025]217号提前下达2026年自然灾害救助资金（农房保险试点补助经费）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124.23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124.23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"通过引导社会力量资金参与救灾工作，充分发挥财政资金的放大作用，夹带队受灾群众的救助水平，提升守在农户抵御自然灾害和突发事故能力，提高农村居民住房灾后重建保障能力。</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1."通过引导社会力量资金参与救灾工作，充分发挥财政资金的放大作用，夹带队受灾群众的救助水平，提升守在农户抵御自然灾害和突发事故能力，提高农村居民住房灾后重建保障能力。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项目预算控制数</w:t>
            </w:r>
          </w:p>
        </w:tc>
        <w:tc>
          <w:tcPr>
            <w:tcW w:w="5386" w:type="dxa"/>
            <w:vAlign w:val="center"/>
          </w:tcPr>
          <w:p>
            <w:pPr>
              <w:pStyle w:val="单元格样式2"/>
            </w:pPr>
            <w:r>
              <w:t xml:space="preserve">项目预算控制数</w:t>
            </w:r>
          </w:p>
        </w:tc>
        <w:tc>
          <w:tcPr>
            <w:tcW w:w="2268" w:type="dxa"/>
            <w:vAlign w:val="center"/>
          </w:tcPr>
          <w:p>
            <w:pPr>
              <w:pStyle w:val="单元格样式2"/>
            </w:pPr>
            <w:r>
              <w:t xml:space="preserve">≤124.24万元</w:t>
            </w:r>
          </w:p>
        </w:tc>
        <w:tc>
          <w:tcPr>
            <w:tcW w:w="1276" w:type="dxa"/>
            <w:vAlign w:val="center"/>
          </w:tcPr>
          <w:p>
            <w:pPr>
              <w:pStyle w:val="单元格样式2"/>
            </w:pPr>
            <w:r>
              <w:t xml:space="preserve">预算指标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灾害普查乡镇数</w:t>
            </w:r>
          </w:p>
        </w:tc>
        <w:tc>
          <w:tcPr>
            <w:tcW w:w="5386" w:type="dxa"/>
            <w:vAlign w:val="center"/>
          </w:tcPr>
          <w:p>
            <w:pPr>
              <w:pStyle w:val="单元格样式2"/>
            </w:pPr>
            <w:r>
              <w:t xml:space="preserve">自然灾害普查项目涉及的乡镇数</w:t>
            </w:r>
          </w:p>
        </w:tc>
        <w:tc>
          <w:tcPr>
            <w:tcW w:w="2268" w:type="dxa"/>
            <w:vAlign w:val="center"/>
          </w:tcPr>
          <w:p>
            <w:pPr>
              <w:pStyle w:val="单元格样式2"/>
            </w:pPr>
            <w:r>
              <w:t xml:space="preserve">≥17个</w:t>
            </w:r>
          </w:p>
        </w:tc>
        <w:tc>
          <w:tcPr>
            <w:tcW w:w="1276" w:type="dxa"/>
            <w:vAlign w:val="center"/>
          </w:tcPr>
          <w:p>
            <w:pPr>
              <w:pStyle w:val="单元格样式2"/>
            </w:pPr>
            <w:r>
              <w:t xml:space="preserve">乡镇个数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项目资金到位支付数占预算资金的比例</w:t>
            </w:r>
          </w:p>
        </w:tc>
        <w:tc>
          <w:tcPr>
            <w:tcW w:w="5386" w:type="dxa"/>
            <w:vAlign w:val="center"/>
          </w:tcPr>
          <w:p>
            <w:pPr>
              <w:pStyle w:val="单元格样式2"/>
            </w:pPr>
            <w:r>
              <w:t xml:space="preserve">项目资金到位支付数占预算资金的比例</w:t>
            </w:r>
          </w:p>
        </w:tc>
        <w:tc>
          <w:tcPr>
            <w:tcW w:w="2268" w:type="dxa"/>
            <w:vAlign w:val="center"/>
          </w:tcPr>
          <w:p>
            <w:pPr>
              <w:pStyle w:val="单元格样式2"/>
            </w:pPr>
            <w:r>
              <w:t xml:space="preserve">≥95%</w:t>
            </w:r>
          </w:p>
        </w:tc>
        <w:tc>
          <w:tcPr>
            <w:tcW w:w="1276" w:type="dxa"/>
            <w:vAlign w:val="center"/>
          </w:tcPr>
          <w:p>
            <w:pPr>
              <w:pStyle w:val="单元格样式2"/>
            </w:pPr>
            <w:r>
              <w:t xml:space="preserve">预算指标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及时购买保险农房数占计划购买农房总数的比例</w:t>
            </w:r>
          </w:p>
        </w:tc>
        <w:tc>
          <w:tcPr>
            <w:tcW w:w="5386" w:type="dxa"/>
            <w:vAlign w:val="center"/>
          </w:tcPr>
          <w:p>
            <w:pPr>
              <w:pStyle w:val="单元格样式2"/>
            </w:pPr>
            <w:r>
              <w:t xml:space="preserve">及时购买保险农房数占计划购买农房总数的比例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对完善救灾保障机制带来的持续性影响</w:t>
            </w:r>
          </w:p>
        </w:tc>
        <w:tc>
          <w:tcPr>
            <w:tcW w:w="5386" w:type="dxa"/>
            <w:vAlign w:val="center"/>
          </w:tcPr>
          <w:p>
            <w:pPr>
              <w:pStyle w:val="单元格样式2"/>
            </w:pPr>
            <w:r>
              <w:t xml:space="preserve">为国民经济持续健康发展和社会稳定提供安全保障</w:t>
            </w:r>
          </w:p>
        </w:tc>
        <w:tc>
          <w:tcPr>
            <w:tcW w:w="2268" w:type="dxa"/>
            <w:vAlign w:val="center"/>
          </w:tcPr>
          <w:p>
            <w:pPr>
              <w:pStyle w:val="单元格样式2"/>
            </w:pPr>
            <w:r>
              <w:t xml:space="preserve">为国民经济持续健康发展和社会稳定提供安全保障</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提高抗灾水平</w:t>
            </w:r>
          </w:p>
        </w:tc>
        <w:tc>
          <w:tcPr>
            <w:tcW w:w="5386" w:type="dxa"/>
            <w:vAlign w:val="center"/>
          </w:tcPr>
          <w:p>
            <w:pPr>
              <w:pStyle w:val="单元格样式2"/>
            </w:pPr>
            <w:r>
              <w:t xml:space="preserve">减少灾害带来经济损失</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w:t>
            </w:r>
          </w:p>
        </w:tc>
        <w:tc>
          <w:tcPr>
            <w:tcW w:w="5386" w:type="dxa"/>
            <w:vAlign w:val="center"/>
          </w:tcPr>
          <w:p>
            <w:pPr>
              <w:pStyle w:val="单元格样式2"/>
            </w:pPr>
            <w:r>
              <w:t xml:space="preserve">农村住房保险赔付比例</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绿色办公</w:t>
            </w:r>
          </w:p>
        </w:tc>
        <w:tc>
          <w:tcPr>
            <w:tcW w:w="5386" w:type="dxa"/>
            <w:vAlign w:val="center"/>
          </w:tcPr>
          <w:p>
            <w:pPr>
              <w:pStyle w:val="单元格样式2"/>
            </w:pPr>
            <w:r>
              <w:t xml:space="preserve">减少纸张、水、电浪费</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群众满意度指标</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5、冀财建[2025]248号2025年自然灾害救灾资金（冬春救助）（省级）绩效目标表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13032225P002285100108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冀财建[2025]248号2025年自然灾害救灾资金（冬春救助）（省级）</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34.94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34.94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保障受灾群众口粮、伤病和因灾损毁房屋恢复重建、紧急转移人员安置等基本生活救助、因灾死亡人员家属抚慰，确保专款专用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普查对象清查覆盖率</w:t>
            </w:r>
          </w:p>
        </w:tc>
        <w:tc>
          <w:tcPr>
            <w:tcW w:w="5386" w:type="dxa"/>
            <w:vAlign w:val="center"/>
          </w:tcPr>
          <w:p>
            <w:pPr>
              <w:pStyle w:val="单元格样式2"/>
            </w:pPr>
            <w:r>
              <w:t xml:space="preserve">普查对象清查覆盖率</w:t>
            </w:r>
          </w:p>
        </w:tc>
        <w:tc>
          <w:tcPr>
            <w:tcW w:w="2268" w:type="dxa"/>
            <w:vAlign w:val="center"/>
          </w:tcPr>
          <w:p>
            <w:pPr>
              <w:pStyle w:val="单元格样式2"/>
            </w:pPr>
            <w:r>
              <w:t xml:space="preserve">≥17个</w:t>
            </w:r>
          </w:p>
        </w:tc>
        <w:tc>
          <w:tcPr>
            <w:tcW w:w="1276" w:type="dxa"/>
            <w:vAlign w:val="center"/>
          </w:tcPr>
          <w:p>
            <w:pPr>
              <w:pStyle w:val="单元格样式2"/>
            </w:pPr>
            <w:r>
              <w:t xml:space="preserve">乡镇个数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自然灾害救助专项资金到位率</w:t>
            </w:r>
          </w:p>
        </w:tc>
        <w:tc>
          <w:tcPr>
            <w:tcW w:w="5386" w:type="dxa"/>
            <w:vAlign w:val="center"/>
          </w:tcPr>
          <w:p>
            <w:pPr>
              <w:pStyle w:val="单元格样式2"/>
            </w:pPr>
            <w:r>
              <w:t xml:space="preserve">自然灾害救助专项资金及时到位情况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进度偏差率</w:t>
            </w:r>
          </w:p>
        </w:tc>
        <w:tc>
          <w:tcPr>
            <w:tcW w:w="5386" w:type="dxa"/>
            <w:vAlign w:val="center"/>
          </w:tcPr>
          <w:p>
            <w:pPr>
              <w:pStyle w:val="单元格样式2"/>
            </w:pPr>
            <w:r>
              <w:t xml:space="preserve">进度偏差率</w:t>
            </w:r>
          </w:p>
        </w:tc>
        <w:tc>
          <w:tcPr>
            <w:tcW w:w="2268" w:type="dxa"/>
            <w:vAlign w:val="center"/>
          </w:tcPr>
          <w:p>
            <w:pPr>
              <w:pStyle w:val="单元格样式2"/>
            </w:pPr>
            <w:r>
              <w:t xml:space="preserve">≤1偏差1个月以内</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成本控制有效率</w:t>
            </w:r>
          </w:p>
        </w:tc>
        <w:tc>
          <w:tcPr>
            <w:tcW w:w="5386" w:type="dxa"/>
            <w:vAlign w:val="center"/>
          </w:tcPr>
          <w:p>
            <w:pPr>
              <w:pStyle w:val="单元格样式2"/>
            </w:pPr>
            <w:r>
              <w:t xml:space="preserve">成本控制有效率</w:t>
            </w:r>
          </w:p>
        </w:tc>
        <w:tc>
          <w:tcPr>
            <w:tcW w:w="2268" w:type="dxa"/>
            <w:vAlign w:val="center"/>
          </w:tcPr>
          <w:p>
            <w:pPr>
              <w:pStyle w:val="单元格样式2"/>
            </w:pPr>
            <w:r>
              <w:t xml:space="preserve">≤34.94万元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减少灾害损失</w:t>
            </w:r>
          </w:p>
        </w:tc>
        <w:tc>
          <w:tcPr>
            <w:tcW w:w="5386" w:type="dxa"/>
            <w:vAlign w:val="center"/>
          </w:tcPr>
          <w:p>
            <w:pPr>
              <w:pStyle w:val="单元格样式2"/>
            </w:pPr>
            <w:r>
              <w:t xml:space="preserve">为自然灾害防治、应急管理等工作提供科学依据，减轻灾害损失</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数据共享涉及部门数量</w:t>
            </w:r>
          </w:p>
        </w:tc>
        <w:tc>
          <w:tcPr>
            <w:tcW w:w="5386" w:type="dxa"/>
            <w:vAlign w:val="center"/>
          </w:tcPr>
          <w:p>
            <w:pPr>
              <w:pStyle w:val="单元格样式2"/>
            </w:pPr>
            <w:r>
              <w:t xml:space="preserve">数据共享涉及部门数量</w:t>
            </w:r>
          </w:p>
        </w:tc>
        <w:tc>
          <w:tcPr>
            <w:tcW w:w="2268" w:type="dxa"/>
            <w:vAlign w:val="center"/>
          </w:tcPr>
          <w:p>
            <w:pPr>
              <w:pStyle w:val="单元格样式2"/>
            </w:pPr>
            <w:r>
              <w:t xml:space="preserve">≥17个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保障受灾群众生活</w:t>
            </w:r>
          </w:p>
        </w:tc>
        <w:tc>
          <w:tcPr>
            <w:tcW w:w="5386" w:type="dxa"/>
            <w:vAlign w:val="center"/>
          </w:tcPr>
          <w:p>
            <w:pPr>
              <w:pStyle w:val="单元格样式2"/>
            </w:pPr>
            <w:r>
              <w:t xml:space="preserve">保障受灾群众生活</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节约水、电等资源，降低能耗，实现绿色办公</w:t>
            </w:r>
          </w:p>
        </w:tc>
        <w:tc>
          <w:tcPr>
            <w:tcW w:w="2268" w:type="dxa"/>
            <w:vAlign w:val="center"/>
          </w:tcPr>
          <w:p>
            <w:pPr>
              <w:pStyle w:val="单元格样式2"/>
            </w:pPr>
            <w:r>
              <w:t xml:space="preserve">节约水、电等资源，降低能耗，实现绿色办公</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被援助人员满意度</w:t>
            </w:r>
          </w:p>
        </w:tc>
        <w:tc>
          <w:tcPr>
            <w:tcW w:w="5386" w:type="dxa"/>
            <w:vAlign w:val="center"/>
          </w:tcPr>
          <w:p>
            <w:pPr>
              <w:pStyle w:val="单元格样式2"/>
            </w:pPr>
            <w:r>
              <w:t xml:space="preserve">被援助人员满意度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6、冀财建[2025]248号2025年自然灾害救灾资金（冬春救助）（中央）绩效目标表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13032225P00228510009W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冀财建[2025]248号2025年自然灾害救灾资金（冬春救助）（中央）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143.11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143.11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保障受灾群众口粮、伤病和因灾损毁房屋恢复重建、紧急转移人员安置等基本生活救助、因灾死亡人员家属抚慰，确保专款专用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普查对象清查覆盖率</w:t>
            </w:r>
          </w:p>
        </w:tc>
        <w:tc>
          <w:tcPr>
            <w:tcW w:w="5386" w:type="dxa"/>
            <w:vAlign w:val="center"/>
          </w:tcPr>
          <w:p>
            <w:pPr>
              <w:pStyle w:val="单元格样式2"/>
            </w:pPr>
            <w:r>
              <w:t xml:space="preserve">普查对象清查覆盖率</w:t>
            </w:r>
          </w:p>
        </w:tc>
        <w:tc>
          <w:tcPr>
            <w:tcW w:w="2268" w:type="dxa"/>
            <w:vAlign w:val="center"/>
          </w:tcPr>
          <w:p>
            <w:pPr>
              <w:pStyle w:val="单元格样式2"/>
            </w:pPr>
            <w:r>
              <w:t xml:space="preserve">≥17个</w:t>
            </w:r>
          </w:p>
        </w:tc>
        <w:tc>
          <w:tcPr>
            <w:tcW w:w="1276" w:type="dxa"/>
            <w:vAlign w:val="center"/>
          </w:tcPr>
          <w:p>
            <w:pPr>
              <w:pStyle w:val="单元格样式2"/>
            </w:pPr>
            <w:r>
              <w:t xml:space="preserve">乡镇个数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自然灾害救助专项资金到位率</w:t>
            </w:r>
          </w:p>
        </w:tc>
        <w:tc>
          <w:tcPr>
            <w:tcW w:w="5386" w:type="dxa"/>
            <w:vAlign w:val="center"/>
          </w:tcPr>
          <w:p>
            <w:pPr>
              <w:pStyle w:val="单元格样式2"/>
            </w:pPr>
            <w:r>
              <w:t xml:space="preserve">自然灾害救助专项资金及时到位情况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进度偏差率</w:t>
            </w:r>
          </w:p>
        </w:tc>
        <w:tc>
          <w:tcPr>
            <w:tcW w:w="5386" w:type="dxa"/>
            <w:vAlign w:val="center"/>
          </w:tcPr>
          <w:p>
            <w:pPr>
              <w:pStyle w:val="单元格样式2"/>
            </w:pPr>
            <w:r>
              <w:t xml:space="preserve">进度偏差率</w:t>
            </w:r>
          </w:p>
        </w:tc>
        <w:tc>
          <w:tcPr>
            <w:tcW w:w="2268" w:type="dxa"/>
            <w:vAlign w:val="center"/>
          </w:tcPr>
          <w:p>
            <w:pPr>
              <w:pStyle w:val="单元格样式2"/>
            </w:pPr>
            <w:r>
              <w:t xml:space="preserve">≤1偏差1个月以内</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成本控制有效率</w:t>
            </w:r>
          </w:p>
        </w:tc>
        <w:tc>
          <w:tcPr>
            <w:tcW w:w="5386" w:type="dxa"/>
            <w:vAlign w:val="center"/>
          </w:tcPr>
          <w:p>
            <w:pPr>
              <w:pStyle w:val="单元格样式2"/>
            </w:pPr>
            <w:r>
              <w:t xml:space="preserve">成本控制有效率</w:t>
            </w:r>
          </w:p>
        </w:tc>
        <w:tc>
          <w:tcPr>
            <w:tcW w:w="2268" w:type="dxa"/>
            <w:vAlign w:val="center"/>
          </w:tcPr>
          <w:p>
            <w:pPr>
              <w:pStyle w:val="单元格样式2"/>
            </w:pPr>
            <w:r>
              <w:t xml:space="preserve">≤143.11万元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减少灾害损失</w:t>
            </w:r>
          </w:p>
        </w:tc>
        <w:tc>
          <w:tcPr>
            <w:tcW w:w="5386" w:type="dxa"/>
            <w:vAlign w:val="center"/>
          </w:tcPr>
          <w:p>
            <w:pPr>
              <w:pStyle w:val="单元格样式2"/>
            </w:pPr>
            <w:r>
              <w:t xml:space="preserve">为自然灾害防治、应急管理等工作提供科学依据，减轻灾害损失</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数据共享涉及部门数量</w:t>
            </w:r>
          </w:p>
        </w:tc>
        <w:tc>
          <w:tcPr>
            <w:tcW w:w="5386" w:type="dxa"/>
            <w:vAlign w:val="center"/>
          </w:tcPr>
          <w:p>
            <w:pPr>
              <w:pStyle w:val="单元格样式2"/>
            </w:pPr>
            <w:r>
              <w:t xml:space="preserve">数据共享涉及部门数量</w:t>
            </w:r>
          </w:p>
        </w:tc>
        <w:tc>
          <w:tcPr>
            <w:tcW w:w="2268" w:type="dxa"/>
            <w:vAlign w:val="center"/>
          </w:tcPr>
          <w:p>
            <w:pPr>
              <w:pStyle w:val="单元格样式2"/>
            </w:pPr>
            <w:r>
              <w:t xml:space="preserve">≥17个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保障受灾群众生活</w:t>
            </w:r>
          </w:p>
        </w:tc>
        <w:tc>
          <w:tcPr>
            <w:tcW w:w="5386" w:type="dxa"/>
            <w:vAlign w:val="center"/>
          </w:tcPr>
          <w:p>
            <w:pPr>
              <w:pStyle w:val="单元格样式2"/>
            </w:pPr>
            <w:r>
              <w:t xml:space="preserve">保障受灾群众生活</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节约水、电等资源，降低能耗，实现绿色办公</w:t>
            </w:r>
          </w:p>
        </w:tc>
        <w:tc>
          <w:tcPr>
            <w:tcW w:w="2268" w:type="dxa"/>
            <w:vAlign w:val="center"/>
          </w:tcPr>
          <w:p>
            <w:pPr>
              <w:pStyle w:val="单元格样式2"/>
            </w:pPr>
            <w:r>
              <w:t xml:space="preserve">节约水、电等资源，降低能耗，实现绿色办公</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被援助人员满意度</w:t>
            </w:r>
          </w:p>
        </w:tc>
        <w:tc>
          <w:tcPr>
            <w:tcW w:w="5386" w:type="dxa"/>
            <w:vAlign w:val="center"/>
          </w:tcPr>
          <w:p>
            <w:pPr>
              <w:pStyle w:val="单元格样式2"/>
            </w:pPr>
            <w:r>
              <w:t xml:space="preserve">被援助人员满意度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7、冀财建【2024】288号提前下达2025年自然灾害救助专项资金绩效目标表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13032225P002285100010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冀财建【2024】288号提前下达2025年自然灾害救助专项资金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135.69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135.69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提高2025年自然灾害防灾救灾能力</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项目预算控制数</w:t>
            </w:r>
          </w:p>
        </w:tc>
        <w:tc>
          <w:tcPr>
            <w:tcW w:w="5386" w:type="dxa"/>
            <w:vAlign w:val="center"/>
          </w:tcPr>
          <w:p>
            <w:pPr>
              <w:pStyle w:val="单元格样式2"/>
            </w:pPr>
            <w:r>
              <w:t xml:space="preserve">项目预算控制数</w:t>
            </w:r>
          </w:p>
        </w:tc>
        <w:tc>
          <w:tcPr>
            <w:tcW w:w="2268" w:type="dxa"/>
            <w:vAlign w:val="center"/>
          </w:tcPr>
          <w:p>
            <w:pPr>
              <w:pStyle w:val="单元格样式2"/>
            </w:pPr>
            <w:r>
              <w:t xml:space="preserve">135.69万元</w:t>
            </w:r>
          </w:p>
        </w:tc>
        <w:tc>
          <w:tcPr>
            <w:tcW w:w="1276" w:type="dxa"/>
            <w:vAlign w:val="center"/>
          </w:tcPr>
          <w:p>
            <w:pPr>
              <w:pStyle w:val="单元格样式2"/>
            </w:pPr>
            <w:r>
              <w:t xml:space="preserve">预算指标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灾害普查乡镇数</w:t>
            </w:r>
          </w:p>
        </w:tc>
        <w:tc>
          <w:tcPr>
            <w:tcW w:w="5386" w:type="dxa"/>
            <w:vAlign w:val="center"/>
          </w:tcPr>
          <w:p>
            <w:pPr>
              <w:pStyle w:val="单元格样式2"/>
            </w:pPr>
            <w:r>
              <w:t xml:space="preserve">自然灾害普查项目涉及的乡镇数</w:t>
            </w:r>
          </w:p>
        </w:tc>
        <w:tc>
          <w:tcPr>
            <w:tcW w:w="2268" w:type="dxa"/>
            <w:vAlign w:val="center"/>
          </w:tcPr>
          <w:p>
            <w:pPr>
              <w:pStyle w:val="单元格样式2"/>
            </w:pPr>
            <w:r>
              <w:t xml:space="preserve">≥17个</w:t>
            </w:r>
          </w:p>
        </w:tc>
        <w:tc>
          <w:tcPr>
            <w:tcW w:w="1276" w:type="dxa"/>
            <w:vAlign w:val="center"/>
          </w:tcPr>
          <w:p>
            <w:pPr>
              <w:pStyle w:val="单元格样式2"/>
            </w:pPr>
            <w:r>
              <w:t xml:space="preserve">乡镇个数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项目资金到位支付数占预算资金的比例</w:t>
            </w:r>
          </w:p>
        </w:tc>
        <w:tc>
          <w:tcPr>
            <w:tcW w:w="5386" w:type="dxa"/>
            <w:vAlign w:val="center"/>
          </w:tcPr>
          <w:p>
            <w:pPr>
              <w:pStyle w:val="单元格样式2"/>
            </w:pPr>
            <w:r>
              <w:t xml:space="preserve">项目资金到位支付数占预算资金的比例</w:t>
            </w:r>
          </w:p>
        </w:tc>
        <w:tc>
          <w:tcPr>
            <w:tcW w:w="2268" w:type="dxa"/>
            <w:vAlign w:val="center"/>
          </w:tcPr>
          <w:p>
            <w:pPr>
              <w:pStyle w:val="单元格样式2"/>
            </w:pPr>
            <w:r>
              <w:t xml:space="preserve">≥95%</w:t>
            </w:r>
          </w:p>
        </w:tc>
        <w:tc>
          <w:tcPr>
            <w:tcW w:w="1276" w:type="dxa"/>
            <w:vAlign w:val="center"/>
          </w:tcPr>
          <w:p>
            <w:pPr>
              <w:pStyle w:val="单元格样式2"/>
            </w:pPr>
            <w:r>
              <w:t xml:space="preserve">预算指标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及时购买保险农房数占计划购买农房总数的比例</w:t>
            </w:r>
          </w:p>
        </w:tc>
        <w:tc>
          <w:tcPr>
            <w:tcW w:w="5386" w:type="dxa"/>
            <w:vAlign w:val="center"/>
          </w:tcPr>
          <w:p>
            <w:pPr>
              <w:pStyle w:val="单元格样式2"/>
            </w:pPr>
            <w:r>
              <w:t xml:space="preserve">及时购买保险农房数占计划购买农房总数的比例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对完善救灾保障机制带来的持续性影响</w:t>
            </w:r>
          </w:p>
        </w:tc>
        <w:tc>
          <w:tcPr>
            <w:tcW w:w="5386" w:type="dxa"/>
            <w:vAlign w:val="center"/>
          </w:tcPr>
          <w:p>
            <w:pPr>
              <w:pStyle w:val="单元格样式2"/>
            </w:pPr>
            <w:r>
              <w:t xml:space="preserve">为国民经济持续健康发展和社会稳定提供安全保障</w:t>
            </w:r>
          </w:p>
        </w:tc>
        <w:tc>
          <w:tcPr>
            <w:tcW w:w="2268" w:type="dxa"/>
            <w:vAlign w:val="center"/>
          </w:tcPr>
          <w:p>
            <w:pPr>
              <w:pStyle w:val="单元格样式2"/>
            </w:pPr>
            <w:r>
              <w:t xml:space="preserve">为国民经济持续健康发展和社会稳定提供安全保障</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提高抗灾水平</w:t>
            </w:r>
          </w:p>
        </w:tc>
        <w:tc>
          <w:tcPr>
            <w:tcW w:w="5386" w:type="dxa"/>
            <w:vAlign w:val="center"/>
          </w:tcPr>
          <w:p>
            <w:pPr>
              <w:pStyle w:val="单元格样式2"/>
            </w:pPr>
            <w:r>
              <w:t xml:space="preserve">减少灾害带来经济损失</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w:t>
            </w:r>
          </w:p>
        </w:tc>
        <w:tc>
          <w:tcPr>
            <w:tcW w:w="5386" w:type="dxa"/>
            <w:vAlign w:val="center"/>
          </w:tcPr>
          <w:p>
            <w:pPr>
              <w:pStyle w:val="单元格样式2"/>
            </w:pPr>
            <w:r>
              <w:t xml:space="preserve">农村住房保险赔付比例</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绿色办公</w:t>
            </w:r>
          </w:p>
        </w:tc>
        <w:tc>
          <w:tcPr>
            <w:tcW w:w="5386" w:type="dxa"/>
            <w:vAlign w:val="center"/>
          </w:tcPr>
          <w:p>
            <w:pPr>
              <w:pStyle w:val="单元格样式2"/>
            </w:pPr>
            <w:r>
              <w:t xml:space="preserve">减少纸张、水、电浪费</w:t>
            </w:r>
          </w:p>
        </w:tc>
        <w:tc>
          <w:tcPr>
            <w:tcW w:w="2268" w:type="dxa"/>
            <w:vAlign w:val="center"/>
          </w:tcPr>
          <w:p>
            <w:pPr>
              <w:pStyle w:val="单元格样式2"/>
            </w:pPr>
            <w:r>
              <w:t xml:space="preserve">较上年减少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群众满意度指标</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≥90%</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8、其他劳务派遣人员绩效目标表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13032226P002333100802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其他劳务派遣人员</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通过及时支付编外人员工资，稳定我县森林防火队伍正常运转。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1.通过及时支付编外人员工资，稳定我县森林防火队伍正常运转。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编外人员月均支出金额</w:t>
            </w:r>
          </w:p>
        </w:tc>
        <w:tc>
          <w:tcPr>
            <w:tcW w:w="5386" w:type="dxa"/>
            <w:vAlign w:val="center"/>
          </w:tcPr>
          <w:p>
            <w:pPr>
              <w:pStyle w:val="单元格样式2"/>
            </w:pPr>
            <w:r>
              <w:t xml:space="preserve">编外人员月均支出金额</w:t>
            </w:r>
          </w:p>
        </w:tc>
        <w:tc>
          <w:tcPr>
            <w:tcW w:w="2268" w:type="dxa"/>
            <w:vAlign w:val="center"/>
          </w:tcPr>
          <w:p>
            <w:pPr>
              <w:pStyle w:val="单元格样式2"/>
            </w:pPr>
            <w:r>
              <w:t xml:space="preserve">≤2080元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支付及时率</w:t>
            </w:r>
          </w:p>
        </w:tc>
        <w:tc>
          <w:tcPr>
            <w:tcW w:w="5386" w:type="dxa"/>
            <w:vAlign w:val="center"/>
          </w:tcPr>
          <w:p>
            <w:pPr>
              <w:pStyle w:val="单元格样式2"/>
            </w:pPr>
            <w:r>
              <w:t xml:space="preserve">人员经费发放及时率</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人员经费到位率</w:t>
            </w:r>
          </w:p>
        </w:tc>
        <w:tc>
          <w:tcPr>
            <w:tcW w:w="5386" w:type="dxa"/>
            <w:vAlign w:val="center"/>
          </w:tcPr>
          <w:p>
            <w:pPr>
              <w:pStyle w:val="单元格样式2"/>
            </w:pPr>
            <w:r>
              <w:t xml:space="preserve">人员经费到位资金的比例</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聘用人员数量</w:t>
            </w:r>
          </w:p>
        </w:tc>
        <w:tc>
          <w:tcPr>
            <w:tcW w:w="5386" w:type="dxa"/>
            <w:vAlign w:val="center"/>
          </w:tcPr>
          <w:p>
            <w:pPr>
              <w:pStyle w:val="单元格样式2"/>
            </w:pPr>
            <w:r>
              <w:t xml:space="preserve">聘用人员数量</w:t>
            </w:r>
          </w:p>
        </w:tc>
        <w:tc>
          <w:tcPr>
            <w:tcW w:w="2268" w:type="dxa"/>
            <w:vAlign w:val="center"/>
          </w:tcPr>
          <w:p>
            <w:pPr>
              <w:pStyle w:val="单元格样式2"/>
            </w:pPr>
            <w:r>
              <w:t xml:space="preserve">1人</w:t>
            </w:r>
          </w:p>
        </w:tc>
        <w:tc>
          <w:tcPr>
            <w:tcW w:w="1276" w:type="dxa"/>
            <w:vAlign w:val="center"/>
          </w:tcPr>
          <w:p>
            <w:pPr>
              <w:pStyle w:val="单元格样式2"/>
            </w:pPr>
            <w:r>
              <w:t xml:space="preserve">单位人数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提高财政资金的使用效率</w:t>
            </w:r>
          </w:p>
        </w:tc>
        <w:tc>
          <w:tcPr>
            <w:tcW w:w="5386" w:type="dxa"/>
            <w:vAlign w:val="center"/>
          </w:tcPr>
          <w:p>
            <w:pPr>
              <w:pStyle w:val="单元格样式2"/>
            </w:pPr>
            <w:r>
              <w:t xml:space="preserve">通过科学编制预算，严格遵守各项规章制度，提高财政资金的使用效率，做到节俭高效。</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保持工作稳定、持续开展实现率</w:t>
            </w:r>
          </w:p>
        </w:tc>
        <w:tc>
          <w:tcPr>
            <w:tcW w:w="5386" w:type="dxa"/>
            <w:vAlign w:val="center"/>
          </w:tcPr>
          <w:p>
            <w:pPr>
              <w:pStyle w:val="单元格样式2"/>
            </w:pPr>
            <w:r>
              <w:t xml:space="preserve">有效保证业务工作顺利开展</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降低能耗</w:t>
            </w:r>
          </w:p>
        </w:tc>
        <w:tc>
          <w:tcPr>
            <w:tcW w:w="5386" w:type="dxa"/>
            <w:vAlign w:val="center"/>
          </w:tcPr>
          <w:p>
            <w:pPr>
              <w:pStyle w:val="单元格样式2"/>
            </w:pPr>
            <w:r>
              <w:t xml:space="preserve">厉行节约，降低能耗，实现绿色办公</w:t>
            </w:r>
          </w:p>
        </w:tc>
        <w:tc>
          <w:tcPr>
            <w:tcW w:w="2268" w:type="dxa"/>
            <w:vAlign w:val="center"/>
          </w:tcPr>
          <w:p>
            <w:pPr>
              <w:pStyle w:val="单元格样式2"/>
            </w:pPr>
            <w:r>
              <w:t xml:space="preserve">不高于上年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业务工作可持续性</w:t>
            </w:r>
          </w:p>
        </w:tc>
        <w:tc>
          <w:tcPr>
            <w:tcW w:w="5386" w:type="dxa"/>
            <w:vAlign w:val="center"/>
          </w:tcPr>
          <w:p>
            <w:pPr>
              <w:pStyle w:val="单元格样式2"/>
            </w:pPr>
            <w:r>
              <w:t xml:space="preserve">保障日常工作的有序运转年限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9、县级森林草原专业消防队伍绩效目标表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13032226P00233310079N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县级森林草原专业消防队伍</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309.20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309.20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通过及时支付编外人员工资，稳定我县森林防火队伍正常运转。</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1.通过及时支付编外人员工资，稳定我县森林防火队伍正常运转。</w:t>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编外人员月支出金额</w:t>
            </w:r>
          </w:p>
        </w:tc>
        <w:tc>
          <w:tcPr>
            <w:tcW w:w="5386" w:type="dxa"/>
            <w:vAlign w:val="center"/>
          </w:tcPr>
          <w:p>
            <w:pPr>
              <w:pStyle w:val="单元格样式2"/>
            </w:pPr>
            <w:r>
              <w:t xml:space="preserve">编外人员月均支出金额</w:t>
            </w:r>
          </w:p>
        </w:tc>
        <w:tc>
          <w:tcPr>
            <w:tcW w:w="2268" w:type="dxa"/>
            <w:vAlign w:val="center"/>
          </w:tcPr>
          <w:p>
            <w:pPr>
              <w:pStyle w:val="单元格样式2"/>
            </w:pPr>
            <w:r>
              <w:t xml:space="preserve">≤25.77万元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支付及时率</w:t>
            </w:r>
          </w:p>
        </w:tc>
        <w:tc>
          <w:tcPr>
            <w:tcW w:w="5386" w:type="dxa"/>
            <w:vAlign w:val="center"/>
          </w:tcPr>
          <w:p>
            <w:pPr>
              <w:pStyle w:val="单元格样式2"/>
            </w:pPr>
            <w:r>
              <w:t xml:space="preserve">人员经费发放及时率</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人员经费到位率</w:t>
            </w:r>
          </w:p>
        </w:tc>
        <w:tc>
          <w:tcPr>
            <w:tcW w:w="5386" w:type="dxa"/>
            <w:vAlign w:val="center"/>
          </w:tcPr>
          <w:p>
            <w:pPr>
              <w:pStyle w:val="单元格样式2"/>
            </w:pPr>
            <w:r>
              <w:t xml:space="preserve">人员经费到位资金的比例</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聘用人员数量</w:t>
            </w:r>
          </w:p>
        </w:tc>
        <w:tc>
          <w:tcPr>
            <w:tcW w:w="5386" w:type="dxa"/>
            <w:vAlign w:val="center"/>
          </w:tcPr>
          <w:p>
            <w:pPr>
              <w:pStyle w:val="单元格样式2"/>
            </w:pPr>
            <w:r>
              <w:t xml:space="preserve">聘用人员数量</w:t>
            </w:r>
          </w:p>
        </w:tc>
        <w:tc>
          <w:tcPr>
            <w:tcW w:w="2268" w:type="dxa"/>
            <w:vAlign w:val="center"/>
          </w:tcPr>
          <w:p>
            <w:pPr>
              <w:pStyle w:val="单元格样式2"/>
            </w:pPr>
            <w:r>
              <w:t xml:space="preserve">≥49人</w:t>
            </w:r>
          </w:p>
        </w:tc>
        <w:tc>
          <w:tcPr>
            <w:tcW w:w="1276" w:type="dxa"/>
            <w:vAlign w:val="center"/>
          </w:tcPr>
          <w:p>
            <w:pPr>
              <w:pStyle w:val="单元格样式2"/>
            </w:pPr>
            <w:r>
              <w:t xml:space="preserve">单位人数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提高财政资金的使用效率</w:t>
            </w:r>
          </w:p>
        </w:tc>
        <w:tc>
          <w:tcPr>
            <w:tcW w:w="5386" w:type="dxa"/>
            <w:vAlign w:val="center"/>
          </w:tcPr>
          <w:p>
            <w:pPr>
              <w:pStyle w:val="单元格样式2"/>
            </w:pPr>
            <w:r>
              <w:t xml:space="preserve">通过科学编制预算，严格遵守各项规章制度，提高财政资金的使用效率，做到节俭高效。</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保持工作稳定，持续开展实现率</w:t>
            </w:r>
          </w:p>
        </w:tc>
        <w:tc>
          <w:tcPr>
            <w:tcW w:w="5386" w:type="dxa"/>
            <w:vAlign w:val="center"/>
          </w:tcPr>
          <w:p>
            <w:pPr>
              <w:pStyle w:val="单元格样式2"/>
            </w:pPr>
            <w:r>
              <w:t xml:space="preserve">有效保证业务工作顺利开展</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降低能耗</w:t>
            </w:r>
          </w:p>
        </w:tc>
        <w:tc>
          <w:tcPr>
            <w:tcW w:w="5386" w:type="dxa"/>
            <w:vAlign w:val="center"/>
          </w:tcPr>
          <w:p>
            <w:pPr>
              <w:pStyle w:val="单元格样式2"/>
            </w:pPr>
            <w:r>
              <w:t xml:space="preserve">厉行节约，降低能耗，实现绿色办公</w:t>
            </w:r>
          </w:p>
        </w:tc>
        <w:tc>
          <w:tcPr>
            <w:tcW w:w="2268" w:type="dxa"/>
            <w:vAlign w:val="center"/>
          </w:tcPr>
          <w:p>
            <w:pPr>
              <w:pStyle w:val="单元格样式2"/>
            </w:pPr>
            <w:r>
              <w:t xml:space="preserve">不高于上年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业务工作可持续性</w:t>
            </w:r>
          </w:p>
        </w:tc>
        <w:tc>
          <w:tcPr>
            <w:tcW w:w="5386" w:type="dxa"/>
            <w:vAlign w:val="center"/>
          </w:tcPr>
          <w:p>
            <w:pPr>
              <w:pStyle w:val="单元格样式2"/>
            </w:pPr>
            <w:r>
              <w:t xml:space="preserve">保障日常工作的有序运转年限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通过问卷调查，满意和较满意的受益对象占全部调研对象的比例</w:t>
            </w:r>
          </w:p>
        </w:tc>
        <w:tc>
          <w:tcPr>
            <w:tcW w:w="2268" w:type="dxa"/>
            <w:vAlign w:val="center"/>
          </w:tcPr>
          <w:p>
            <w:pPr>
              <w:pStyle w:val="单元格样式2"/>
            </w:pPr>
            <w:r>
              <w:t xml:space="preserve">≥95%</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昌黎县应急管理局本级上年末固定资产金额为1509.70万元（详见下表）。本年度拟购置固定资产总额为0.00万元，已按要求列入政府采购预算，详见政府采购预算表。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426001昌黎县应急管理局本级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1509.70</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10</w:t>
            </w:r>
          </w:p>
        </w:tc>
        <w:tc>
          <w:tcPr>
            <w:tcW w:w="2835" w:type="dxa"/>
            <w:vAlign w:val="center"/>
          </w:tcPr>
          <w:p>
            <w:pPr>
              <w:pStyle w:val="单元格样式4"/>
            </w:pPr>
            <w:r>
              <w:t xml:space="preserve">18.10</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1140</w:t>
            </w:r>
          </w:p>
        </w:tc>
        <w:tc>
          <w:tcPr>
            <w:tcW w:w="2835" w:type="dxa"/>
            <w:vAlign w:val="center"/>
          </w:tcPr>
          <w:p>
            <w:pPr>
              <w:pStyle w:val="单元格样式4"/>
            </w:pPr>
            <w:r>
              <w:t xml:space="preserve">1491.60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 w:name="_Toc_4_4_0000000002"/>
      <w:r>
        <w:rPr>
          <w:rFonts w:ascii="方正小标宋_GBK" w:eastAsia="方正小标宋_GBK" w:hAnsi="方正小标宋_GBK" w:cs="方正小标宋_GBK"/>
          <w:b w:val="0"/>
          <w:color w:val="000000"/>
          <w:sz w:val="44"/>
        </w:rPr>
        <w:t xml:space="preserve">二、昌黎县应急管理局（事业）收支预算</w:t>
      </w:r>
      <w:bookmarkEnd w:id="1"/>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454.18</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72.09</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23.39</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25.58</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333.12</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454.18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454.18</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454.18</w:t>
            </w:r>
          </w:p>
        </w:tc>
        <w:tc>
          <w:tcPr>
            <w:tcW w:w="4535" w:type="dxa"/>
            <w:vAlign w:val="center"/>
          </w:tcPr>
          <w:p>
            <w:pPr>
              <w:pStyle w:val="单元格样式6"/>
            </w:pPr>
            <w:r>
              <w:t xml:space="preserve">支出总计</w:t>
            </w:r>
          </w:p>
        </w:tc>
        <w:tc>
          <w:tcPr>
            <w:tcW w:w="2126" w:type="dxa"/>
            <w:vAlign w:val="center"/>
          </w:tcPr>
          <w:p>
            <w:pPr>
              <w:pStyle w:val="单元格样式7"/>
            </w:pPr>
            <w:r>
              <w:t xml:space="preserve">454.18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454.18</w:t>
            </w:r>
          </w:p>
        </w:tc>
        <w:tc>
          <w:tcPr>
            <w:tcW w:w="1134" w:type="dxa"/>
            <w:vAlign w:val="center"/>
          </w:tcPr>
          <w:p>
            <w:pPr>
              <w:pStyle w:val="单元格样式7"/>
            </w:pPr>
            <w:r>
              <w:t xml:space="preserve">454.18</w:t>
            </w:r>
          </w:p>
        </w:tc>
        <w:tc>
          <w:tcPr>
            <w:tcW w:w="1134" w:type="dxa"/>
            <w:vAlign w:val="center"/>
          </w:tcPr>
          <w:p>
            <w:pPr>
              <w:pStyle w:val="单元格样式7"/>
            </w:pPr>
            <w:r>
              <w:t xml:space="preserve">454.18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72.09</w:t>
            </w:r>
          </w:p>
        </w:tc>
        <w:tc>
          <w:tcPr>
            <w:tcW w:w="1134" w:type="dxa"/>
            <w:vAlign w:val="center"/>
          </w:tcPr>
          <w:p>
            <w:pPr>
              <w:pStyle w:val="单元格样式4"/>
            </w:pPr>
            <w:r>
              <w:t xml:space="preserve">72.09</w:t>
            </w:r>
          </w:p>
        </w:tc>
        <w:tc>
          <w:tcPr>
            <w:tcW w:w="1134" w:type="dxa"/>
            <w:vAlign w:val="center"/>
          </w:tcPr>
          <w:p>
            <w:pPr>
              <w:pStyle w:val="单元格样式4"/>
            </w:pPr>
            <w:r>
              <w:t xml:space="preserve">72.09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72.09</w:t>
            </w:r>
          </w:p>
        </w:tc>
        <w:tc>
          <w:tcPr>
            <w:tcW w:w="1134" w:type="dxa"/>
            <w:vAlign w:val="center"/>
          </w:tcPr>
          <w:p>
            <w:pPr>
              <w:pStyle w:val="单元格样式4"/>
            </w:pPr>
            <w:r>
              <w:t xml:space="preserve">72.09</w:t>
            </w:r>
          </w:p>
        </w:tc>
        <w:tc>
          <w:tcPr>
            <w:tcW w:w="1134" w:type="dxa"/>
            <w:vAlign w:val="center"/>
          </w:tcPr>
          <w:p>
            <w:pPr>
              <w:pStyle w:val="单元格样式4"/>
            </w:pPr>
            <w:r>
              <w:t xml:space="preserve">72.09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51.16</w:t>
            </w:r>
          </w:p>
        </w:tc>
        <w:tc>
          <w:tcPr>
            <w:tcW w:w="1134" w:type="dxa"/>
            <w:vAlign w:val="center"/>
          </w:tcPr>
          <w:p>
            <w:pPr>
              <w:pStyle w:val="单元格样式4"/>
            </w:pPr>
            <w:r>
              <w:t xml:space="preserve">51.16</w:t>
            </w:r>
          </w:p>
        </w:tc>
        <w:tc>
          <w:tcPr>
            <w:tcW w:w="1134" w:type="dxa"/>
            <w:vAlign w:val="center"/>
          </w:tcPr>
          <w:p>
            <w:pPr>
              <w:pStyle w:val="单元格样式4"/>
            </w:pPr>
            <w:r>
              <w:t xml:space="preserve">51.16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20.92</w:t>
            </w:r>
          </w:p>
        </w:tc>
        <w:tc>
          <w:tcPr>
            <w:tcW w:w="1134" w:type="dxa"/>
            <w:vAlign w:val="center"/>
          </w:tcPr>
          <w:p>
            <w:pPr>
              <w:pStyle w:val="单元格样式4"/>
            </w:pPr>
            <w:r>
              <w:t xml:space="preserve">20.92</w:t>
            </w:r>
          </w:p>
        </w:tc>
        <w:tc>
          <w:tcPr>
            <w:tcW w:w="1134" w:type="dxa"/>
            <w:vAlign w:val="center"/>
          </w:tcPr>
          <w:p>
            <w:pPr>
              <w:pStyle w:val="单元格样式4"/>
            </w:pPr>
            <w:r>
              <w:t xml:space="preserve">20.92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r>
              <w:t xml:space="preserve">23.39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r>
              <w:t xml:space="preserve">25.58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22401</w:t>
            </w:r>
          </w:p>
        </w:tc>
        <w:tc>
          <w:tcPr>
            <w:tcW w:w="1559" w:type="dxa"/>
            <w:vAlign w:val="center"/>
          </w:tcPr>
          <w:p>
            <w:pPr>
              <w:pStyle w:val="单元格样式2"/>
            </w:pPr>
            <w:r>
              <w:t xml:space="preserve">应急管理事务</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2240150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r>
              <w:t xml:space="preserve">333.12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454.18</w:t>
            </w:r>
          </w:p>
        </w:tc>
        <w:tc>
          <w:tcPr>
            <w:tcW w:w="1361" w:type="dxa"/>
            <w:vAlign w:val="center"/>
          </w:tcPr>
          <w:p>
            <w:pPr>
              <w:pStyle w:val="单元格样式7"/>
            </w:pPr>
            <w:r>
              <w:t xml:space="preserve">454.18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72.09</w:t>
            </w:r>
          </w:p>
        </w:tc>
        <w:tc>
          <w:tcPr>
            <w:tcW w:w="1361" w:type="dxa"/>
            <w:vAlign w:val="center"/>
          </w:tcPr>
          <w:p>
            <w:pPr>
              <w:pStyle w:val="单元格样式4"/>
            </w:pPr>
            <w:r>
              <w:t xml:space="preserve">72.09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72.09</w:t>
            </w:r>
          </w:p>
        </w:tc>
        <w:tc>
          <w:tcPr>
            <w:tcW w:w="1361" w:type="dxa"/>
            <w:vAlign w:val="center"/>
          </w:tcPr>
          <w:p>
            <w:pPr>
              <w:pStyle w:val="单元格样式4"/>
            </w:pPr>
            <w:r>
              <w:t xml:space="preserve">72.09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51.16</w:t>
            </w:r>
          </w:p>
        </w:tc>
        <w:tc>
          <w:tcPr>
            <w:tcW w:w="1361" w:type="dxa"/>
            <w:vAlign w:val="center"/>
          </w:tcPr>
          <w:p>
            <w:pPr>
              <w:pStyle w:val="单元格样式4"/>
            </w:pPr>
            <w:r>
              <w:t xml:space="preserve">51.16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20.92</w:t>
            </w:r>
          </w:p>
        </w:tc>
        <w:tc>
          <w:tcPr>
            <w:tcW w:w="1361" w:type="dxa"/>
            <w:vAlign w:val="center"/>
          </w:tcPr>
          <w:p>
            <w:pPr>
              <w:pStyle w:val="单元格样式4"/>
            </w:pPr>
            <w:r>
              <w:t xml:space="preserve">20.92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23.39</w:t>
            </w:r>
          </w:p>
        </w:tc>
        <w:tc>
          <w:tcPr>
            <w:tcW w:w="1361" w:type="dxa"/>
            <w:vAlign w:val="center"/>
          </w:tcPr>
          <w:p>
            <w:pPr>
              <w:pStyle w:val="单元格样式4"/>
            </w:pPr>
            <w:r>
              <w:t xml:space="preserve">23.39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23.39</w:t>
            </w:r>
          </w:p>
        </w:tc>
        <w:tc>
          <w:tcPr>
            <w:tcW w:w="1361" w:type="dxa"/>
            <w:vAlign w:val="center"/>
          </w:tcPr>
          <w:p>
            <w:pPr>
              <w:pStyle w:val="单元格样式4"/>
            </w:pPr>
            <w:r>
              <w:t xml:space="preserve">23.39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23.39</w:t>
            </w:r>
          </w:p>
        </w:tc>
        <w:tc>
          <w:tcPr>
            <w:tcW w:w="1361" w:type="dxa"/>
            <w:vAlign w:val="center"/>
          </w:tcPr>
          <w:p>
            <w:pPr>
              <w:pStyle w:val="单元格样式4"/>
            </w:pPr>
            <w:r>
              <w:t xml:space="preserve">23.39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25.58</w:t>
            </w:r>
          </w:p>
        </w:tc>
        <w:tc>
          <w:tcPr>
            <w:tcW w:w="1361" w:type="dxa"/>
            <w:vAlign w:val="center"/>
          </w:tcPr>
          <w:p>
            <w:pPr>
              <w:pStyle w:val="单元格样式4"/>
            </w:pPr>
            <w:r>
              <w:t xml:space="preserve">25.58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25.58</w:t>
            </w:r>
          </w:p>
        </w:tc>
        <w:tc>
          <w:tcPr>
            <w:tcW w:w="1361" w:type="dxa"/>
            <w:vAlign w:val="center"/>
          </w:tcPr>
          <w:p>
            <w:pPr>
              <w:pStyle w:val="单元格样式4"/>
            </w:pPr>
            <w:r>
              <w:t xml:space="preserve">25.58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25.58</w:t>
            </w:r>
          </w:p>
        </w:tc>
        <w:tc>
          <w:tcPr>
            <w:tcW w:w="1361" w:type="dxa"/>
            <w:vAlign w:val="center"/>
          </w:tcPr>
          <w:p>
            <w:pPr>
              <w:pStyle w:val="单元格样式4"/>
            </w:pPr>
            <w:r>
              <w:t xml:space="preserve">25.58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333.12</w:t>
            </w:r>
          </w:p>
        </w:tc>
        <w:tc>
          <w:tcPr>
            <w:tcW w:w="1361" w:type="dxa"/>
            <w:vAlign w:val="center"/>
          </w:tcPr>
          <w:p>
            <w:pPr>
              <w:pStyle w:val="单元格样式4"/>
            </w:pPr>
            <w:r>
              <w:t xml:space="preserve">333.12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1361" w:type="dxa"/>
            <w:vAlign w:val="center"/>
          </w:tcPr>
          <w:p>
            <w:pPr>
              <w:pStyle w:val="单元格样式4"/>
            </w:pPr>
            <w:r>
              <w:t xml:space="preserve">333.12</w:t>
            </w:r>
          </w:p>
        </w:tc>
        <w:tc>
          <w:tcPr>
            <w:tcW w:w="1361" w:type="dxa"/>
            <w:vAlign w:val="center"/>
          </w:tcPr>
          <w:p>
            <w:pPr>
              <w:pStyle w:val="单元格样式4"/>
            </w:pPr>
            <w:r>
              <w:t xml:space="preserve">333.12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2240150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333.12</w:t>
            </w:r>
          </w:p>
        </w:tc>
        <w:tc>
          <w:tcPr>
            <w:tcW w:w="1361" w:type="dxa"/>
            <w:vAlign w:val="center"/>
          </w:tcPr>
          <w:p>
            <w:pPr>
              <w:pStyle w:val="单元格样式4"/>
            </w:pPr>
            <w:r>
              <w:t xml:space="preserve">333.12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454.18</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72.09</w:t>
            </w:r>
          </w:p>
        </w:tc>
        <w:tc>
          <w:tcPr>
            <w:tcW w:w="1474" w:type="dxa"/>
            <w:vAlign w:val="center"/>
          </w:tcPr>
          <w:p>
            <w:pPr>
              <w:pStyle w:val="单元格样式4"/>
            </w:pPr>
            <w:r>
              <w:t xml:space="preserve">72.09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23.39</w:t>
            </w:r>
          </w:p>
        </w:tc>
        <w:tc>
          <w:tcPr>
            <w:tcW w:w="1474" w:type="dxa"/>
            <w:vAlign w:val="center"/>
          </w:tcPr>
          <w:p>
            <w:pPr>
              <w:pStyle w:val="单元格样式4"/>
            </w:pPr>
            <w:r>
              <w:t xml:space="preserve">23.39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25.58</w:t>
            </w:r>
          </w:p>
        </w:tc>
        <w:tc>
          <w:tcPr>
            <w:tcW w:w="1474" w:type="dxa"/>
            <w:vAlign w:val="center"/>
          </w:tcPr>
          <w:p>
            <w:pPr>
              <w:pStyle w:val="单元格样式4"/>
            </w:pPr>
            <w:r>
              <w:t xml:space="preserve">25.58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333.12</w:t>
            </w:r>
          </w:p>
        </w:tc>
        <w:tc>
          <w:tcPr>
            <w:tcW w:w="1474" w:type="dxa"/>
            <w:vAlign w:val="center"/>
          </w:tcPr>
          <w:p>
            <w:pPr>
              <w:pStyle w:val="单元格样式4"/>
            </w:pPr>
            <w:r>
              <w:t xml:space="preserve">333.12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454.18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454.18</w:t>
            </w:r>
          </w:p>
        </w:tc>
        <w:tc>
          <w:tcPr>
            <w:tcW w:w="1474" w:type="dxa"/>
            <w:vAlign w:val="center"/>
          </w:tcPr>
          <w:p>
            <w:pPr>
              <w:pStyle w:val="单元格样式7"/>
            </w:pPr>
            <w:r>
              <w:t xml:space="preserve">454.18</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454.18</w:t>
            </w:r>
          </w:p>
        </w:tc>
        <w:tc>
          <w:tcPr>
            <w:tcW w:w="3402" w:type="dxa"/>
            <w:vAlign w:val="center"/>
          </w:tcPr>
          <w:p>
            <w:pPr>
              <w:pStyle w:val="单元格样式6"/>
            </w:pPr>
            <w:r>
              <w:t xml:space="preserve">支出总计</w:t>
            </w:r>
          </w:p>
        </w:tc>
        <w:tc>
          <w:tcPr>
            <w:tcW w:w="1474" w:type="dxa"/>
            <w:vAlign w:val="center"/>
          </w:tcPr>
          <w:p>
            <w:pPr>
              <w:pStyle w:val="单元格样式7"/>
            </w:pPr>
            <w:r>
              <w:t xml:space="preserve">454.18</w:t>
            </w:r>
          </w:p>
        </w:tc>
        <w:tc>
          <w:tcPr>
            <w:tcW w:w="1474" w:type="dxa"/>
            <w:vAlign w:val="center"/>
          </w:tcPr>
          <w:p>
            <w:pPr>
              <w:pStyle w:val="单元格样式7"/>
            </w:pPr>
            <w:r>
              <w:t xml:space="preserve">454.18</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454.18</w:t>
            </w:r>
          </w:p>
        </w:tc>
        <w:tc>
          <w:tcPr>
            <w:tcW w:w="2551" w:type="dxa"/>
            <w:vAlign w:val="center"/>
          </w:tcPr>
          <w:p>
            <w:pPr>
              <w:pStyle w:val="单元格样式7"/>
            </w:pPr>
            <w:r>
              <w:t xml:space="preserve">454.18</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72.09</w:t>
            </w:r>
          </w:p>
        </w:tc>
        <w:tc>
          <w:tcPr>
            <w:tcW w:w="2551" w:type="dxa"/>
            <w:vAlign w:val="center"/>
          </w:tcPr>
          <w:p>
            <w:pPr>
              <w:pStyle w:val="单元格样式4"/>
            </w:pPr>
            <w:r>
              <w:t xml:space="preserve">72.09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72.09</w:t>
            </w:r>
          </w:p>
        </w:tc>
        <w:tc>
          <w:tcPr>
            <w:tcW w:w="2551" w:type="dxa"/>
            <w:vAlign w:val="center"/>
          </w:tcPr>
          <w:p>
            <w:pPr>
              <w:pStyle w:val="单元格样式4"/>
            </w:pPr>
            <w:r>
              <w:t xml:space="preserve">72.09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51.16</w:t>
            </w:r>
          </w:p>
        </w:tc>
        <w:tc>
          <w:tcPr>
            <w:tcW w:w="2551" w:type="dxa"/>
            <w:vAlign w:val="center"/>
          </w:tcPr>
          <w:p>
            <w:pPr>
              <w:pStyle w:val="单元格样式4"/>
            </w:pPr>
            <w:r>
              <w:t xml:space="preserve">51.16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20.92</w:t>
            </w:r>
          </w:p>
        </w:tc>
        <w:tc>
          <w:tcPr>
            <w:tcW w:w="2551" w:type="dxa"/>
            <w:vAlign w:val="center"/>
          </w:tcPr>
          <w:p>
            <w:pPr>
              <w:pStyle w:val="单元格样式4"/>
            </w:pPr>
            <w:r>
              <w:t xml:space="preserve">20.92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23.39</w:t>
            </w:r>
          </w:p>
        </w:tc>
        <w:tc>
          <w:tcPr>
            <w:tcW w:w="2551" w:type="dxa"/>
            <w:vAlign w:val="center"/>
          </w:tcPr>
          <w:p>
            <w:pPr>
              <w:pStyle w:val="单元格样式4"/>
            </w:pPr>
            <w:r>
              <w:t xml:space="preserve">23.39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23.39</w:t>
            </w:r>
          </w:p>
        </w:tc>
        <w:tc>
          <w:tcPr>
            <w:tcW w:w="2551" w:type="dxa"/>
            <w:vAlign w:val="center"/>
          </w:tcPr>
          <w:p>
            <w:pPr>
              <w:pStyle w:val="单元格样式4"/>
            </w:pPr>
            <w:r>
              <w:t xml:space="preserve">23.39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23.39</w:t>
            </w:r>
          </w:p>
        </w:tc>
        <w:tc>
          <w:tcPr>
            <w:tcW w:w="2551" w:type="dxa"/>
            <w:vAlign w:val="center"/>
          </w:tcPr>
          <w:p>
            <w:pPr>
              <w:pStyle w:val="单元格样式4"/>
            </w:pPr>
            <w:r>
              <w:t xml:space="preserve">23.39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25.58</w:t>
            </w:r>
          </w:p>
        </w:tc>
        <w:tc>
          <w:tcPr>
            <w:tcW w:w="2551" w:type="dxa"/>
            <w:vAlign w:val="center"/>
          </w:tcPr>
          <w:p>
            <w:pPr>
              <w:pStyle w:val="单元格样式4"/>
            </w:pPr>
            <w:r>
              <w:t xml:space="preserve">25.58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25.58</w:t>
            </w:r>
          </w:p>
        </w:tc>
        <w:tc>
          <w:tcPr>
            <w:tcW w:w="2551" w:type="dxa"/>
            <w:vAlign w:val="center"/>
          </w:tcPr>
          <w:p>
            <w:pPr>
              <w:pStyle w:val="单元格样式4"/>
            </w:pPr>
            <w:r>
              <w:t xml:space="preserve">25.58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25.58</w:t>
            </w:r>
          </w:p>
        </w:tc>
        <w:tc>
          <w:tcPr>
            <w:tcW w:w="2551" w:type="dxa"/>
            <w:vAlign w:val="center"/>
          </w:tcPr>
          <w:p>
            <w:pPr>
              <w:pStyle w:val="单元格样式4"/>
            </w:pPr>
            <w:r>
              <w:t xml:space="preserve">25.58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333.12</w:t>
            </w:r>
          </w:p>
        </w:tc>
        <w:tc>
          <w:tcPr>
            <w:tcW w:w="2551" w:type="dxa"/>
            <w:vAlign w:val="center"/>
          </w:tcPr>
          <w:p>
            <w:pPr>
              <w:pStyle w:val="单元格样式4"/>
            </w:pPr>
            <w:r>
              <w:t xml:space="preserve">333.12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2551" w:type="dxa"/>
            <w:vAlign w:val="center"/>
          </w:tcPr>
          <w:p>
            <w:pPr>
              <w:pStyle w:val="单元格样式4"/>
            </w:pPr>
            <w:r>
              <w:t xml:space="preserve">333.12</w:t>
            </w:r>
          </w:p>
        </w:tc>
        <w:tc>
          <w:tcPr>
            <w:tcW w:w="2551" w:type="dxa"/>
            <w:vAlign w:val="center"/>
          </w:tcPr>
          <w:p>
            <w:pPr>
              <w:pStyle w:val="单元格样式4"/>
            </w:pPr>
            <w:r>
              <w:t xml:space="preserve">333.12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2240150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333.12</w:t>
            </w:r>
          </w:p>
        </w:tc>
        <w:tc>
          <w:tcPr>
            <w:tcW w:w="2551" w:type="dxa"/>
            <w:vAlign w:val="center"/>
          </w:tcPr>
          <w:p>
            <w:pPr>
              <w:pStyle w:val="单元格样式4"/>
            </w:pPr>
            <w:r>
              <w:t xml:space="preserve">333.12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454.18</w:t>
            </w:r>
          </w:p>
        </w:tc>
        <w:tc>
          <w:tcPr>
            <w:tcW w:w="2551" w:type="dxa"/>
            <w:vAlign w:val="center"/>
          </w:tcPr>
          <w:p>
            <w:pPr>
              <w:pStyle w:val="单元格样式7"/>
            </w:pPr>
            <w:r>
              <w:t xml:space="preserve">445.16</w:t>
            </w:r>
          </w:p>
        </w:tc>
        <w:tc>
          <w:tcPr>
            <w:tcW w:w="2551" w:type="dxa"/>
            <w:vAlign w:val="center"/>
          </w:tcPr>
          <w:p>
            <w:pPr>
              <w:pStyle w:val="单元格样式7"/>
            </w:pPr>
            <w:r>
              <w:t xml:space="preserve">9.02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439.38</w:t>
            </w:r>
          </w:p>
        </w:tc>
        <w:tc>
          <w:tcPr>
            <w:tcW w:w="2551" w:type="dxa"/>
            <w:vAlign w:val="center"/>
          </w:tcPr>
          <w:p>
            <w:pPr>
              <w:pStyle w:val="单元格样式4"/>
            </w:pPr>
            <w:r>
              <w:t xml:space="preserve">439.38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196.27</w:t>
            </w:r>
          </w:p>
        </w:tc>
        <w:tc>
          <w:tcPr>
            <w:tcW w:w="2551" w:type="dxa"/>
            <w:vAlign w:val="center"/>
          </w:tcPr>
          <w:p>
            <w:pPr>
              <w:pStyle w:val="单元格样式4"/>
            </w:pPr>
            <w:r>
              <w:t xml:space="preserve">196.27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18.45</w:t>
            </w:r>
          </w:p>
        </w:tc>
        <w:tc>
          <w:tcPr>
            <w:tcW w:w="2551" w:type="dxa"/>
            <w:vAlign w:val="center"/>
          </w:tcPr>
          <w:p>
            <w:pPr>
              <w:pStyle w:val="单元格样式4"/>
            </w:pPr>
            <w:r>
              <w:t xml:space="preserve">18.45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100.21</w:t>
            </w:r>
          </w:p>
        </w:tc>
        <w:tc>
          <w:tcPr>
            <w:tcW w:w="2551" w:type="dxa"/>
            <w:vAlign w:val="center"/>
          </w:tcPr>
          <w:p>
            <w:pPr>
              <w:pStyle w:val="单元格样式4"/>
            </w:pPr>
            <w:r>
              <w:t xml:space="preserve">100.21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51.16</w:t>
            </w:r>
          </w:p>
        </w:tc>
        <w:tc>
          <w:tcPr>
            <w:tcW w:w="2551" w:type="dxa"/>
            <w:vAlign w:val="center"/>
          </w:tcPr>
          <w:p>
            <w:pPr>
              <w:pStyle w:val="单元格样式4"/>
            </w:pPr>
            <w:r>
              <w:t xml:space="preserve">51.16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20.92</w:t>
            </w:r>
          </w:p>
        </w:tc>
        <w:tc>
          <w:tcPr>
            <w:tcW w:w="2551" w:type="dxa"/>
            <w:vAlign w:val="center"/>
          </w:tcPr>
          <w:p>
            <w:pPr>
              <w:pStyle w:val="单元格样式4"/>
            </w:pPr>
            <w:r>
              <w:t xml:space="preserve">20.92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23.39</w:t>
            </w:r>
          </w:p>
        </w:tc>
        <w:tc>
          <w:tcPr>
            <w:tcW w:w="2551" w:type="dxa"/>
            <w:vAlign w:val="center"/>
          </w:tcPr>
          <w:p>
            <w:pPr>
              <w:pStyle w:val="单元格样式4"/>
            </w:pPr>
            <w:r>
              <w:t xml:space="preserve">23.39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3.39</w:t>
            </w:r>
          </w:p>
        </w:tc>
        <w:tc>
          <w:tcPr>
            <w:tcW w:w="2551" w:type="dxa"/>
            <w:vAlign w:val="center"/>
          </w:tcPr>
          <w:p>
            <w:pPr>
              <w:pStyle w:val="单元格样式4"/>
            </w:pPr>
            <w:r>
              <w:t xml:space="preserve">3.39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25.58</w:t>
            </w:r>
          </w:p>
        </w:tc>
        <w:tc>
          <w:tcPr>
            <w:tcW w:w="2551" w:type="dxa"/>
            <w:vAlign w:val="center"/>
          </w:tcPr>
          <w:p>
            <w:pPr>
              <w:pStyle w:val="单元格样式4"/>
            </w:pPr>
            <w:r>
              <w:t xml:space="preserve">25.58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9.02</w:t>
            </w:r>
          </w:p>
        </w:tc>
        <w:tc>
          <w:tcPr>
            <w:tcW w:w="2551" w:type="dxa"/>
            <w:vAlign w:val="center"/>
          </w:tcPr>
          <w:p>
            <w:pPr>
              <w:pStyle w:val="单元格样式4"/>
            </w:pPr>
          </w:p>
        </w:tc>
        <w:tc>
          <w:tcPr>
            <w:tcW w:w="2551" w:type="dxa"/>
            <w:vAlign w:val="center"/>
          </w:tcPr>
          <w:p>
            <w:pPr>
              <w:pStyle w:val="单元格样式4"/>
            </w:pPr>
            <w:r>
              <w:t xml:space="preserve">9.02</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6.15</w:t>
            </w:r>
          </w:p>
        </w:tc>
        <w:tc>
          <w:tcPr>
            <w:tcW w:w="2551" w:type="dxa"/>
            <w:vAlign w:val="center"/>
          </w:tcPr>
          <w:p>
            <w:pPr>
              <w:pStyle w:val="单元格样式4"/>
            </w:pPr>
          </w:p>
        </w:tc>
        <w:tc>
          <w:tcPr>
            <w:tcW w:w="2551" w:type="dxa"/>
            <w:vAlign w:val="center"/>
          </w:tcPr>
          <w:p>
            <w:pPr>
              <w:pStyle w:val="单元格样式4"/>
            </w:pPr>
            <w:r>
              <w:t xml:space="preserve">6.15</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2.87</w:t>
            </w:r>
          </w:p>
        </w:tc>
        <w:tc>
          <w:tcPr>
            <w:tcW w:w="2551" w:type="dxa"/>
            <w:vAlign w:val="center"/>
          </w:tcPr>
          <w:p>
            <w:pPr>
              <w:pStyle w:val="单元格样式4"/>
            </w:pPr>
          </w:p>
        </w:tc>
        <w:tc>
          <w:tcPr>
            <w:tcW w:w="2551" w:type="dxa"/>
            <w:vAlign w:val="center"/>
          </w:tcPr>
          <w:p>
            <w:pPr>
              <w:pStyle w:val="单元格样式4"/>
            </w:pPr>
            <w:r>
              <w:t xml:space="preserve">2.87</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5.78</w:t>
            </w:r>
          </w:p>
        </w:tc>
        <w:tc>
          <w:tcPr>
            <w:tcW w:w="2551" w:type="dxa"/>
            <w:vAlign w:val="center"/>
          </w:tcPr>
          <w:p>
            <w:pPr>
              <w:pStyle w:val="单元格样式4"/>
            </w:pPr>
            <w:r>
              <w:t xml:space="preserve">5.78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4.78</w:t>
            </w:r>
          </w:p>
        </w:tc>
        <w:tc>
          <w:tcPr>
            <w:tcW w:w="2551" w:type="dxa"/>
            <w:vAlign w:val="center"/>
          </w:tcPr>
          <w:p>
            <w:pPr>
              <w:pStyle w:val="单元格样式4"/>
            </w:pPr>
            <w:r>
              <w:t xml:space="preserve">4.78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1.00</w:t>
            </w:r>
          </w:p>
        </w:tc>
        <w:tc>
          <w:tcPr>
            <w:tcW w:w="2551" w:type="dxa"/>
            <w:vAlign w:val="center"/>
          </w:tcPr>
          <w:p>
            <w:pPr>
              <w:pStyle w:val="单元格样式4"/>
            </w:pPr>
            <w:r>
              <w:t xml:space="preserve">1.00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昌黎县应急管理局（事业）2026年单位预算信息公开情况说明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按照《中华人民共和国预算法》、《地方预决算公开操作规程》和《关于进一步推进预算公开工作的实施意见》规定，现将昌黎县应急管理局（事业）2026年单位预算公开如下：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1、负责应急管理工作，指导各级各部门应对安全生产类、自然灾害类等突发事件和综合防灾减灾救灾工作。负责安全生产综合监督管理和工矿商贸行业安全生产监督管理工作。</w:t>
      </w:r>
    </w:p>
    <w:p>
      <w:pPr>
        <w:pStyle w:val="插入文本样式-插入单位职责文件"/>
      </w:pPr>
      <w:r>
        <w:t xml:space="preserve">2、落实应急管理、安全生产等政策规定，组织编制县应急体系建设、安全生产和综合防灾减灾规划，起草政府规章草案。</w:t>
      </w:r>
    </w:p>
    <w:p>
      <w:pPr>
        <w:pStyle w:val="插入文本样式-插入单位职责文件"/>
      </w:pPr>
      <w:r>
        <w:t xml:space="preserve">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插入文本样式-插入单位职责文件"/>
      </w:pPr>
      <w:r>
        <w:t xml:space="preserve">4、牵头建立统一的全县应急管理信息系统，负责信息传输渠道的规划和布局，建立监测预警和灾情报告制度，健全自然灾害信息资源获取和共享机制，依法统一发布灾情。</w:t>
      </w:r>
    </w:p>
    <w:p>
      <w:pPr>
        <w:pStyle w:val="插入文本样式-插入单位职责文件"/>
      </w:pPr>
      <w:r>
        <w:t xml:space="preserve">5、组织指导协调安全生产类、自然灾害类等突发事件应急救援，承担县应对重大灾害指挥部工作，综合研判突发事件发展态势并提出应对建议，协助县委、县政府指定的负责同志组织灾害应急处置工作。</w:t>
      </w:r>
    </w:p>
    <w:p>
      <w:pPr>
        <w:pStyle w:val="插入文本样式-插入单位职责文件"/>
      </w:pPr>
      <w:r>
        <w:t xml:space="preserve">6、统一协调指挥各类应急专业队伍，建立应急协调联动机制，推进指挥平台对接。衔接解放军和武警部队参与应急救援工作。</w:t>
      </w:r>
    </w:p>
    <w:p>
      <w:pPr>
        <w:pStyle w:val="插入文本样式-插入单位职责文件"/>
      </w:pPr>
      <w:r>
        <w:t xml:space="preserve">7、统筹应急救援力量建设，负责消防、抗洪抢险、地震和地质灾害救援、生产安全事故救援等专业应急救授力量建设。管理县综合性应急救援队伍，指导各级及社会应急救援力量建设。</w:t>
      </w:r>
    </w:p>
    <w:p>
      <w:pPr>
        <w:pStyle w:val="插入文本样式-插入单位职责文件"/>
      </w:pPr>
      <w:r>
        <w:t xml:space="preserve">8、组织协调消防工作。指导各级消防监督、火灾预防、火灾扑救等工作。</w:t>
      </w:r>
    </w:p>
    <w:p>
      <w:pPr>
        <w:pStyle w:val="插入文本样式-插入单位职责文件"/>
      </w:pPr>
      <w:r>
        <w:t xml:space="preserve">9、指导协调森林火灾、水旱灾害、地震和地质灾害等防治工作，负责自然灾害综合监测预警工作，指导开展自然灾害综合风险评估工作。</w:t>
      </w:r>
    </w:p>
    <w:p>
      <w:pPr>
        <w:pStyle w:val="插入文本样式-插入单位职责文件"/>
      </w:pPr>
      <w:r>
        <w:t xml:space="preserve">10、组织协调灾害救助工作。组织指导灾情核查、损失评估、救灾捐赠工作，管理、分配县救灾款物并监督使用。</w:t>
      </w:r>
    </w:p>
    <w:p>
      <w:pPr>
        <w:pStyle w:val="插入文本样式-插入单位职责文件"/>
      </w:pPr>
      <w:r>
        <w:t xml:space="preserve">11、依法行使县安委会监督管理职权，指导协调、监督检查县有关部门和各乡镇政府的安全生产工作。组织开展安全生产巡查、考核工作。</w:t>
      </w:r>
    </w:p>
    <w:p>
      <w:pPr>
        <w:pStyle w:val="插入文本样式-插入单位职责文件"/>
      </w:pPr>
      <w:r>
        <w:t xml:space="preserve">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插入文本样式-插入单位职责文件"/>
      </w:pPr>
      <w:r>
        <w:t xml:space="preserve">13、依法组织指导生产安全事故调查处理，监督事故查处和责任追究落实情况。组织开展自然灾害类突发事件的调查评估工作。</w:t>
      </w:r>
    </w:p>
    <w:p>
      <w:pPr>
        <w:pStyle w:val="插入文本样式-插入单位职责文件"/>
      </w:pPr>
      <w:r>
        <w:t xml:space="preserve">14、制定应急物资储备和应急救援装备规划并组织实施，会同县发改局（县粮食和物资储备局）等部门建立健全应急物资信息平台和调拨制度，在救灾时统一调度。</w:t>
      </w:r>
    </w:p>
    <w:p>
      <w:pPr>
        <w:pStyle w:val="插入文本样式-插入单位职责文件"/>
      </w:pPr>
      <w:r>
        <w:t xml:space="preserve">15、负责应急管理、安全生产宣传教育和培训工作，组织指导应急管理、安全生产的科学技术研究、推广应用和信息化建设工作。</w:t>
      </w:r>
    </w:p>
    <w:p>
      <w:pPr>
        <w:pStyle w:val="插入文本样式-插入单位职责文件"/>
      </w:pPr>
      <w:r>
        <w:t xml:space="preserve">16、负责组织指导协调和监督全县安全生产行政执法工作，组织开展对县属企业及驻昌中央、省、市企业的执法检查，组织开展对安全生产重点企业的执法检查。</w:t>
      </w:r>
    </w:p>
    <w:p>
      <w:pPr>
        <w:pStyle w:val="插入文本样式-插入单位职责文件"/>
      </w:pPr>
      <w:r>
        <w:t xml:space="preserve">17、组织开展应急管理方面的对外交流与合作。</w:t>
      </w:r>
    </w:p>
    <w:p>
      <w:pPr>
        <w:pStyle w:val="插入文本样式-插入单位职责文件"/>
      </w:pPr>
      <w:r>
        <w:t xml:space="preserve">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插入文本样式-插入单位职责文件"/>
      </w:pPr>
      <w:r>
        <w:t xml:space="preserve">19、完成县委、县政府交办的其他任务。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昌黎县应急管理局（事业）</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454.18万元，其中：一般公共预算收入454.18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昌黎县应急管理局（事业）年度单位预算中支出预算的总体情况。2026年支出预算454.18万元，其中基本支出454.18万元，包括人员经费445.16万元和日常公用经费9.02万元；项目支出0.00万元，主要为本单位无项目安排；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454.18万元，较2025年预算增加41.60万元，其中：基本支出增加41.60万元，主要为人员工资调标及保险调基支出。项目支出增加0.00万元，主要为本单位无项目安排。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2026年，我单位机关运行经费共计安排9.02万元，主要用于日常维修、办公用房水电费、办公用房取暖费、办公用房物业管理费等日常运行支出。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无三公经费安排。</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昌黎县应急管理局（事业）上年末固定资产金额为0.00万元（详见下表）。本年度拟购置固定资产总额为0.00万元，已按要求列入政府采购预算，详见政府采购预算表。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426003昌黎县应急管理局（事业）</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50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51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53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2026-01-30T12:19:32Z</dcterms:created>
  <dcterms:modified xsi:type="dcterms:W3CDTF">2026-01-30T12:19:32Z</dcterms:modified>
</cp:coreProperties>
</file>