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759.49</w:t>
            </w:r>
          </w:p>
        </w:tc>
        <w:tc>
          <w:tcPr>
            <w:tcW w:w="4535" w:type="dxa"/>
            <w:vAlign w:val="center"/>
          </w:tcPr>
          <w:p>
            <w:pPr>
              <w:pStyle w:val="13"/>
            </w:pPr>
            <w:r>
              <w:t>一、一般公共服务支出</w:t>
            </w:r>
          </w:p>
        </w:tc>
        <w:tc>
          <w:tcPr>
            <w:tcW w:w="2126" w:type="dxa"/>
            <w:vAlign w:val="center"/>
          </w:tcPr>
          <w:p>
            <w:pPr>
              <w:pStyle w:val="12"/>
            </w:pPr>
            <w:r>
              <w:t>617.73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759.49</w:t>
            </w:r>
          </w:p>
        </w:tc>
        <w:tc>
          <w:tcPr>
            <w:tcW w:w="4535" w:type="dxa"/>
            <w:vAlign w:val="center"/>
          </w:tcPr>
          <w:p>
            <w:pPr>
              <w:pStyle w:val="15"/>
            </w:pPr>
            <w:r>
              <w:t>本年支出合计</w:t>
            </w:r>
          </w:p>
        </w:tc>
        <w:tc>
          <w:tcPr>
            <w:tcW w:w="2126" w:type="dxa"/>
            <w:vAlign w:val="center"/>
          </w:tcPr>
          <w:p>
            <w:pPr>
              <w:pStyle w:val="16"/>
            </w:pPr>
            <w:r>
              <w:t>759.49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759.49</w:t>
            </w:r>
          </w:p>
        </w:tc>
        <w:tc>
          <w:tcPr>
            <w:tcW w:w="4535" w:type="dxa"/>
            <w:vAlign w:val="center"/>
          </w:tcPr>
          <w:p>
            <w:pPr>
              <w:pStyle w:val="15"/>
            </w:pPr>
            <w:r>
              <w:t>支出总计</w:t>
            </w:r>
          </w:p>
        </w:tc>
        <w:tc>
          <w:tcPr>
            <w:tcW w:w="2126" w:type="dxa"/>
            <w:vAlign w:val="center"/>
          </w:tcPr>
          <w:p>
            <w:pPr>
              <w:pStyle w:val="16"/>
            </w:pPr>
            <w:r>
              <w:t>759.49</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759.49</w:t>
            </w:r>
          </w:p>
        </w:tc>
        <w:tc>
          <w:tcPr>
            <w:tcW w:w="1134" w:type="dxa"/>
            <w:vAlign w:val="center"/>
          </w:tcPr>
          <w:p>
            <w:pPr>
              <w:pStyle w:val="16"/>
            </w:pPr>
            <w:r>
              <w:t>759.49</w:t>
            </w:r>
          </w:p>
        </w:tc>
        <w:tc>
          <w:tcPr>
            <w:tcW w:w="1134" w:type="dxa"/>
            <w:vAlign w:val="center"/>
          </w:tcPr>
          <w:p>
            <w:pPr>
              <w:pStyle w:val="16"/>
            </w:pPr>
            <w:r>
              <w:t>759.49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617.73</w:t>
            </w:r>
          </w:p>
        </w:tc>
        <w:tc>
          <w:tcPr>
            <w:tcW w:w="1134" w:type="dxa"/>
            <w:vAlign w:val="center"/>
          </w:tcPr>
          <w:p>
            <w:pPr>
              <w:pStyle w:val="12"/>
            </w:pPr>
            <w:r>
              <w:t>617.73</w:t>
            </w:r>
          </w:p>
        </w:tc>
        <w:tc>
          <w:tcPr>
            <w:tcW w:w="1134" w:type="dxa"/>
            <w:vAlign w:val="center"/>
          </w:tcPr>
          <w:p>
            <w:pPr>
              <w:pStyle w:val="12"/>
            </w:pPr>
            <w:r>
              <w:t>617.73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617.73</w:t>
            </w:r>
          </w:p>
        </w:tc>
        <w:tc>
          <w:tcPr>
            <w:tcW w:w="1134" w:type="dxa"/>
            <w:vAlign w:val="center"/>
          </w:tcPr>
          <w:p>
            <w:pPr>
              <w:pStyle w:val="12"/>
            </w:pPr>
            <w:r>
              <w:t>617.73</w:t>
            </w:r>
          </w:p>
        </w:tc>
        <w:tc>
          <w:tcPr>
            <w:tcW w:w="1134" w:type="dxa"/>
            <w:vAlign w:val="center"/>
          </w:tcPr>
          <w:p>
            <w:pPr>
              <w:pStyle w:val="12"/>
            </w:pPr>
            <w:r>
              <w:t>617.73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474.86</w:t>
            </w:r>
          </w:p>
        </w:tc>
        <w:tc>
          <w:tcPr>
            <w:tcW w:w="1134" w:type="dxa"/>
            <w:vAlign w:val="center"/>
          </w:tcPr>
          <w:p>
            <w:pPr>
              <w:pStyle w:val="12"/>
            </w:pPr>
            <w:r>
              <w:t>474.86</w:t>
            </w:r>
          </w:p>
        </w:tc>
        <w:tc>
          <w:tcPr>
            <w:tcW w:w="1134" w:type="dxa"/>
            <w:vAlign w:val="center"/>
          </w:tcPr>
          <w:p>
            <w:pPr>
              <w:pStyle w:val="12"/>
            </w:pPr>
            <w:r>
              <w:t>474.86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2013150</w:t>
            </w:r>
          </w:p>
        </w:tc>
        <w:tc>
          <w:tcPr>
            <w:tcW w:w="1559" w:type="dxa"/>
            <w:vAlign w:val="center"/>
          </w:tcPr>
          <w:p>
            <w:pPr>
              <w:pStyle w:val="13"/>
            </w:pPr>
            <w:r>
              <w:t>事业运行</w:t>
            </w:r>
          </w:p>
        </w:tc>
        <w:tc>
          <w:tcPr>
            <w:tcW w:w="1134" w:type="dxa"/>
            <w:vAlign w:val="center"/>
          </w:tcPr>
          <w:p>
            <w:pPr>
              <w:pStyle w:val="12"/>
            </w:pPr>
            <w:r>
              <w:t>102.87</w:t>
            </w:r>
          </w:p>
        </w:tc>
        <w:tc>
          <w:tcPr>
            <w:tcW w:w="1134" w:type="dxa"/>
            <w:vAlign w:val="center"/>
          </w:tcPr>
          <w:p>
            <w:pPr>
              <w:pStyle w:val="12"/>
            </w:pPr>
            <w:r>
              <w:t>102.87</w:t>
            </w:r>
          </w:p>
        </w:tc>
        <w:tc>
          <w:tcPr>
            <w:tcW w:w="1134" w:type="dxa"/>
            <w:vAlign w:val="center"/>
          </w:tcPr>
          <w:p>
            <w:pPr>
              <w:pStyle w:val="12"/>
            </w:pPr>
            <w:r>
              <w:t>102.87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r>
              <w:t>70.84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35.50</w:t>
            </w:r>
          </w:p>
        </w:tc>
        <w:tc>
          <w:tcPr>
            <w:tcW w:w="1134" w:type="dxa"/>
            <w:vAlign w:val="center"/>
          </w:tcPr>
          <w:p>
            <w:pPr>
              <w:pStyle w:val="12"/>
            </w:pPr>
            <w:r>
              <w:t>35.50</w:t>
            </w:r>
          </w:p>
        </w:tc>
        <w:tc>
          <w:tcPr>
            <w:tcW w:w="1134" w:type="dxa"/>
            <w:vAlign w:val="center"/>
          </w:tcPr>
          <w:p>
            <w:pPr>
              <w:pStyle w:val="12"/>
            </w:pPr>
            <w:r>
              <w:t>35.50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35.50</w:t>
            </w:r>
          </w:p>
        </w:tc>
        <w:tc>
          <w:tcPr>
            <w:tcW w:w="1134" w:type="dxa"/>
            <w:vAlign w:val="center"/>
          </w:tcPr>
          <w:p>
            <w:pPr>
              <w:pStyle w:val="12"/>
            </w:pPr>
            <w:r>
              <w:t>35.50</w:t>
            </w:r>
          </w:p>
        </w:tc>
        <w:tc>
          <w:tcPr>
            <w:tcW w:w="1134" w:type="dxa"/>
            <w:vAlign w:val="center"/>
          </w:tcPr>
          <w:p>
            <w:pPr>
              <w:pStyle w:val="12"/>
            </w:pPr>
            <w:r>
              <w:t>35.50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27.42</w:t>
            </w:r>
          </w:p>
        </w:tc>
        <w:tc>
          <w:tcPr>
            <w:tcW w:w="1134" w:type="dxa"/>
            <w:vAlign w:val="center"/>
          </w:tcPr>
          <w:p>
            <w:pPr>
              <w:pStyle w:val="12"/>
            </w:pPr>
            <w:r>
              <w:t>27.42</w:t>
            </w:r>
          </w:p>
        </w:tc>
        <w:tc>
          <w:tcPr>
            <w:tcW w:w="1134" w:type="dxa"/>
            <w:vAlign w:val="center"/>
          </w:tcPr>
          <w:p>
            <w:pPr>
              <w:pStyle w:val="12"/>
            </w:pPr>
            <w:r>
              <w:t>27.42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8.08</w:t>
            </w:r>
          </w:p>
        </w:tc>
        <w:tc>
          <w:tcPr>
            <w:tcW w:w="1134" w:type="dxa"/>
            <w:vAlign w:val="center"/>
          </w:tcPr>
          <w:p>
            <w:pPr>
              <w:pStyle w:val="12"/>
            </w:pPr>
            <w:r>
              <w:t>8.08</w:t>
            </w:r>
          </w:p>
        </w:tc>
        <w:tc>
          <w:tcPr>
            <w:tcW w:w="1134" w:type="dxa"/>
            <w:vAlign w:val="center"/>
          </w:tcPr>
          <w:p>
            <w:pPr>
              <w:pStyle w:val="12"/>
            </w:pPr>
            <w:r>
              <w:t>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r>
              <w:t>35.42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759.49</w:t>
            </w:r>
          </w:p>
        </w:tc>
        <w:tc>
          <w:tcPr>
            <w:tcW w:w="1361" w:type="dxa"/>
            <w:vAlign w:val="center"/>
          </w:tcPr>
          <w:p>
            <w:pPr>
              <w:pStyle w:val="16"/>
            </w:pPr>
            <w:r>
              <w:t>719.49</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617.73</w:t>
            </w:r>
          </w:p>
        </w:tc>
        <w:tc>
          <w:tcPr>
            <w:tcW w:w="1361" w:type="dxa"/>
            <w:vAlign w:val="center"/>
          </w:tcPr>
          <w:p>
            <w:pPr>
              <w:pStyle w:val="12"/>
            </w:pPr>
            <w:r>
              <w:t>577.73</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617.73</w:t>
            </w:r>
          </w:p>
        </w:tc>
        <w:tc>
          <w:tcPr>
            <w:tcW w:w="1361" w:type="dxa"/>
            <w:vAlign w:val="center"/>
          </w:tcPr>
          <w:p>
            <w:pPr>
              <w:pStyle w:val="12"/>
            </w:pPr>
            <w:r>
              <w:t>577.73</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474.86</w:t>
            </w:r>
          </w:p>
        </w:tc>
        <w:tc>
          <w:tcPr>
            <w:tcW w:w="1361" w:type="dxa"/>
            <w:vAlign w:val="center"/>
          </w:tcPr>
          <w:p>
            <w:pPr>
              <w:pStyle w:val="12"/>
            </w:pPr>
            <w:r>
              <w:t>474.86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2013150</w:t>
            </w:r>
          </w:p>
        </w:tc>
        <w:tc>
          <w:tcPr>
            <w:tcW w:w="4535" w:type="dxa"/>
            <w:vAlign w:val="center"/>
          </w:tcPr>
          <w:p>
            <w:pPr>
              <w:pStyle w:val="13"/>
            </w:pPr>
            <w:r>
              <w:t>事业运行</w:t>
            </w:r>
          </w:p>
        </w:tc>
        <w:tc>
          <w:tcPr>
            <w:tcW w:w="1361" w:type="dxa"/>
            <w:vAlign w:val="center"/>
          </w:tcPr>
          <w:p>
            <w:pPr>
              <w:pStyle w:val="12"/>
            </w:pPr>
            <w:r>
              <w:t>102.87</w:t>
            </w:r>
          </w:p>
        </w:tc>
        <w:tc>
          <w:tcPr>
            <w:tcW w:w="1361" w:type="dxa"/>
            <w:vAlign w:val="center"/>
          </w:tcPr>
          <w:p>
            <w:pPr>
              <w:pStyle w:val="12"/>
            </w:pPr>
            <w:r>
              <w:t>102.87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70.84</w:t>
            </w:r>
          </w:p>
        </w:tc>
        <w:tc>
          <w:tcPr>
            <w:tcW w:w="1361" w:type="dxa"/>
            <w:vAlign w:val="center"/>
          </w:tcPr>
          <w:p>
            <w:pPr>
              <w:pStyle w:val="12"/>
            </w:pPr>
            <w:r>
              <w:t>70.84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70.84</w:t>
            </w:r>
          </w:p>
        </w:tc>
        <w:tc>
          <w:tcPr>
            <w:tcW w:w="1361" w:type="dxa"/>
            <w:vAlign w:val="center"/>
          </w:tcPr>
          <w:p>
            <w:pPr>
              <w:pStyle w:val="12"/>
            </w:pPr>
            <w:r>
              <w:t>70.84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70.84</w:t>
            </w:r>
          </w:p>
        </w:tc>
        <w:tc>
          <w:tcPr>
            <w:tcW w:w="1361" w:type="dxa"/>
            <w:vAlign w:val="center"/>
          </w:tcPr>
          <w:p>
            <w:pPr>
              <w:pStyle w:val="12"/>
            </w:pPr>
            <w:r>
              <w:t>70.84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35.50</w:t>
            </w:r>
          </w:p>
        </w:tc>
        <w:tc>
          <w:tcPr>
            <w:tcW w:w="1361" w:type="dxa"/>
            <w:vAlign w:val="center"/>
          </w:tcPr>
          <w:p>
            <w:pPr>
              <w:pStyle w:val="12"/>
            </w:pPr>
            <w:r>
              <w:t>35.50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35.50</w:t>
            </w:r>
          </w:p>
        </w:tc>
        <w:tc>
          <w:tcPr>
            <w:tcW w:w="1361" w:type="dxa"/>
            <w:vAlign w:val="center"/>
          </w:tcPr>
          <w:p>
            <w:pPr>
              <w:pStyle w:val="12"/>
            </w:pPr>
            <w:r>
              <w:t>35.50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27.42</w:t>
            </w:r>
          </w:p>
        </w:tc>
        <w:tc>
          <w:tcPr>
            <w:tcW w:w="1361" w:type="dxa"/>
            <w:vAlign w:val="center"/>
          </w:tcPr>
          <w:p>
            <w:pPr>
              <w:pStyle w:val="12"/>
            </w:pPr>
            <w:r>
              <w:t>27.42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8.08</w:t>
            </w:r>
          </w:p>
        </w:tc>
        <w:tc>
          <w:tcPr>
            <w:tcW w:w="1361" w:type="dxa"/>
            <w:vAlign w:val="center"/>
          </w:tcPr>
          <w:p>
            <w:pPr>
              <w:pStyle w:val="12"/>
            </w:pPr>
            <w:r>
              <w:t>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35.42</w:t>
            </w:r>
          </w:p>
        </w:tc>
        <w:tc>
          <w:tcPr>
            <w:tcW w:w="1361" w:type="dxa"/>
            <w:vAlign w:val="center"/>
          </w:tcPr>
          <w:p>
            <w:pPr>
              <w:pStyle w:val="12"/>
            </w:pPr>
            <w:r>
              <w:t>35.42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35.42</w:t>
            </w:r>
          </w:p>
        </w:tc>
        <w:tc>
          <w:tcPr>
            <w:tcW w:w="1361" w:type="dxa"/>
            <w:vAlign w:val="center"/>
          </w:tcPr>
          <w:p>
            <w:pPr>
              <w:pStyle w:val="12"/>
            </w:pPr>
            <w:r>
              <w:t>35.42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35.42</w:t>
            </w:r>
          </w:p>
        </w:tc>
        <w:tc>
          <w:tcPr>
            <w:tcW w:w="1361" w:type="dxa"/>
            <w:vAlign w:val="center"/>
          </w:tcPr>
          <w:p>
            <w:pPr>
              <w:pStyle w:val="12"/>
            </w:pPr>
            <w:r>
              <w:t>35.42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759.49</w:t>
            </w:r>
          </w:p>
        </w:tc>
        <w:tc>
          <w:tcPr>
            <w:tcW w:w="3402" w:type="dxa"/>
            <w:vAlign w:val="center"/>
          </w:tcPr>
          <w:p>
            <w:pPr>
              <w:pStyle w:val="13"/>
            </w:pPr>
            <w:r>
              <w:t>一、一般公共服务支出</w:t>
            </w:r>
          </w:p>
        </w:tc>
        <w:tc>
          <w:tcPr>
            <w:tcW w:w="1474" w:type="dxa"/>
            <w:vAlign w:val="center"/>
          </w:tcPr>
          <w:p>
            <w:pPr>
              <w:pStyle w:val="12"/>
            </w:pPr>
            <w:r>
              <w:t>617.73</w:t>
            </w:r>
          </w:p>
        </w:tc>
        <w:tc>
          <w:tcPr>
            <w:tcW w:w="1474" w:type="dxa"/>
            <w:vAlign w:val="center"/>
          </w:tcPr>
          <w:p>
            <w:pPr>
              <w:pStyle w:val="12"/>
            </w:pPr>
            <w:r>
              <w:t>617.73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70.84</w:t>
            </w:r>
          </w:p>
        </w:tc>
        <w:tc>
          <w:tcPr>
            <w:tcW w:w="1474" w:type="dxa"/>
            <w:vAlign w:val="center"/>
          </w:tcPr>
          <w:p>
            <w:pPr>
              <w:pStyle w:val="12"/>
            </w:pPr>
            <w:r>
              <w:t>70.84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35.50</w:t>
            </w:r>
          </w:p>
        </w:tc>
        <w:tc>
          <w:tcPr>
            <w:tcW w:w="1474" w:type="dxa"/>
            <w:vAlign w:val="center"/>
          </w:tcPr>
          <w:p>
            <w:pPr>
              <w:pStyle w:val="12"/>
            </w:pPr>
            <w:r>
              <w:t>35.50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35.42</w:t>
            </w:r>
          </w:p>
        </w:tc>
        <w:tc>
          <w:tcPr>
            <w:tcW w:w="1474" w:type="dxa"/>
            <w:vAlign w:val="center"/>
          </w:tcPr>
          <w:p>
            <w:pPr>
              <w:pStyle w:val="12"/>
            </w:pPr>
            <w:r>
              <w:t>35.42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759.49</w:t>
            </w:r>
          </w:p>
        </w:tc>
        <w:tc>
          <w:tcPr>
            <w:tcW w:w="3402" w:type="dxa"/>
            <w:vAlign w:val="center"/>
          </w:tcPr>
          <w:p>
            <w:pPr>
              <w:pStyle w:val="15"/>
            </w:pPr>
            <w:r>
              <w:t>本年支出合计</w:t>
            </w:r>
          </w:p>
        </w:tc>
        <w:tc>
          <w:tcPr>
            <w:tcW w:w="1474" w:type="dxa"/>
            <w:vAlign w:val="center"/>
          </w:tcPr>
          <w:p>
            <w:pPr>
              <w:pStyle w:val="16"/>
            </w:pPr>
            <w:r>
              <w:t>759.49</w:t>
            </w:r>
          </w:p>
        </w:tc>
        <w:tc>
          <w:tcPr>
            <w:tcW w:w="1474" w:type="dxa"/>
            <w:vAlign w:val="center"/>
          </w:tcPr>
          <w:p>
            <w:pPr>
              <w:pStyle w:val="16"/>
            </w:pPr>
            <w:r>
              <w:t>759.49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759.49</w:t>
            </w:r>
          </w:p>
        </w:tc>
        <w:tc>
          <w:tcPr>
            <w:tcW w:w="3402" w:type="dxa"/>
            <w:vAlign w:val="center"/>
          </w:tcPr>
          <w:p>
            <w:pPr>
              <w:pStyle w:val="15"/>
            </w:pPr>
            <w:r>
              <w:t>支出总计</w:t>
            </w:r>
          </w:p>
        </w:tc>
        <w:tc>
          <w:tcPr>
            <w:tcW w:w="1474" w:type="dxa"/>
            <w:vAlign w:val="center"/>
          </w:tcPr>
          <w:p>
            <w:pPr>
              <w:pStyle w:val="16"/>
            </w:pPr>
            <w:r>
              <w:t>759.49</w:t>
            </w:r>
          </w:p>
        </w:tc>
        <w:tc>
          <w:tcPr>
            <w:tcW w:w="1474" w:type="dxa"/>
            <w:vAlign w:val="center"/>
          </w:tcPr>
          <w:p>
            <w:pPr>
              <w:pStyle w:val="16"/>
            </w:pPr>
            <w:r>
              <w:t>759.49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759.49</w:t>
            </w:r>
          </w:p>
        </w:tc>
        <w:tc>
          <w:tcPr>
            <w:tcW w:w="2551" w:type="dxa"/>
            <w:vAlign w:val="center"/>
          </w:tcPr>
          <w:p>
            <w:pPr>
              <w:pStyle w:val="16"/>
            </w:pPr>
            <w:r>
              <w:t>719.49</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617.73</w:t>
            </w:r>
          </w:p>
        </w:tc>
        <w:tc>
          <w:tcPr>
            <w:tcW w:w="2551" w:type="dxa"/>
            <w:vAlign w:val="center"/>
          </w:tcPr>
          <w:p>
            <w:pPr>
              <w:pStyle w:val="12"/>
            </w:pPr>
            <w:r>
              <w:t>577.73</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617.73</w:t>
            </w:r>
          </w:p>
        </w:tc>
        <w:tc>
          <w:tcPr>
            <w:tcW w:w="2551" w:type="dxa"/>
            <w:vAlign w:val="center"/>
          </w:tcPr>
          <w:p>
            <w:pPr>
              <w:pStyle w:val="12"/>
            </w:pPr>
            <w:r>
              <w:t>577.73</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474.86</w:t>
            </w:r>
          </w:p>
        </w:tc>
        <w:tc>
          <w:tcPr>
            <w:tcW w:w="2551" w:type="dxa"/>
            <w:vAlign w:val="center"/>
          </w:tcPr>
          <w:p>
            <w:pPr>
              <w:pStyle w:val="12"/>
            </w:pPr>
            <w:r>
              <w:t>474.86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2013150</w:t>
            </w:r>
          </w:p>
        </w:tc>
        <w:tc>
          <w:tcPr>
            <w:tcW w:w="4535" w:type="dxa"/>
            <w:vAlign w:val="center"/>
          </w:tcPr>
          <w:p>
            <w:pPr>
              <w:pStyle w:val="13"/>
            </w:pPr>
            <w:r>
              <w:t>事业运行</w:t>
            </w:r>
          </w:p>
        </w:tc>
        <w:tc>
          <w:tcPr>
            <w:tcW w:w="2551" w:type="dxa"/>
            <w:vAlign w:val="center"/>
          </w:tcPr>
          <w:p>
            <w:pPr>
              <w:pStyle w:val="12"/>
            </w:pPr>
            <w:r>
              <w:t>102.87</w:t>
            </w:r>
          </w:p>
        </w:tc>
        <w:tc>
          <w:tcPr>
            <w:tcW w:w="2551" w:type="dxa"/>
            <w:vAlign w:val="center"/>
          </w:tcPr>
          <w:p>
            <w:pPr>
              <w:pStyle w:val="12"/>
            </w:pPr>
            <w:r>
              <w:t>102.87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70.84</w:t>
            </w:r>
          </w:p>
        </w:tc>
        <w:tc>
          <w:tcPr>
            <w:tcW w:w="2551" w:type="dxa"/>
            <w:vAlign w:val="center"/>
          </w:tcPr>
          <w:p>
            <w:pPr>
              <w:pStyle w:val="12"/>
            </w:pPr>
            <w:r>
              <w:t>70.84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70.84</w:t>
            </w:r>
          </w:p>
        </w:tc>
        <w:tc>
          <w:tcPr>
            <w:tcW w:w="2551" w:type="dxa"/>
            <w:vAlign w:val="center"/>
          </w:tcPr>
          <w:p>
            <w:pPr>
              <w:pStyle w:val="12"/>
            </w:pPr>
            <w:r>
              <w:t>70.84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70.84</w:t>
            </w:r>
          </w:p>
        </w:tc>
        <w:tc>
          <w:tcPr>
            <w:tcW w:w="2551" w:type="dxa"/>
            <w:vAlign w:val="center"/>
          </w:tcPr>
          <w:p>
            <w:pPr>
              <w:pStyle w:val="12"/>
            </w:pPr>
            <w:r>
              <w:t>70.84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35.50</w:t>
            </w:r>
          </w:p>
        </w:tc>
        <w:tc>
          <w:tcPr>
            <w:tcW w:w="2551" w:type="dxa"/>
            <w:vAlign w:val="center"/>
          </w:tcPr>
          <w:p>
            <w:pPr>
              <w:pStyle w:val="12"/>
            </w:pPr>
            <w:r>
              <w:t>35.50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35.50</w:t>
            </w:r>
          </w:p>
        </w:tc>
        <w:tc>
          <w:tcPr>
            <w:tcW w:w="2551" w:type="dxa"/>
            <w:vAlign w:val="center"/>
          </w:tcPr>
          <w:p>
            <w:pPr>
              <w:pStyle w:val="12"/>
            </w:pPr>
            <w:r>
              <w:t>35.50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27.42</w:t>
            </w:r>
          </w:p>
        </w:tc>
        <w:tc>
          <w:tcPr>
            <w:tcW w:w="2551" w:type="dxa"/>
            <w:vAlign w:val="center"/>
          </w:tcPr>
          <w:p>
            <w:pPr>
              <w:pStyle w:val="12"/>
            </w:pPr>
            <w:r>
              <w:t>27.42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8.08</w:t>
            </w:r>
          </w:p>
        </w:tc>
        <w:tc>
          <w:tcPr>
            <w:tcW w:w="2551" w:type="dxa"/>
            <w:vAlign w:val="center"/>
          </w:tcPr>
          <w:p>
            <w:pPr>
              <w:pStyle w:val="12"/>
            </w:pPr>
            <w:r>
              <w:t>8.08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35.42</w:t>
            </w:r>
          </w:p>
        </w:tc>
        <w:tc>
          <w:tcPr>
            <w:tcW w:w="2551" w:type="dxa"/>
            <w:vAlign w:val="center"/>
          </w:tcPr>
          <w:p>
            <w:pPr>
              <w:pStyle w:val="12"/>
            </w:pPr>
            <w:r>
              <w:t>35.42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35.42</w:t>
            </w:r>
          </w:p>
        </w:tc>
        <w:tc>
          <w:tcPr>
            <w:tcW w:w="2551" w:type="dxa"/>
            <w:vAlign w:val="center"/>
          </w:tcPr>
          <w:p>
            <w:pPr>
              <w:pStyle w:val="12"/>
            </w:pPr>
            <w:r>
              <w:t>35.42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35.42</w:t>
            </w:r>
          </w:p>
        </w:tc>
        <w:tc>
          <w:tcPr>
            <w:tcW w:w="2551" w:type="dxa"/>
            <w:vAlign w:val="center"/>
          </w:tcPr>
          <w:p>
            <w:pPr>
              <w:pStyle w:val="12"/>
            </w:pPr>
            <w:r>
              <w:t>35.42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719.49</w:t>
            </w:r>
          </w:p>
        </w:tc>
        <w:tc>
          <w:tcPr>
            <w:tcW w:w="2551" w:type="dxa"/>
            <w:vAlign w:val="center"/>
          </w:tcPr>
          <w:p>
            <w:pPr>
              <w:pStyle w:val="16"/>
            </w:pPr>
            <w:r>
              <w:t>647.28</w:t>
            </w:r>
          </w:p>
        </w:tc>
        <w:tc>
          <w:tcPr>
            <w:tcW w:w="2551" w:type="dxa"/>
            <w:vAlign w:val="center"/>
          </w:tcPr>
          <w:p>
            <w:pPr>
              <w:pStyle w:val="16"/>
            </w:pPr>
            <w:r>
              <w:t>72.21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616.65</w:t>
            </w:r>
          </w:p>
        </w:tc>
        <w:tc>
          <w:tcPr>
            <w:tcW w:w="2551" w:type="dxa"/>
            <w:vAlign w:val="center"/>
          </w:tcPr>
          <w:p>
            <w:pPr>
              <w:pStyle w:val="12"/>
            </w:pPr>
            <w:r>
              <w:t>616.65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282.42</w:t>
            </w:r>
          </w:p>
        </w:tc>
        <w:tc>
          <w:tcPr>
            <w:tcW w:w="2551" w:type="dxa"/>
            <w:vAlign w:val="center"/>
          </w:tcPr>
          <w:p>
            <w:pPr>
              <w:pStyle w:val="12"/>
            </w:pPr>
            <w:r>
              <w:t>282.42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104.62</w:t>
            </w:r>
          </w:p>
        </w:tc>
        <w:tc>
          <w:tcPr>
            <w:tcW w:w="2551" w:type="dxa"/>
            <w:vAlign w:val="center"/>
          </w:tcPr>
          <w:p>
            <w:pPr>
              <w:pStyle w:val="12"/>
            </w:pPr>
            <w:r>
              <w:t>104.62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50.93</w:t>
            </w:r>
          </w:p>
        </w:tc>
        <w:tc>
          <w:tcPr>
            <w:tcW w:w="2551" w:type="dxa"/>
            <w:vAlign w:val="center"/>
          </w:tcPr>
          <w:p>
            <w:pPr>
              <w:pStyle w:val="12"/>
            </w:pPr>
            <w:r>
              <w:t>50.93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34.19</w:t>
            </w:r>
          </w:p>
        </w:tc>
        <w:tc>
          <w:tcPr>
            <w:tcW w:w="2551" w:type="dxa"/>
            <w:vAlign w:val="center"/>
          </w:tcPr>
          <w:p>
            <w:pPr>
              <w:pStyle w:val="12"/>
            </w:pPr>
            <w:r>
              <w:t>34.19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70.84</w:t>
            </w:r>
          </w:p>
        </w:tc>
        <w:tc>
          <w:tcPr>
            <w:tcW w:w="2551" w:type="dxa"/>
            <w:vAlign w:val="center"/>
          </w:tcPr>
          <w:p>
            <w:pPr>
              <w:pStyle w:val="12"/>
            </w:pPr>
            <w:r>
              <w:t>70.84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35.50</w:t>
            </w:r>
          </w:p>
        </w:tc>
        <w:tc>
          <w:tcPr>
            <w:tcW w:w="2551" w:type="dxa"/>
            <w:vAlign w:val="center"/>
          </w:tcPr>
          <w:p>
            <w:pPr>
              <w:pStyle w:val="12"/>
            </w:pPr>
            <w:r>
              <w:t>35.50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2.73</w:t>
            </w:r>
          </w:p>
        </w:tc>
        <w:tc>
          <w:tcPr>
            <w:tcW w:w="2551" w:type="dxa"/>
            <w:vAlign w:val="center"/>
          </w:tcPr>
          <w:p>
            <w:pPr>
              <w:pStyle w:val="12"/>
            </w:pPr>
            <w:r>
              <w:t>2.73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35.42</w:t>
            </w:r>
          </w:p>
        </w:tc>
        <w:tc>
          <w:tcPr>
            <w:tcW w:w="2551" w:type="dxa"/>
            <w:vAlign w:val="center"/>
          </w:tcPr>
          <w:p>
            <w:pPr>
              <w:pStyle w:val="12"/>
            </w:pPr>
            <w:r>
              <w:t>35.42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72.21</w:t>
            </w:r>
          </w:p>
        </w:tc>
        <w:tc>
          <w:tcPr>
            <w:tcW w:w="2551" w:type="dxa"/>
            <w:vAlign w:val="center"/>
          </w:tcPr>
          <w:p>
            <w:pPr>
              <w:pStyle w:val="12"/>
            </w:pPr>
          </w:p>
        </w:tc>
        <w:tc>
          <w:tcPr>
            <w:tcW w:w="2551" w:type="dxa"/>
            <w:vAlign w:val="center"/>
          </w:tcPr>
          <w:p>
            <w:pPr>
              <w:pStyle w:val="12"/>
            </w:pPr>
            <w:r>
              <w:t>72.21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13.22</w:t>
            </w:r>
          </w:p>
        </w:tc>
        <w:tc>
          <w:tcPr>
            <w:tcW w:w="2551" w:type="dxa"/>
            <w:vAlign w:val="center"/>
          </w:tcPr>
          <w:p>
            <w:pPr>
              <w:pStyle w:val="12"/>
            </w:pPr>
          </w:p>
        </w:tc>
        <w:tc>
          <w:tcPr>
            <w:tcW w:w="2551" w:type="dxa"/>
            <w:vAlign w:val="center"/>
          </w:tcPr>
          <w:p>
            <w:pPr>
              <w:pStyle w:val="12"/>
            </w:pPr>
            <w:r>
              <w:t>13.22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4.27</w:t>
            </w:r>
          </w:p>
        </w:tc>
        <w:tc>
          <w:tcPr>
            <w:tcW w:w="2551" w:type="dxa"/>
            <w:vAlign w:val="center"/>
          </w:tcPr>
          <w:p>
            <w:pPr>
              <w:pStyle w:val="12"/>
            </w:pPr>
          </w:p>
        </w:tc>
        <w:tc>
          <w:tcPr>
            <w:tcW w:w="2551" w:type="dxa"/>
            <w:vAlign w:val="center"/>
          </w:tcPr>
          <w:p>
            <w:pPr>
              <w:pStyle w:val="12"/>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17.00</w:t>
            </w:r>
          </w:p>
        </w:tc>
        <w:tc>
          <w:tcPr>
            <w:tcW w:w="2551" w:type="dxa"/>
            <w:vAlign w:val="center"/>
          </w:tcPr>
          <w:p>
            <w:pPr>
              <w:pStyle w:val="12"/>
            </w:pPr>
          </w:p>
        </w:tc>
        <w:tc>
          <w:tcPr>
            <w:tcW w:w="2551" w:type="dxa"/>
            <w:vAlign w:val="center"/>
          </w:tcPr>
          <w:p>
            <w:pPr>
              <w:pStyle w:val="12"/>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28.61</w:t>
            </w:r>
          </w:p>
        </w:tc>
        <w:tc>
          <w:tcPr>
            <w:tcW w:w="2551" w:type="dxa"/>
            <w:vAlign w:val="center"/>
          </w:tcPr>
          <w:p>
            <w:pPr>
              <w:pStyle w:val="12"/>
            </w:pPr>
          </w:p>
        </w:tc>
        <w:tc>
          <w:tcPr>
            <w:tcW w:w="2551" w:type="dxa"/>
            <w:vAlign w:val="center"/>
          </w:tcPr>
          <w:p>
            <w:pPr>
              <w:pStyle w:val="12"/>
            </w:pPr>
            <w:r>
              <w:t>28.61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9.11</w:t>
            </w:r>
          </w:p>
        </w:tc>
        <w:tc>
          <w:tcPr>
            <w:tcW w:w="2551" w:type="dxa"/>
            <w:vAlign w:val="center"/>
          </w:tcPr>
          <w:p>
            <w:pPr>
              <w:pStyle w:val="12"/>
            </w:pPr>
          </w:p>
        </w:tc>
        <w:tc>
          <w:tcPr>
            <w:tcW w:w="2551" w:type="dxa"/>
            <w:vAlign w:val="center"/>
          </w:tcPr>
          <w:p>
            <w:pPr>
              <w:pStyle w:val="12"/>
            </w:pPr>
            <w:r>
              <w:t>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30.63</w:t>
            </w:r>
          </w:p>
        </w:tc>
        <w:tc>
          <w:tcPr>
            <w:tcW w:w="2551" w:type="dxa"/>
            <w:vAlign w:val="center"/>
          </w:tcPr>
          <w:p>
            <w:pPr>
              <w:pStyle w:val="12"/>
            </w:pPr>
            <w:r>
              <w:t>30.63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29.63</w:t>
            </w:r>
          </w:p>
        </w:tc>
        <w:tc>
          <w:tcPr>
            <w:tcW w:w="2551" w:type="dxa"/>
            <w:vAlign w:val="center"/>
          </w:tcPr>
          <w:p>
            <w:pPr>
              <w:pStyle w:val="12"/>
            </w:pPr>
            <w:r>
              <w:t>29.63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17.00</w:t>
            </w:r>
          </w:p>
        </w:tc>
        <w:tc>
          <w:tcPr>
            <w:tcW w:w="2381" w:type="dxa"/>
            <w:vAlign w:val="center"/>
          </w:tcPr>
          <w:p>
            <w:pPr>
              <w:pStyle w:val="16"/>
            </w:pPr>
            <w:r>
              <w:t>17.00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17.00</w:t>
            </w:r>
          </w:p>
        </w:tc>
        <w:tc>
          <w:tcPr>
            <w:tcW w:w="2381" w:type="dxa"/>
            <w:vAlign w:val="center"/>
          </w:tcPr>
          <w:p>
            <w:pPr>
              <w:pStyle w:val="12"/>
            </w:pPr>
            <w:r>
              <w:t>17.00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17.00</w:t>
            </w:r>
          </w:p>
        </w:tc>
        <w:tc>
          <w:tcPr>
            <w:tcW w:w="2381" w:type="dxa"/>
            <w:vAlign w:val="center"/>
          </w:tcPr>
          <w:p>
            <w:pPr>
              <w:pStyle w:val="12"/>
            </w:pPr>
            <w:r>
              <w:t>17.00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17.00</w:t>
            </w:r>
          </w:p>
        </w:tc>
        <w:tc>
          <w:tcPr>
            <w:tcW w:w="2381" w:type="dxa"/>
            <w:vAlign w:val="center"/>
          </w:tcPr>
          <w:p>
            <w:pPr>
              <w:pStyle w:val="12"/>
            </w:pPr>
            <w:r>
              <w:t>17.00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中国共产党昌黎县委员会办公室2026年部门预算信息公开情况说明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中国共产党昌黎县委员会办公室本级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按照预算管理有关规定，目前部门预算的编制实行综合预算管理，即全部收入和支出都反映在预算中。中国共产党昌黎县委员会办公室机关及所属事业单位的收支包含在部门预算中。</w:t>
      </w:r>
    </w:p>
    <w:p>
      <w:pPr>
        <w:pStyle w:val="19"/>
      </w:pPr>
      <w:r>
        <w:t>1、收入说明</w:t>
      </w:r>
    </w:p>
    <w:p>
      <w:pPr>
        <w:pStyle w:val="19"/>
      </w:pPr>
      <w:r>
        <w:t>反映本部门当年全部收入。2026年预算收入759.49万元，其中：一般公共预算收入759.49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共产党昌黎县委员会办公室年度部门预算中支出预算的总体情况。2026年支出预算759.49万元，其中基本支出719.49万元，包括人员经费647.28万元和日常公用经费72.21万元；项目支出40.00万元，主要为保密机要经费、国安经费、党代会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759.49万元，较2025年预算增加81.91万元，其中：基本支出增加51.91万元，主要为有调入人员，增加了人员工资、保险等费用。项目支出增加30.00万元，主要为2026年需要开党代会，增加了党代会经费。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2026年，我部门机关运行经费共计安排72.21万元，主要用于日常维修、办公用房水电费、办公用房取暖费、办公用房物业管理费等日常运行支出。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17.00万元，其中因公出国（境）费0.00万元；公务用车购置及运维费17.00万元（其中：公务用车购置费为0.00万元，公务用车运维费17.00万元)；公务接待费0.00万元。与2025年相比减少1.00万元，增减变化的主要原因是为落实习惯过紧日子要求，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县委办公室按照党中央决策部署和省市县委工作安排，高举中国特色社会主义伟大旗帜，紧扣”十五五“规划开局主线，聚焦”三服务“工作高质量发展，以习近平新时代中国特色社会主义思想为指导，在县委的坚强领导下，充分发挥县委办公室服务中心、协调各方作用，积极配合参与县委中心工作，服务全县经济发展，持续全面深化改革，做好全县社情民意、重大突发事件的上报工作，围绕全局性、综合性、政策性问题进行全面调查研究，为上级和县委重大决策和重要工作部署贯彻落实做好督促检查，为昌黎经济社会高质量发展贡献力量。具体体现如下几方面：县委督查室严格落实县委部署事项，督导相关责任单位做好落实；县委办信息股及时关注信息舆情，做好信息的收集上报工作，向市委上报信息不低于400条，县级信息服务期刊不低于600期；秘书股组织县委、县委办会议次数不低于200次；接待股严格落实中央八项规定，严格执行接待标准、降低接待费规模；党史研究室按上级要求完成每年昌黎县大事记的编辑。县委办公室充分发挥自身优势，积极配合参与县委中心工作，完成年初目标，服务全县各项工作任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（一）推进县委办公室参谋协调运转</w:t>
      </w:r>
    </w:p>
    <w:p>
      <w:pPr>
        <w:pStyle w:val="23"/>
      </w:pPr>
      <w:r>
        <w:t>绩效目标：改进公文办理，规范公文办理的流程；加强县委会议统筹协调，精心准备、组织好全县重大会议；严格按照中央八项规定精神，执行接待标准、降低接待规模。</w:t>
      </w:r>
    </w:p>
    <w:p>
      <w:pPr>
        <w:pStyle w:val="23"/>
      </w:pPr>
      <w:r>
        <w:t>绩效指标：严格按照收文办理的规范化流程，实现无延误、无缝隙、无停留、无差错，高效、快捷流转；组织县委、县委办会议不少于200次，确保不出差错。</w:t>
      </w:r>
    </w:p>
    <w:p>
      <w:pPr>
        <w:pStyle w:val="23"/>
      </w:pPr>
      <w:r>
        <w:t>（二）做好信息收集和督查调研工作</w:t>
      </w:r>
    </w:p>
    <w:p>
      <w:pPr>
        <w:pStyle w:val="23"/>
      </w:pPr>
      <w:r>
        <w:t>绩效目标：关注信息舆情，向省市报送热点敏感信息，做好信息的收集工作；对上级督办件密切关注落实督导，对县委关注事项严格落实督导任务。</w:t>
      </w:r>
    </w:p>
    <w:p>
      <w:pPr>
        <w:pStyle w:val="23"/>
      </w:pPr>
      <w:r>
        <w:t>绩效指标：按时完成信息报送工作，向市委上报信息不低于400条，县级信息服务期刊不低于600期；落实省市督办件、县委部署、关注事项，群众满意度不低于90%。</w:t>
      </w:r>
    </w:p>
    <w:p>
      <w:pPr>
        <w:pStyle w:val="23"/>
      </w:pPr>
      <w:r>
        <w:t>（三）严格机要保密管理</w:t>
      </w:r>
    </w:p>
    <w:p>
      <w:pPr>
        <w:pStyle w:val="23"/>
      </w:pPr>
      <w:r>
        <w:t>此项内容涉密</w:t>
      </w:r>
    </w:p>
    <w:p>
      <w:pPr>
        <w:pStyle w:val="23"/>
      </w:pPr>
      <w:r>
        <w:t>（四）做好党史研究工作</w:t>
      </w:r>
    </w:p>
    <w:p>
      <w:pPr>
        <w:pStyle w:val="23"/>
      </w:pPr>
      <w:r>
        <w:t>绩效目标：充分发挥党史资政育人作用，进一步深入推进开展党史学习教育工作，加强党史宣传，弘扬红色精神。</w:t>
      </w:r>
    </w:p>
    <w:p>
      <w:pPr>
        <w:pStyle w:val="23"/>
      </w:pPr>
      <w:r>
        <w:t>绩效指标：贯彻落实上级开展党史学习教育工作要求。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按现年度发展规划目标，加快昌黎经济社会的高质量发展，主要采取制定了以下措施：</w:t>
      </w:r>
    </w:p>
    <w:p>
      <w:pPr>
        <w:pStyle w:val="24"/>
      </w:pPr>
      <w:r>
        <w:t>（一）坚持厉行节约，反对铺张浪费，科学规范分配财政资金，提高财政资金使用效益，建设节约型机关。</w:t>
      </w:r>
    </w:p>
    <w:p>
      <w:pPr>
        <w:pStyle w:val="24"/>
      </w:pPr>
      <w:r>
        <w:t>（二）加强人员配备，强化队伍建设。根据工作实际及业务发展需求，动态调整岗位设置及科室人员，提高年轻骨干、高层次专业人才引进比例，促进人员有序流动，提高队伍年轻化、专业化建设。</w:t>
      </w:r>
    </w:p>
    <w:p>
      <w:pPr>
        <w:pStyle w:val="24"/>
      </w:pPr>
      <w:r>
        <w:t>（三）加强保密管理，提高保密意识。做好保密管理、保密宣传、保密培训工作，加强保密工作检查，增强保密涉密人员的业务技能，提高防范能力，有效遏制失泄密事件，为我县的信息安全保驾护航。</w:t>
      </w:r>
    </w:p>
    <w:p>
      <w:pPr>
        <w:pStyle w:val="24"/>
      </w:pPr>
      <w:r>
        <w:t>（四）为应对可能存在的问题和环境变化等趋势，采取措施预做准备，控制偏差，保证绩效目标实现，制定以下保障措施：</w:t>
      </w:r>
    </w:p>
    <w:p>
      <w:pPr>
        <w:pStyle w:val="24"/>
      </w:pPr>
      <w:r>
        <w:t>1、完善制度建设。制定完善预算绩效管理制度、资金管理办法、工作保障制度等内控管理办法，为全年预算绩效目标的实现奠定制度基础。</w:t>
      </w:r>
    </w:p>
    <w:p>
      <w:pPr>
        <w:pStyle w:val="24"/>
      </w:pPr>
      <w:r>
        <w:t>2、加强支出管理。通过优化支出结构、编细编实预算、尽快启动项目、及时支付资金、按规定及时下达资金等多种措施，确保支出进度达标。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6、加强内部监督。加强内部监督制度建设，对绩效运行情况、重大支出决策、资产处置及其他重要事项的决策和执行进行督导，配合做好审计、财政监督等外部监督工作，确保财政资金安全有效。</w:t>
      </w:r>
    </w:p>
    <w:p>
      <w:pPr>
        <w:pStyle w:val="24"/>
        <w:sectPr>
          <w:pgSz w:w="16840" w:h="11900" w:orient="landscape"/>
          <w:pgMar w:top="1361" w:right="1020" w:bottom="1361" w:left="1020" w:header="720" w:footer="720" w:gutter="0"/>
        </w:sectPr>
      </w:pPr>
      <w:r>
        <w:t>7、加强宣传培训调研。加强人员培训，提高职工业务素质；优化财政资金配置、提高资金使用效益；加大宣传力度，强化预算绩效管理意识，促进预算绩效管理水平进一步提升。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1、保密机要经费绩效目标表</w:t>
      </w:r>
      <w:bookmarkStart w:id="20" w:name="_GoBack"/>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13032226P00210610003R</w:t>
            </w:r>
          </w:p>
        </w:tc>
        <w:tc>
          <w:tcPr>
            <w:tcW w:w="2835" w:type="dxa"/>
            <w:vAlign w:val="center"/>
          </w:tcPr>
          <w:p>
            <w:pPr>
              <w:pStyle w:val="11"/>
            </w:pPr>
            <w:r>
              <w:t>项目名称</w:t>
            </w:r>
          </w:p>
        </w:tc>
        <w:tc>
          <w:tcPr>
            <w:tcW w:w="6095" w:type="dxa"/>
            <w:gridSpan w:val="3"/>
            <w:vAlign w:val="center"/>
          </w:tcPr>
          <w:p>
            <w:pPr>
              <w:pStyle w:val="13"/>
            </w:pPr>
            <w:r>
              <w:t>保密机要经费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1.由于此项目涉密，暂不填写绩效目标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2、党代会经费绩效目标表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13032226P002104100017</w:t>
            </w:r>
          </w:p>
        </w:tc>
        <w:tc>
          <w:tcPr>
            <w:tcW w:w="2835" w:type="dxa"/>
            <w:vAlign w:val="center"/>
          </w:tcPr>
          <w:p>
            <w:pPr>
              <w:pStyle w:val="11"/>
            </w:pPr>
            <w:r>
              <w:t>项目名称</w:t>
            </w:r>
          </w:p>
        </w:tc>
        <w:tc>
          <w:tcPr>
            <w:tcW w:w="6095" w:type="dxa"/>
            <w:gridSpan w:val="3"/>
            <w:vAlign w:val="center"/>
          </w:tcPr>
          <w:p>
            <w:pPr>
              <w:pStyle w:val="13"/>
            </w:pPr>
            <w:r>
              <w:t>党代会经费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用于支付党代会活动费用。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1.顺利完成县委换届选举工作。</w:t>
            </w:r>
          </w:p>
          <w:p>
            <w:pPr>
              <w:pStyle w:val="13"/>
            </w:pPr>
            <w:r>
              <w:t>2.通过支付会议费等支出，保障党代会顺利召开。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会议天数</w:t>
            </w:r>
          </w:p>
        </w:tc>
        <w:tc>
          <w:tcPr>
            <w:tcW w:w="5386" w:type="dxa"/>
            <w:vAlign w:val="center"/>
          </w:tcPr>
          <w:p>
            <w:pPr>
              <w:pStyle w:val="13"/>
            </w:pPr>
            <w:r>
              <w:t>党代会召开的会议天数</w:t>
            </w:r>
          </w:p>
        </w:tc>
        <w:tc>
          <w:tcPr>
            <w:tcW w:w="2268" w:type="dxa"/>
            <w:vAlign w:val="center"/>
          </w:tcPr>
          <w:p>
            <w:pPr>
              <w:pStyle w:val="13"/>
            </w:pPr>
            <w:r>
              <w:t>≥1天</w:t>
            </w:r>
          </w:p>
        </w:tc>
        <w:tc>
          <w:tcPr>
            <w:tcW w:w="1276" w:type="dxa"/>
            <w:vAlign w:val="center"/>
          </w:tcPr>
          <w:p>
            <w:pPr>
              <w:pStyle w:val="13"/>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文件材料印刷准确率</w:t>
            </w:r>
          </w:p>
        </w:tc>
        <w:tc>
          <w:tcPr>
            <w:tcW w:w="5386" w:type="dxa"/>
            <w:vAlign w:val="center"/>
          </w:tcPr>
          <w:p>
            <w:pPr>
              <w:pStyle w:val="13"/>
            </w:pPr>
            <w:r>
              <w:t>会前通过校对审核，确保印刷材料无差错</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单位会议费等资金及时支付的比例</w:t>
            </w:r>
          </w:p>
        </w:tc>
        <w:tc>
          <w:tcPr>
            <w:tcW w:w="2268" w:type="dxa"/>
            <w:vAlign w:val="center"/>
          </w:tcPr>
          <w:p>
            <w:pPr>
              <w:pStyle w:val="13"/>
            </w:pPr>
            <w:r>
              <w:t>≥95%</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党代会活动成本</w:t>
            </w:r>
          </w:p>
        </w:tc>
        <w:tc>
          <w:tcPr>
            <w:tcW w:w="5386" w:type="dxa"/>
            <w:vAlign w:val="center"/>
          </w:tcPr>
          <w:p>
            <w:pPr>
              <w:pStyle w:val="13"/>
            </w:pPr>
            <w:r>
              <w:t>保障党代会活动顺利召开的成本</w:t>
            </w:r>
          </w:p>
        </w:tc>
        <w:tc>
          <w:tcPr>
            <w:tcW w:w="2268" w:type="dxa"/>
            <w:vAlign w:val="center"/>
          </w:tcPr>
          <w:p>
            <w:pPr>
              <w:pStyle w:val="13"/>
            </w:pPr>
            <w:r>
              <w:t>≤30万元</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拉动地区经济发展</w:t>
            </w:r>
          </w:p>
        </w:tc>
        <w:tc>
          <w:tcPr>
            <w:tcW w:w="5386" w:type="dxa"/>
            <w:vAlign w:val="center"/>
          </w:tcPr>
          <w:p>
            <w:pPr>
              <w:pStyle w:val="13"/>
            </w:pPr>
            <w:r>
              <w:t>通过县委换届，拉动地区经济发展，提高居民收入</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群众知晓率</w:t>
            </w:r>
          </w:p>
        </w:tc>
        <w:tc>
          <w:tcPr>
            <w:tcW w:w="5386" w:type="dxa"/>
            <w:vAlign w:val="center"/>
          </w:tcPr>
          <w:p>
            <w:pPr>
              <w:pStyle w:val="13"/>
            </w:pPr>
            <w:r>
              <w:t>会议精神群众知晓程度</w:t>
            </w:r>
          </w:p>
        </w:tc>
        <w:tc>
          <w:tcPr>
            <w:tcW w:w="2268" w:type="dxa"/>
            <w:vAlign w:val="center"/>
          </w:tcPr>
          <w:p>
            <w:pPr>
              <w:pStyle w:val="13"/>
            </w:pPr>
            <w:r>
              <w:t>≥90%</w:t>
            </w:r>
          </w:p>
        </w:tc>
        <w:tc>
          <w:tcPr>
            <w:tcW w:w="1276" w:type="dxa"/>
            <w:vAlign w:val="center"/>
          </w:tcPr>
          <w:p>
            <w:pPr>
              <w:pStyle w:val="13"/>
            </w:pPr>
            <w:r>
              <w:t>历史应验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3、国安经费绩效目标表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13032226P002122102009</w:t>
            </w:r>
          </w:p>
        </w:tc>
        <w:tc>
          <w:tcPr>
            <w:tcW w:w="2835" w:type="dxa"/>
            <w:vAlign w:val="center"/>
          </w:tcPr>
          <w:p>
            <w:pPr>
              <w:pStyle w:val="11"/>
            </w:pPr>
            <w:r>
              <w:t>项目名称</w:t>
            </w:r>
          </w:p>
        </w:tc>
        <w:tc>
          <w:tcPr>
            <w:tcW w:w="6095" w:type="dxa"/>
            <w:gridSpan w:val="3"/>
            <w:vAlign w:val="center"/>
          </w:tcPr>
          <w:p>
            <w:pPr>
              <w:pStyle w:val="13"/>
            </w:pPr>
            <w:r>
              <w:t>国安经费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1.由于此项目涉密，暂不填写绩效目标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涉密</w:t>
            </w:r>
          </w:p>
        </w:tc>
        <w:tc>
          <w:tcPr>
            <w:tcW w:w="1276" w:type="dxa"/>
            <w:vAlign w:val="center"/>
          </w:tcPr>
          <w:p>
            <w:pPr>
              <w:pStyle w:val="13"/>
            </w:pPr>
            <w:r>
              <w:t>涉密</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中国共产党昌黎县委员会办公室（含所属单位）上年末固定资产金额为757.39万元（详见下表）。本年度拟购置固定资产总额为0.00万元，已按要求列入政府采购预算，详见政府采购预算表。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201中国共产党昌黎县委员会办公室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757.39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10</w:t>
            </w:r>
          </w:p>
        </w:tc>
        <w:tc>
          <w:tcPr>
            <w:tcW w:w="2835" w:type="dxa"/>
            <w:vAlign w:val="center"/>
          </w:tcPr>
          <w:p>
            <w:pPr>
              <w:pStyle w:val="12"/>
            </w:pPr>
            <w:r>
              <w:t>228.65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5</w:t>
            </w:r>
          </w:p>
        </w:tc>
        <w:tc>
          <w:tcPr>
            <w:tcW w:w="2835" w:type="dxa"/>
            <w:vAlign w:val="center"/>
          </w:tcPr>
          <w:p>
            <w:pPr>
              <w:pStyle w:val="12"/>
            </w:pPr>
            <w:r>
              <w:t>136.38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656</w:t>
            </w:r>
          </w:p>
        </w:tc>
        <w:tc>
          <w:tcPr>
            <w:tcW w:w="2835" w:type="dxa"/>
            <w:vAlign w:val="center"/>
          </w:tcPr>
          <w:p>
            <w:pPr>
              <w:pStyle w:val="12"/>
            </w:pPr>
            <w:r>
              <w:t>392.36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70378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TotalTime>6</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2026-01-30T11:37:00Z</dcterms:created>
  <dc:creator>Administrator</dc:creator>
  <cp:lastModifiedBy>Administrator</cp:lastModifiedBy>
  <dcterms:modified xsi:type="dcterms:W3CDTF">2026-01-30T06:33:03Z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