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w:t>
      </w:r>
      <w:bookmarkStart w:id="20" w:name="_GoBack"/>
      <w:bookmarkEnd w:id="20"/>
      <w:r>
        <w:rPr>
          <w:rFonts w:ascii="黑体" w:hAnsi="黑体" w:eastAsia="黑体" w:cs="黑体"/>
          <w:b/>
          <w:color w:val="000000"/>
          <w:sz w:val="44"/>
        </w:rPr>
        <w:t>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321昌黎县招商中心</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154.34</w:t>
            </w:r>
          </w:p>
        </w:tc>
        <w:tc>
          <w:tcPr>
            <w:tcW w:w="4535" w:type="dxa"/>
            <w:vAlign w:val="center"/>
          </w:tcPr>
          <w:p>
            <w:pPr>
              <w:pStyle w:val="13"/>
            </w:pPr>
            <w:r>
              <w:t>一、一般公共服务支出</w:t>
            </w:r>
          </w:p>
        </w:tc>
        <w:tc>
          <w:tcPr>
            <w:tcW w:w="2126" w:type="dxa"/>
            <w:vAlign w:val="center"/>
          </w:tcPr>
          <w:p>
            <w:pPr>
              <w:pStyle w:val="12"/>
            </w:pPr>
            <w:r>
              <w:t>125.32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154.34</w:t>
            </w:r>
          </w:p>
        </w:tc>
        <w:tc>
          <w:tcPr>
            <w:tcW w:w="4535" w:type="dxa"/>
            <w:vAlign w:val="center"/>
          </w:tcPr>
          <w:p>
            <w:pPr>
              <w:pStyle w:val="15"/>
            </w:pPr>
            <w:r>
              <w:t>本年支出合计</w:t>
            </w:r>
          </w:p>
        </w:tc>
        <w:tc>
          <w:tcPr>
            <w:tcW w:w="2126" w:type="dxa"/>
            <w:vAlign w:val="center"/>
          </w:tcPr>
          <w:p>
            <w:pPr>
              <w:pStyle w:val="16"/>
            </w:pPr>
            <w:r>
              <w:t>154.34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154.34</w:t>
            </w:r>
          </w:p>
        </w:tc>
        <w:tc>
          <w:tcPr>
            <w:tcW w:w="4535" w:type="dxa"/>
            <w:vAlign w:val="center"/>
          </w:tcPr>
          <w:p>
            <w:pPr>
              <w:pStyle w:val="15"/>
            </w:pPr>
            <w:r>
              <w:t>支出总计</w:t>
            </w:r>
          </w:p>
        </w:tc>
        <w:tc>
          <w:tcPr>
            <w:tcW w:w="2126" w:type="dxa"/>
            <w:vAlign w:val="center"/>
          </w:tcPr>
          <w:p>
            <w:pPr>
              <w:pStyle w:val="16"/>
            </w:pPr>
            <w:r>
              <w:t>154.34</w:t>
            </w:r>
          </w:p>
        </w:tc>
      </w:tr>
    </w:tbl>
    <w:p>
      <w:pPr>
        <w:sectPr>
          <w:footerReference r:id="rId3" w:type="default"/>
          <w:footerReference r:id="rId4" w:type="even"/>
          <w:pgSz w:w="16840" w:h="11900" w:orient="landscape"/>
          <w:pgMar w:top="1134"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321昌黎县招商中心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154.34</w:t>
            </w:r>
          </w:p>
        </w:tc>
        <w:tc>
          <w:tcPr>
            <w:tcW w:w="1134" w:type="dxa"/>
            <w:vAlign w:val="center"/>
          </w:tcPr>
          <w:p>
            <w:pPr>
              <w:pStyle w:val="16"/>
            </w:pPr>
            <w:r>
              <w:t>154.34</w:t>
            </w:r>
          </w:p>
        </w:tc>
        <w:tc>
          <w:tcPr>
            <w:tcW w:w="1134" w:type="dxa"/>
            <w:vAlign w:val="center"/>
          </w:tcPr>
          <w:p>
            <w:pPr>
              <w:pStyle w:val="16"/>
            </w:pPr>
            <w:r>
              <w:t>154.34</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125.32</w:t>
            </w:r>
          </w:p>
        </w:tc>
        <w:tc>
          <w:tcPr>
            <w:tcW w:w="1134" w:type="dxa"/>
            <w:vAlign w:val="center"/>
          </w:tcPr>
          <w:p>
            <w:pPr>
              <w:pStyle w:val="12"/>
            </w:pPr>
            <w:r>
              <w:t>125.32</w:t>
            </w:r>
          </w:p>
        </w:tc>
        <w:tc>
          <w:tcPr>
            <w:tcW w:w="1134" w:type="dxa"/>
            <w:vAlign w:val="center"/>
          </w:tcPr>
          <w:p>
            <w:pPr>
              <w:pStyle w:val="12"/>
            </w:pPr>
            <w:r>
              <w:t>125.32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20113</w:t>
            </w:r>
          </w:p>
        </w:tc>
        <w:tc>
          <w:tcPr>
            <w:tcW w:w="1559" w:type="dxa"/>
            <w:vAlign w:val="center"/>
          </w:tcPr>
          <w:p>
            <w:pPr>
              <w:pStyle w:val="13"/>
            </w:pPr>
            <w:r>
              <w:t>商贸事务</w:t>
            </w:r>
          </w:p>
        </w:tc>
        <w:tc>
          <w:tcPr>
            <w:tcW w:w="1134" w:type="dxa"/>
            <w:vAlign w:val="center"/>
          </w:tcPr>
          <w:p>
            <w:pPr>
              <w:pStyle w:val="12"/>
            </w:pPr>
            <w:r>
              <w:t>125.32</w:t>
            </w:r>
          </w:p>
        </w:tc>
        <w:tc>
          <w:tcPr>
            <w:tcW w:w="1134" w:type="dxa"/>
            <w:vAlign w:val="center"/>
          </w:tcPr>
          <w:p>
            <w:pPr>
              <w:pStyle w:val="12"/>
            </w:pPr>
            <w:r>
              <w:t>125.32</w:t>
            </w:r>
          </w:p>
        </w:tc>
        <w:tc>
          <w:tcPr>
            <w:tcW w:w="1134" w:type="dxa"/>
            <w:vAlign w:val="center"/>
          </w:tcPr>
          <w:p>
            <w:pPr>
              <w:pStyle w:val="12"/>
            </w:pPr>
            <w:r>
              <w:t>125.32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2011308</w:t>
            </w:r>
          </w:p>
        </w:tc>
        <w:tc>
          <w:tcPr>
            <w:tcW w:w="1559" w:type="dxa"/>
            <w:vAlign w:val="center"/>
          </w:tcPr>
          <w:p>
            <w:pPr>
              <w:pStyle w:val="13"/>
            </w:pPr>
            <w:r>
              <w:t>招商引资</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2011350</w:t>
            </w:r>
          </w:p>
        </w:tc>
        <w:tc>
          <w:tcPr>
            <w:tcW w:w="1559" w:type="dxa"/>
            <w:vAlign w:val="center"/>
          </w:tcPr>
          <w:p>
            <w:pPr>
              <w:pStyle w:val="13"/>
            </w:pPr>
            <w:r>
              <w:t>事业运行</w:t>
            </w:r>
          </w:p>
        </w:tc>
        <w:tc>
          <w:tcPr>
            <w:tcW w:w="1134" w:type="dxa"/>
            <w:vAlign w:val="center"/>
          </w:tcPr>
          <w:p>
            <w:pPr>
              <w:pStyle w:val="12"/>
            </w:pPr>
            <w:r>
              <w:t>105.32</w:t>
            </w:r>
          </w:p>
        </w:tc>
        <w:tc>
          <w:tcPr>
            <w:tcW w:w="1134" w:type="dxa"/>
            <w:vAlign w:val="center"/>
          </w:tcPr>
          <w:p>
            <w:pPr>
              <w:pStyle w:val="12"/>
            </w:pPr>
            <w:r>
              <w:t>105.32</w:t>
            </w:r>
          </w:p>
        </w:tc>
        <w:tc>
          <w:tcPr>
            <w:tcW w:w="1134" w:type="dxa"/>
            <w:vAlign w:val="center"/>
          </w:tcPr>
          <w:p>
            <w:pPr>
              <w:pStyle w:val="12"/>
            </w:pPr>
            <w:r>
              <w:t>105.32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14.23</w:t>
            </w:r>
          </w:p>
        </w:tc>
        <w:tc>
          <w:tcPr>
            <w:tcW w:w="1134" w:type="dxa"/>
            <w:vAlign w:val="center"/>
          </w:tcPr>
          <w:p>
            <w:pPr>
              <w:pStyle w:val="12"/>
            </w:pPr>
            <w:r>
              <w:t>14.23</w:t>
            </w:r>
          </w:p>
        </w:tc>
        <w:tc>
          <w:tcPr>
            <w:tcW w:w="1134" w:type="dxa"/>
            <w:vAlign w:val="center"/>
          </w:tcPr>
          <w:p>
            <w:pPr>
              <w:pStyle w:val="12"/>
            </w:pPr>
            <w:r>
              <w:t>14.23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14.23</w:t>
            </w:r>
          </w:p>
        </w:tc>
        <w:tc>
          <w:tcPr>
            <w:tcW w:w="1134" w:type="dxa"/>
            <w:vAlign w:val="center"/>
          </w:tcPr>
          <w:p>
            <w:pPr>
              <w:pStyle w:val="12"/>
            </w:pPr>
            <w:r>
              <w:t>14.23</w:t>
            </w:r>
          </w:p>
        </w:tc>
        <w:tc>
          <w:tcPr>
            <w:tcW w:w="1134" w:type="dxa"/>
            <w:vAlign w:val="center"/>
          </w:tcPr>
          <w:p>
            <w:pPr>
              <w:pStyle w:val="12"/>
            </w:pPr>
            <w:r>
              <w:t>14.23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14.23</w:t>
            </w:r>
          </w:p>
        </w:tc>
        <w:tc>
          <w:tcPr>
            <w:tcW w:w="1134" w:type="dxa"/>
            <w:vAlign w:val="center"/>
          </w:tcPr>
          <w:p>
            <w:pPr>
              <w:pStyle w:val="12"/>
            </w:pPr>
            <w:r>
              <w:t>14.23</w:t>
            </w:r>
          </w:p>
        </w:tc>
        <w:tc>
          <w:tcPr>
            <w:tcW w:w="1134" w:type="dxa"/>
            <w:vAlign w:val="center"/>
          </w:tcPr>
          <w:p>
            <w:pPr>
              <w:pStyle w:val="12"/>
            </w:pPr>
            <w:r>
              <w:t>14.23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7.43</w:t>
            </w:r>
          </w:p>
        </w:tc>
        <w:tc>
          <w:tcPr>
            <w:tcW w:w="1134" w:type="dxa"/>
            <w:vAlign w:val="center"/>
          </w:tcPr>
          <w:p>
            <w:pPr>
              <w:pStyle w:val="12"/>
            </w:pPr>
            <w:r>
              <w:t>7.43</w:t>
            </w:r>
          </w:p>
        </w:tc>
        <w:tc>
          <w:tcPr>
            <w:tcW w:w="1134" w:type="dxa"/>
            <w:vAlign w:val="center"/>
          </w:tcPr>
          <w:p>
            <w:pPr>
              <w:pStyle w:val="12"/>
            </w:pPr>
            <w:r>
              <w:t>7.43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7.43</w:t>
            </w:r>
          </w:p>
        </w:tc>
        <w:tc>
          <w:tcPr>
            <w:tcW w:w="1134" w:type="dxa"/>
            <w:vAlign w:val="center"/>
          </w:tcPr>
          <w:p>
            <w:pPr>
              <w:pStyle w:val="12"/>
            </w:pPr>
            <w:r>
              <w:t>7.43</w:t>
            </w:r>
          </w:p>
        </w:tc>
        <w:tc>
          <w:tcPr>
            <w:tcW w:w="1134" w:type="dxa"/>
            <w:vAlign w:val="center"/>
          </w:tcPr>
          <w:p>
            <w:pPr>
              <w:pStyle w:val="12"/>
            </w:pPr>
            <w:r>
              <w:t>7.43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7.43</w:t>
            </w:r>
          </w:p>
        </w:tc>
        <w:tc>
          <w:tcPr>
            <w:tcW w:w="1134" w:type="dxa"/>
            <w:vAlign w:val="center"/>
          </w:tcPr>
          <w:p>
            <w:pPr>
              <w:pStyle w:val="12"/>
            </w:pPr>
            <w:r>
              <w:t>7.43</w:t>
            </w:r>
          </w:p>
        </w:tc>
        <w:tc>
          <w:tcPr>
            <w:tcW w:w="1134" w:type="dxa"/>
            <w:vAlign w:val="center"/>
          </w:tcPr>
          <w:p>
            <w:pPr>
              <w:pStyle w:val="12"/>
            </w:pPr>
            <w:r>
              <w:t>7.43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7.36</w:t>
            </w:r>
          </w:p>
        </w:tc>
        <w:tc>
          <w:tcPr>
            <w:tcW w:w="1134" w:type="dxa"/>
            <w:vAlign w:val="center"/>
          </w:tcPr>
          <w:p>
            <w:pPr>
              <w:pStyle w:val="12"/>
            </w:pPr>
            <w:r>
              <w:t>7.36</w:t>
            </w:r>
          </w:p>
        </w:tc>
        <w:tc>
          <w:tcPr>
            <w:tcW w:w="1134" w:type="dxa"/>
            <w:vAlign w:val="center"/>
          </w:tcPr>
          <w:p>
            <w:pPr>
              <w:pStyle w:val="12"/>
            </w:pPr>
            <w:r>
              <w:t>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7.36</w:t>
            </w:r>
          </w:p>
        </w:tc>
        <w:tc>
          <w:tcPr>
            <w:tcW w:w="1134" w:type="dxa"/>
            <w:vAlign w:val="center"/>
          </w:tcPr>
          <w:p>
            <w:pPr>
              <w:pStyle w:val="12"/>
            </w:pPr>
            <w:r>
              <w:t>7.36</w:t>
            </w:r>
          </w:p>
        </w:tc>
        <w:tc>
          <w:tcPr>
            <w:tcW w:w="1134" w:type="dxa"/>
            <w:vAlign w:val="center"/>
          </w:tcPr>
          <w:p>
            <w:pPr>
              <w:pStyle w:val="12"/>
            </w:pPr>
            <w:r>
              <w:t>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7.36</w:t>
            </w:r>
          </w:p>
        </w:tc>
        <w:tc>
          <w:tcPr>
            <w:tcW w:w="1134" w:type="dxa"/>
            <w:vAlign w:val="center"/>
          </w:tcPr>
          <w:p>
            <w:pPr>
              <w:pStyle w:val="12"/>
            </w:pPr>
            <w:r>
              <w:t>7.36</w:t>
            </w:r>
          </w:p>
        </w:tc>
        <w:tc>
          <w:tcPr>
            <w:tcW w:w="1134" w:type="dxa"/>
            <w:vAlign w:val="center"/>
          </w:tcPr>
          <w:p>
            <w:pPr>
              <w:pStyle w:val="12"/>
            </w:pPr>
            <w:r>
              <w:t>7.36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134"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321昌黎县招商中心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154.34</w:t>
            </w:r>
          </w:p>
        </w:tc>
        <w:tc>
          <w:tcPr>
            <w:tcW w:w="1361" w:type="dxa"/>
            <w:vAlign w:val="center"/>
          </w:tcPr>
          <w:p>
            <w:pPr>
              <w:pStyle w:val="16"/>
            </w:pPr>
            <w:r>
              <w:t>134.34</w:t>
            </w:r>
          </w:p>
        </w:tc>
        <w:tc>
          <w:tcPr>
            <w:tcW w:w="1361" w:type="dxa"/>
            <w:vAlign w:val="center"/>
          </w:tcPr>
          <w:p>
            <w:pPr>
              <w:pStyle w:val="16"/>
            </w:pPr>
            <w:r>
              <w:t>20.00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125.32</w:t>
            </w:r>
          </w:p>
        </w:tc>
        <w:tc>
          <w:tcPr>
            <w:tcW w:w="1361" w:type="dxa"/>
            <w:vAlign w:val="center"/>
          </w:tcPr>
          <w:p>
            <w:pPr>
              <w:pStyle w:val="12"/>
            </w:pPr>
            <w:r>
              <w:t>105.32</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20113</w:t>
            </w:r>
          </w:p>
        </w:tc>
        <w:tc>
          <w:tcPr>
            <w:tcW w:w="4535" w:type="dxa"/>
            <w:vAlign w:val="center"/>
          </w:tcPr>
          <w:p>
            <w:pPr>
              <w:pStyle w:val="13"/>
            </w:pPr>
            <w:r>
              <w:t>商贸事务</w:t>
            </w:r>
          </w:p>
        </w:tc>
        <w:tc>
          <w:tcPr>
            <w:tcW w:w="1361" w:type="dxa"/>
            <w:vAlign w:val="center"/>
          </w:tcPr>
          <w:p>
            <w:pPr>
              <w:pStyle w:val="12"/>
            </w:pPr>
            <w:r>
              <w:t>125.32</w:t>
            </w:r>
          </w:p>
        </w:tc>
        <w:tc>
          <w:tcPr>
            <w:tcW w:w="1361" w:type="dxa"/>
            <w:vAlign w:val="center"/>
          </w:tcPr>
          <w:p>
            <w:pPr>
              <w:pStyle w:val="12"/>
            </w:pPr>
            <w:r>
              <w:t>105.32</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2011308</w:t>
            </w:r>
          </w:p>
        </w:tc>
        <w:tc>
          <w:tcPr>
            <w:tcW w:w="4535" w:type="dxa"/>
            <w:vAlign w:val="center"/>
          </w:tcPr>
          <w:p>
            <w:pPr>
              <w:pStyle w:val="13"/>
            </w:pPr>
            <w:r>
              <w:t>招商引资</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2011350</w:t>
            </w:r>
          </w:p>
        </w:tc>
        <w:tc>
          <w:tcPr>
            <w:tcW w:w="4535" w:type="dxa"/>
            <w:vAlign w:val="center"/>
          </w:tcPr>
          <w:p>
            <w:pPr>
              <w:pStyle w:val="13"/>
            </w:pPr>
            <w:r>
              <w:t>事业运行</w:t>
            </w:r>
          </w:p>
        </w:tc>
        <w:tc>
          <w:tcPr>
            <w:tcW w:w="1361" w:type="dxa"/>
            <w:vAlign w:val="center"/>
          </w:tcPr>
          <w:p>
            <w:pPr>
              <w:pStyle w:val="12"/>
            </w:pPr>
            <w:r>
              <w:t>105.32</w:t>
            </w:r>
          </w:p>
        </w:tc>
        <w:tc>
          <w:tcPr>
            <w:tcW w:w="1361" w:type="dxa"/>
            <w:vAlign w:val="center"/>
          </w:tcPr>
          <w:p>
            <w:pPr>
              <w:pStyle w:val="12"/>
            </w:pPr>
            <w:r>
              <w:t>105.32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14.23</w:t>
            </w:r>
          </w:p>
        </w:tc>
        <w:tc>
          <w:tcPr>
            <w:tcW w:w="1361" w:type="dxa"/>
            <w:vAlign w:val="center"/>
          </w:tcPr>
          <w:p>
            <w:pPr>
              <w:pStyle w:val="12"/>
            </w:pPr>
            <w:r>
              <w:t>14.23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14.23</w:t>
            </w:r>
          </w:p>
        </w:tc>
        <w:tc>
          <w:tcPr>
            <w:tcW w:w="1361" w:type="dxa"/>
            <w:vAlign w:val="center"/>
          </w:tcPr>
          <w:p>
            <w:pPr>
              <w:pStyle w:val="12"/>
            </w:pPr>
            <w:r>
              <w:t>14.23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14.23</w:t>
            </w:r>
          </w:p>
        </w:tc>
        <w:tc>
          <w:tcPr>
            <w:tcW w:w="1361" w:type="dxa"/>
            <w:vAlign w:val="center"/>
          </w:tcPr>
          <w:p>
            <w:pPr>
              <w:pStyle w:val="12"/>
            </w:pPr>
            <w:r>
              <w:t>14.23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7.43</w:t>
            </w:r>
          </w:p>
        </w:tc>
        <w:tc>
          <w:tcPr>
            <w:tcW w:w="1361" w:type="dxa"/>
            <w:vAlign w:val="center"/>
          </w:tcPr>
          <w:p>
            <w:pPr>
              <w:pStyle w:val="12"/>
            </w:pPr>
            <w:r>
              <w:t>7.43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7.43</w:t>
            </w:r>
          </w:p>
        </w:tc>
        <w:tc>
          <w:tcPr>
            <w:tcW w:w="1361" w:type="dxa"/>
            <w:vAlign w:val="center"/>
          </w:tcPr>
          <w:p>
            <w:pPr>
              <w:pStyle w:val="12"/>
            </w:pPr>
            <w:r>
              <w:t>7.43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7.43</w:t>
            </w:r>
          </w:p>
        </w:tc>
        <w:tc>
          <w:tcPr>
            <w:tcW w:w="1361" w:type="dxa"/>
            <w:vAlign w:val="center"/>
          </w:tcPr>
          <w:p>
            <w:pPr>
              <w:pStyle w:val="12"/>
            </w:pPr>
            <w:r>
              <w:t>7.43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7.36</w:t>
            </w:r>
          </w:p>
        </w:tc>
        <w:tc>
          <w:tcPr>
            <w:tcW w:w="1361" w:type="dxa"/>
            <w:vAlign w:val="center"/>
          </w:tcPr>
          <w:p>
            <w:pPr>
              <w:pStyle w:val="12"/>
            </w:pPr>
            <w:r>
              <w:t>7.36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7.36</w:t>
            </w:r>
          </w:p>
        </w:tc>
        <w:tc>
          <w:tcPr>
            <w:tcW w:w="1361" w:type="dxa"/>
            <w:vAlign w:val="center"/>
          </w:tcPr>
          <w:p>
            <w:pPr>
              <w:pStyle w:val="12"/>
            </w:pPr>
            <w:r>
              <w:t>7.36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7.36</w:t>
            </w:r>
          </w:p>
        </w:tc>
        <w:tc>
          <w:tcPr>
            <w:tcW w:w="1361" w:type="dxa"/>
            <w:vAlign w:val="center"/>
          </w:tcPr>
          <w:p>
            <w:pPr>
              <w:pStyle w:val="12"/>
            </w:pPr>
            <w:r>
              <w:t>7.36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321昌黎县招商中心</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154.34</w:t>
            </w:r>
          </w:p>
        </w:tc>
        <w:tc>
          <w:tcPr>
            <w:tcW w:w="3402" w:type="dxa"/>
            <w:vAlign w:val="center"/>
          </w:tcPr>
          <w:p>
            <w:pPr>
              <w:pStyle w:val="13"/>
            </w:pPr>
            <w:r>
              <w:t>一、一般公共服务支出</w:t>
            </w:r>
          </w:p>
        </w:tc>
        <w:tc>
          <w:tcPr>
            <w:tcW w:w="1474" w:type="dxa"/>
            <w:vAlign w:val="center"/>
          </w:tcPr>
          <w:p>
            <w:pPr>
              <w:pStyle w:val="12"/>
            </w:pPr>
            <w:r>
              <w:t>125.32</w:t>
            </w:r>
          </w:p>
        </w:tc>
        <w:tc>
          <w:tcPr>
            <w:tcW w:w="1474" w:type="dxa"/>
            <w:vAlign w:val="center"/>
          </w:tcPr>
          <w:p>
            <w:pPr>
              <w:pStyle w:val="12"/>
            </w:pPr>
            <w:r>
              <w:t>125.32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14.23</w:t>
            </w:r>
          </w:p>
        </w:tc>
        <w:tc>
          <w:tcPr>
            <w:tcW w:w="1474" w:type="dxa"/>
            <w:vAlign w:val="center"/>
          </w:tcPr>
          <w:p>
            <w:pPr>
              <w:pStyle w:val="12"/>
            </w:pPr>
            <w:r>
              <w:t>14.23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7.43</w:t>
            </w:r>
          </w:p>
        </w:tc>
        <w:tc>
          <w:tcPr>
            <w:tcW w:w="1474" w:type="dxa"/>
            <w:vAlign w:val="center"/>
          </w:tcPr>
          <w:p>
            <w:pPr>
              <w:pStyle w:val="12"/>
            </w:pPr>
            <w:r>
              <w:t>7.43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7.36</w:t>
            </w:r>
          </w:p>
        </w:tc>
        <w:tc>
          <w:tcPr>
            <w:tcW w:w="1474" w:type="dxa"/>
            <w:vAlign w:val="center"/>
          </w:tcPr>
          <w:p>
            <w:pPr>
              <w:pStyle w:val="12"/>
            </w:pPr>
            <w:r>
              <w:t>7.36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154.34</w:t>
            </w:r>
          </w:p>
        </w:tc>
        <w:tc>
          <w:tcPr>
            <w:tcW w:w="3402" w:type="dxa"/>
            <w:vAlign w:val="center"/>
          </w:tcPr>
          <w:p>
            <w:pPr>
              <w:pStyle w:val="15"/>
            </w:pPr>
            <w:r>
              <w:t>本年支出合计</w:t>
            </w:r>
          </w:p>
        </w:tc>
        <w:tc>
          <w:tcPr>
            <w:tcW w:w="1474" w:type="dxa"/>
            <w:vAlign w:val="center"/>
          </w:tcPr>
          <w:p>
            <w:pPr>
              <w:pStyle w:val="16"/>
            </w:pPr>
            <w:r>
              <w:t>154.34</w:t>
            </w:r>
          </w:p>
        </w:tc>
        <w:tc>
          <w:tcPr>
            <w:tcW w:w="1474" w:type="dxa"/>
            <w:vAlign w:val="center"/>
          </w:tcPr>
          <w:p>
            <w:pPr>
              <w:pStyle w:val="16"/>
            </w:pPr>
            <w:r>
              <w:t>154.34</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154.34</w:t>
            </w:r>
          </w:p>
        </w:tc>
        <w:tc>
          <w:tcPr>
            <w:tcW w:w="3402" w:type="dxa"/>
            <w:vAlign w:val="center"/>
          </w:tcPr>
          <w:p>
            <w:pPr>
              <w:pStyle w:val="15"/>
            </w:pPr>
            <w:r>
              <w:t>支出总计</w:t>
            </w:r>
          </w:p>
        </w:tc>
        <w:tc>
          <w:tcPr>
            <w:tcW w:w="1474" w:type="dxa"/>
            <w:vAlign w:val="center"/>
          </w:tcPr>
          <w:p>
            <w:pPr>
              <w:pStyle w:val="16"/>
            </w:pPr>
            <w:r>
              <w:t>154.34</w:t>
            </w:r>
          </w:p>
        </w:tc>
        <w:tc>
          <w:tcPr>
            <w:tcW w:w="1474" w:type="dxa"/>
            <w:vAlign w:val="center"/>
          </w:tcPr>
          <w:p>
            <w:pPr>
              <w:pStyle w:val="16"/>
            </w:pPr>
            <w:r>
              <w:t>154.34</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321昌黎县招商中心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154.34</w:t>
            </w:r>
          </w:p>
        </w:tc>
        <w:tc>
          <w:tcPr>
            <w:tcW w:w="2551" w:type="dxa"/>
            <w:vAlign w:val="center"/>
          </w:tcPr>
          <w:p>
            <w:pPr>
              <w:pStyle w:val="16"/>
            </w:pPr>
            <w:r>
              <w:t>134.34</w:t>
            </w:r>
          </w:p>
        </w:tc>
        <w:tc>
          <w:tcPr>
            <w:tcW w:w="2551" w:type="dxa"/>
            <w:vAlign w:val="center"/>
          </w:tcPr>
          <w:p>
            <w:pPr>
              <w:pStyle w:val="16"/>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125.32</w:t>
            </w:r>
          </w:p>
        </w:tc>
        <w:tc>
          <w:tcPr>
            <w:tcW w:w="2551" w:type="dxa"/>
            <w:vAlign w:val="center"/>
          </w:tcPr>
          <w:p>
            <w:pPr>
              <w:pStyle w:val="12"/>
            </w:pPr>
            <w:r>
              <w:t>105.32</w:t>
            </w: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20113</w:t>
            </w:r>
          </w:p>
        </w:tc>
        <w:tc>
          <w:tcPr>
            <w:tcW w:w="4535" w:type="dxa"/>
            <w:vAlign w:val="center"/>
          </w:tcPr>
          <w:p>
            <w:pPr>
              <w:pStyle w:val="13"/>
            </w:pPr>
            <w:r>
              <w:t>商贸事务</w:t>
            </w:r>
          </w:p>
        </w:tc>
        <w:tc>
          <w:tcPr>
            <w:tcW w:w="2551" w:type="dxa"/>
            <w:vAlign w:val="center"/>
          </w:tcPr>
          <w:p>
            <w:pPr>
              <w:pStyle w:val="12"/>
            </w:pPr>
            <w:r>
              <w:t>125.32</w:t>
            </w:r>
          </w:p>
        </w:tc>
        <w:tc>
          <w:tcPr>
            <w:tcW w:w="2551" w:type="dxa"/>
            <w:vAlign w:val="center"/>
          </w:tcPr>
          <w:p>
            <w:pPr>
              <w:pStyle w:val="12"/>
            </w:pPr>
            <w:r>
              <w:t>105.32</w:t>
            </w: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2011308</w:t>
            </w:r>
          </w:p>
        </w:tc>
        <w:tc>
          <w:tcPr>
            <w:tcW w:w="4535" w:type="dxa"/>
            <w:vAlign w:val="center"/>
          </w:tcPr>
          <w:p>
            <w:pPr>
              <w:pStyle w:val="13"/>
            </w:pPr>
            <w:r>
              <w:t>招商引资</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2011350</w:t>
            </w:r>
          </w:p>
        </w:tc>
        <w:tc>
          <w:tcPr>
            <w:tcW w:w="4535" w:type="dxa"/>
            <w:vAlign w:val="center"/>
          </w:tcPr>
          <w:p>
            <w:pPr>
              <w:pStyle w:val="13"/>
            </w:pPr>
            <w:r>
              <w:t>事业运行</w:t>
            </w:r>
          </w:p>
        </w:tc>
        <w:tc>
          <w:tcPr>
            <w:tcW w:w="2551" w:type="dxa"/>
            <w:vAlign w:val="center"/>
          </w:tcPr>
          <w:p>
            <w:pPr>
              <w:pStyle w:val="12"/>
            </w:pPr>
            <w:r>
              <w:t>105.32</w:t>
            </w:r>
          </w:p>
        </w:tc>
        <w:tc>
          <w:tcPr>
            <w:tcW w:w="2551" w:type="dxa"/>
            <w:vAlign w:val="center"/>
          </w:tcPr>
          <w:p>
            <w:pPr>
              <w:pStyle w:val="12"/>
            </w:pPr>
            <w:r>
              <w:t>105.32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14.23</w:t>
            </w:r>
          </w:p>
        </w:tc>
        <w:tc>
          <w:tcPr>
            <w:tcW w:w="2551" w:type="dxa"/>
            <w:vAlign w:val="center"/>
          </w:tcPr>
          <w:p>
            <w:pPr>
              <w:pStyle w:val="12"/>
            </w:pPr>
            <w:r>
              <w:t>14.23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14.23</w:t>
            </w:r>
          </w:p>
        </w:tc>
        <w:tc>
          <w:tcPr>
            <w:tcW w:w="2551" w:type="dxa"/>
            <w:vAlign w:val="center"/>
          </w:tcPr>
          <w:p>
            <w:pPr>
              <w:pStyle w:val="12"/>
            </w:pPr>
            <w:r>
              <w:t>14.23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14.23</w:t>
            </w:r>
          </w:p>
        </w:tc>
        <w:tc>
          <w:tcPr>
            <w:tcW w:w="2551" w:type="dxa"/>
            <w:vAlign w:val="center"/>
          </w:tcPr>
          <w:p>
            <w:pPr>
              <w:pStyle w:val="12"/>
            </w:pPr>
            <w:r>
              <w:t>14.23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7.43</w:t>
            </w:r>
          </w:p>
        </w:tc>
        <w:tc>
          <w:tcPr>
            <w:tcW w:w="2551" w:type="dxa"/>
            <w:vAlign w:val="center"/>
          </w:tcPr>
          <w:p>
            <w:pPr>
              <w:pStyle w:val="12"/>
            </w:pPr>
            <w:r>
              <w:t>7.43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7.43</w:t>
            </w:r>
          </w:p>
        </w:tc>
        <w:tc>
          <w:tcPr>
            <w:tcW w:w="2551" w:type="dxa"/>
            <w:vAlign w:val="center"/>
          </w:tcPr>
          <w:p>
            <w:pPr>
              <w:pStyle w:val="12"/>
            </w:pPr>
            <w:r>
              <w:t>7.43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7.43</w:t>
            </w:r>
          </w:p>
        </w:tc>
        <w:tc>
          <w:tcPr>
            <w:tcW w:w="2551" w:type="dxa"/>
            <w:vAlign w:val="center"/>
          </w:tcPr>
          <w:p>
            <w:pPr>
              <w:pStyle w:val="12"/>
            </w:pPr>
            <w:r>
              <w:t>7.43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7.36</w:t>
            </w:r>
          </w:p>
        </w:tc>
        <w:tc>
          <w:tcPr>
            <w:tcW w:w="2551" w:type="dxa"/>
            <w:vAlign w:val="center"/>
          </w:tcPr>
          <w:p>
            <w:pPr>
              <w:pStyle w:val="12"/>
            </w:pPr>
            <w:r>
              <w:t>7.36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7.36</w:t>
            </w:r>
          </w:p>
        </w:tc>
        <w:tc>
          <w:tcPr>
            <w:tcW w:w="2551" w:type="dxa"/>
            <w:vAlign w:val="center"/>
          </w:tcPr>
          <w:p>
            <w:pPr>
              <w:pStyle w:val="12"/>
            </w:pPr>
            <w:r>
              <w:t>7.36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7.36</w:t>
            </w:r>
          </w:p>
        </w:tc>
        <w:tc>
          <w:tcPr>
            <w:tcW w:w="2551" w:type="dxa"/>
            <w:vAlign w:val="center"/>
          </w:tcPr>
          <w:p>
            <w:pPr>
              <w:pStyle w:val="12"/>
            </w:pPr>
            <w:r>
              <w:t>7.36</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321昌黎县招商中心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134.34</w:t>
            </w:r>
          </w:p>
        </w:tc>
        <w:tc>
          <w:tcPr>
            <w:tcW w:w="2551" w:type="dxa"/>
            <w:vAlign w:val="center"/>
          </w:tcPr>
          <w:p>
            <w:pPr>
              <w:pStyle w:val="16"/>
            </w:pPr>
            <w:r>
              <w:t>129.82</w:t>
            </w:r>
          </w:p>
        </w:tc>
        <w:tc>
          <w:tcPr>
            <w:tcW w:w="2551" w:type="dxa"/>
            <w:vAlign w:val="center"/>
          </w:tcPr>
          <w:p>
            <w:pPr>
              <w:pStyle w:val="16"/>
            </w:pPr>
            <w:r>
              <w:t>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121.29</w:t>
            </w:r>
          </w:p>
        </w:tc>
        <w:tc>
          <w:tcPr>
            <w:tcW w:w="2551" w:type="dxa"/>
            <w:vAlign w:val="center"/>
          </w:tcPr>
          <w:p>
            <w:pPr>
              <w:pStyle w:val="12"/>
            </w:pPr>
            <w:r>
              <w:t>121.29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56.00</w:t>
            </w:r>
          </w:p>
        </w:tc>
        <w:tc>
          <w:tcPr>
            <w:tcW w:w="2551" w:type="dxa"/>
            <w:vAlign w:val="center"/>
          </w:tcPr>
          <w:p>
            <w:pPr>
              <w:pStyle w:val="12"/>
            </w:pPr>
            <w:r>
              <w:t>56.00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5.69</w:t>
            </w:r>
          </w:p>
        </w:tc>
        <w:tc>
          <w:tcPr>
            <w:tcW w:w="2551" w:type="dxa"/>
            <w:vAlign w:val="center"/>
          </w:tcPr>
          <w:p>
            <w:pPr>
              <w:pStyle w:val="12"/>
            </w:pPr>
            <w:r>
              <w:t>5.69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29.59</w:t>
            </w:r>
          </w:p>
        </w:tc>
        <w:tc>
          <w:tcPr>
            <w:tcW w:w="2551" w:type="dxa"/>
            <w:vAlign w:val="center"/>
          </w:tcPr>
          <w:p>
            <w:pPr>
              <w:pStyle w:val="12"/>
            </w:pPr>
            <w:r>
              <w:t>29.59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14.23</w:t>
            </w:r>
          </w:p>
        </w:tc>
        <w:tc>
          <w:tcPr>
            <w:tcW w:w="2551" w:type="dxa"/>
            <w:vAlign w:val="center"/>
          </w:tcPr>
          <w:p>
            <w:pPr>
              <w:pStyle w:val="12"/>
            </w:pPr>
            <w:r>
              <w:t>14.23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7.43</w:t>
            </w:r>
          </w:p>
        </w:tc>
        <w:tc>
          <w:tcPr>
            <w:tcW w:w="2551" w:type="dxa"/>
            <w:vAlign w:val="center"/>
          </w:tcPr>
          <w:p>
            <w:pPr>
              <w:pStyle w:val="12"/>
            </w:pPr>
            <w:r>
              <w:t>7.43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0.98</w:t>
            </w:r>
          </w:p>
        </w:tc>
        <w:tc>
          <w:tcPr>
            <w:tcW w:w="2551" w:type="dxa"/>
            <w:vAlign w:val="center"/>
          </w:tcPr>
          <w:p>
            <w:pPr>
              <w:pStyle w:val="12"/>
            </w:pPr>
            <w:r>
              <w:t>0.98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7.36</w:t>
            </w:r>
          </w:p>
        </w:tc>
        <w:tc>
          <w:tcPr>
            <w:tcW w:w="2551" w:type="dxa"/>
            <w:vAlign w:val="center"/>
          </w:tcPr>
          <w:p>
            <w:pPr>
              <w:pStyle w:val="12"/>
            </w:pPr>
            <w:r>
              <w:t>7.36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4.52</w:t>
            </w:r>
          </w:p>
        </w:tc>
        <w:tc>
          <w:tcPr>
            <w:tcW w:w="2551" w:type="dxa"/>
            <w:vAlign w:val="center"/>
          </w:tcPr>
          <w:p>
            <w:pPr>
              <w:pStyle w:val="12"/>
            </w:pPr>
          </w:p>
        </w:tc>
        <w:tc>
          <w:tcPr>
            <w:tcW w:w="2551" w:type="dxa"/>
            <w:vAlign w:val="center"/>
          </w:tcPr>
          <w:p>
            <w:pPr>
              <w:pStyle w:val="12"/>
            </w:pPr>
            <w:r>
              <w:t>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0.84</w:t>
            </w:r>
          </w:p>
        </w:tc>
        <w:tc>
          <w:tcPr>
            <w:tcW w:w="2551" w:type="dxa"/>
            <w:vAlign w:val="center"/>
          </w:tcPr>
          <w:p>
            <w:pPr>
              <w:pStyle w:val="12"/>
            </w:pPr>
          </w:p>
        </w:tc>
        <w:tc>
          <w:tcPr>
            <w:tcW w:w="2551" w:type="dxa"/>
            <w:vAlign w:val="center"/>
          </w:tcPr>
          <w:p>
            <w:pPr>
              <w:pStyle w:val="12"/>
            </w:pPr>
            <w:r>
              <w:t>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1.74</w:t>
            </w:r>
          </w:p>
        </w:tc>
        <w:tc>
          <w:tcPr>
            <w:tcW w:w="2551" w:type="dxa"/>
            <w:vAlign w:val="center"/>
          </w:tcPr>
          <w:p>
            <w:pPr>
              <w:pStyle w:val="12"/>
            </w:pPr>
          </w:p>
        </w:tc>
        <w:tc>
          <w:tcPr>
            <w:tcW w:w="2551" w:type="dxa"/>
            <w:vAlign w:val="center"/>
          </w:tcPr>
          <w:p>
            <w:pPr>
              <w:pStyle w:val="12"/>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0.44</w:t>
            </w:r>
          </w:p>
        </w:tc>
        <w:tc>
          <w:tcPr>
            <w:tcW w:w="2551" w:type="dxa"/>
            <w:vAlign w:val="center"/>
          </w:tcPr>
          <w:p>
            <w:pPr>
              <w:pStyle w:val="12"/>
            </w:pPr>
          </w:p>
        </w:tc>
        <w:tc>
          <w:tcPr>
            <w:tcW w:w="2551" w:type="dxa"/>
            <w:vAlign w:val="center"/>
          </w:tcPr>
          <w:p>
            <w:pPr>
              <w:pStyle w:val="12"/>
            </w:pPr>
            <w:r>
              <w:t>0.44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8.53</w:t>
            </w:r>
          </w:p>
        </w:tc>
        <w:tc>
          <w:tcPr>
            <w:tcW w:w="2551" w:type="dxa"/>
            <w:vAlign w:val="center"/>
          </w:tcPr>
          <w:p>
            <w:pPr>
              <w:pStyle w:val="12"/>
            </w:pPr>
            <w:r>
              <w:t>8.53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7.53</w:t>
            </w:r>
          </w:p>
        </w:tc>
        <w:tc>
          <w:tcPr>
            <w:tcW w:w="2551" w:type="dxa"/>
            <w:vAlign w:val="center"/>
          </w:tcPr>
          <w:p>
            <w:pPr>
              <w:pStyle w:val="12"/>
            </w:pPr>
            <w:r>
              <w:t>7.53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1.00</w:t>
            </w:r>
          </w:p>
        </w:tc>
        <w:tc>
          <w:tcPr>
            <w:tcW w:w="2551" w:type="dxa"/>
            <w:vAlign w:val="center"/>
          </w:tcPr>
          <w:p>
            <w:pPr>
              <w:pStyle w:val="12"/>
            </w:pPr>
            <w:r>
              <w:t>1.00</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321昌黎县招商中心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321昌黎县招商中心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321昌黎县招商中心</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6.59</w:t>
            </w:r>
          </w:p>
        </w:tc>
        <w:tc>
          <w:tcPr>
            <w:tcW w:w="2381" w:type="dxa"/>
            <w:vAlign w:val="center"/>
          </w:tcPr>
          <w:p>
            <w:pPr>
              <w:pStyle w:val="16"/>
            </w:pPr>
            <w:r>
              <w:t>6.59</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6.59</w:t>
            </w:r>
          </w:p>
        </w:tc>
        <w:tc>
          <w:tcPr>
            <w:tcW w:w="2381" w:type="dxa"/>
            <w:vAlign w:val="center"/>
          </w:tcPr>
          <w:p>
            <w:pPr>
              <w:pStyle w:val="12"/>
            </w:pPr>
            <w:r>
              <w:t>6.59</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1.74</w:t>
            </w:r>
          </w:p>
        </w:tc>
        <w:tc>
          <w:tcPr>
            <w:tcW w:w="2381" w:type="dxa"/>
            <w:vAlign w:val="center"/>
          </w:tcPr>
          <w:p>
            <w:pPr>
              <w:pStyle w:val="12"/>
            </w:pPr>
            <w:r>
              <w:t>1.74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1.74</w:t>
            </w:r>
          </w:p>
        </w:tc>
        <w:tc>
          <w:tcPr>
            <w:tcW w:w="2381" w:type="dxa"/>
            <w:vAlign w:val="center"/>
          </w:tcPr>
          <w:p>
            <w:pPr>
              <w:pStyle w:val="12"/>
            </w:pPr>
            <w:r>
              <w:t>1.74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4.85</w:t>
            </w:r>
          </w:p>
        </w:tc>
        <w:tc>
          <w:tcPr>
            <w:tcW w:w="2381" w:type="dxa"/>
            <w:vAlign w:val="center"/>
          </w:tcPr>
          <w:p>
            <w:pPr>
              <w:pStyle w:val="12"/>
            </w:pPr>
            <w:r>
              <w:t>4.85</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昌黎县招商中心2026年部门预算信息公开情况说明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昌黎县招商中心2026年部门预算信息公开情况说明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按照《中华人民共和国预算法》、《地方预决算公开操作规程》和《关于进一步推进预算公开工作的实施意见》规定，现将昌黎县招商中心2026年部门预算公开如下：</w:t>
      </w:r>
    </w:p>
    <w:p>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2"/>
      </w:pPr>
      <w:bookmarkStart w:id="9" w:name="_Toc_3_3_0000000010"/>
      <w:r>
        <w:rPr>
          <w:rFonts w:ascii="黑体" w:hAnsi="黑体" w:eastAsia="黑体" w:cs="黑体"/>
          <w:color w:val="000000"/>
          <w:sz w:val="32"/>
        </w:rPr>
        <w:t>一、部门职责及机构设置情况</w:t>
      </w:r>
      <w:bookmarkEnd w:id="9"/>
    </w:p>
    <w:p>
      <w:pPr>
        <w:keepNext w:val="0"/>
        <w:keepLines w:val="0"/>
        <w:pageBreakBefore w:val="0"/>
        <w:widowControl/>
        <w:kinsoku/>
        <w:wordWrap/>
        <w:overflowPunct/>
        <w:topLinePunct w:val="0"/>
        <w:autoSpaceDE/>
        <w:autoSpaceDN/>
        <w:bidi w:val="0"/>
        <w:adjustRightInd/>
        <w:snapToGrid/>
        <w:spacing w:before="0" w:after="0" w:line="240" w:lineRule="auto"/>
        <w:ind w:firstLine="641"/>
        <w:jc w:val="left"/>
        <w:textAlignment w:val="auto"/>
        <w:outlineLvl w:val="9"/>
      </w:pPr>
      <w:r>
        <w:rPr>
          <w:rFonts w:ascii="方正楷体_GBK" w:hAnsi="方正楷体_GBK" w:eastAsia="方正楷体_GBK" w:cs="方正楷体_GBK"/>
          <w:b/>
          <w:color w:val="000000"/>
          <w:sz w:val="32"/>
        </w:rPr>
        <w:t>部门职责：</w:t>
      </w:r>
    </w:p>
    <w:p>
      <w:pPr>
        <w:pStyle w:val="18"/>
      </w:pPr>
      <w:r>
        <w:t>（一）贯彻执行国家和省、市、县对外开放、对外经济技术合作的方针政策；制定全县对外招商引资的政策措施，并组织实施。</w:t>
      </w:r>
    </w:p>
    <w:p>
      <w:pPr>
        <w:pStyle w:val="18"/>
      </w:pPr>
      <w:r>
        <w:t>（二）对全县招商引资工作进行宏观指导；负责编制全县招商引资的总体规划、年度计划和外来投资导向目录。</w:t>
      </w:r>
    </w:p>
    <w:p>
      <w:pPr>
        <w:pStyle w:val="18"/>
      </w:pPr>
      <w:r>
        <w:t>（三）组织参与国家、省、市及有关部门的国内外招商引资活动，负责本县在境内外举办的招商引资活动。</w:t>
      </w:r>
    </w:p>
    <w:p>
      <w:pPr>
        <w:pStyle w:val="18"/>
      </w:pPr>
      <w:r>
        <w:t>（四）负责牵头组织全县性各类招商活动，指导、协调全县有关部门和各园区、各乡镇的招商引资工作；负责建立和完善全县招商网络，建立信息网络与联系渠道。</w:t>
      </w:r>
    </w:p>
    <w:p>
      <w:pPr>
        <w:pStyle w:val="18"/>
      </w:pPr>
      <w:r>
        <w:t>（五）负责项目引进前期性、基础性、事务性工作，为国内外投资者提供环境考察、信息咨询、政策咨询等工作；会同有关部门做好外商投资企业的洽谈、签约、项目实施及协调、管理、服务工作。</w:t>
      </w:r>
    </w:p>
    <w:p>
      <w:pPr>
        <w:pStyle w:val="18"/>
      </w:pPr>
      <w:r>
        <w:t>（六）承办县政府交办的其他事项。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昌黎县招商中心本级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按照预算管理有关规定，目前部门预算的编制实行综合预算管理，即全部收入和支出都反映在预算中。昌黎县招商中心机关及所属事业单位的收支包含在部门预算中。</w:t>
      </w:r>
    </w:p>
    <w:p>
      <w:pPr>
        <w:pStyle w:val="19"/>
      </w:pPr>
      <w:r>
        <w:t>1、收入说明</w:t>
      </w:r>
    </w:p>
    <w:p>
      <w:pPr>
        <w:pStyle w:val="19"/>
      </w:pPr>
      <w:r>
        <w:t>反映本部门当年全部收入。2026年预算收入154.34万元，其中：一般公共预算收入154.34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昌黎县招商中心年度部门预算中支出预算的总体情况。2026年支出预算154.34万元，其中基本支出134.34万元，包括人员经费129.82万元和日常公用经费4.52万元；项目支出20.00万元，主要为客商的接洽、重点在谈项目推进、招商引资考核、参加重大招商节会及开展小团组招商等各项招商活动的支出；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154.34万元，较2025年预算增加10.30万元，其中：基本支出增加10.30万元，主要为在职人员工资调整，增加的工资福利支出。项目支出增加0.00万元，主要为与上年度持平，在招商引资工作中始终遵循中央八项规定，本着节简、高效原则开展各项招商活动。预计下年使用的单位资金结余增加0.00万元。</w:t>
      </w:r>
    </w:p>
    <w:p>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2026年，我部门机关运行经费共计安排4.52万元，主要用于日常维修、办公用房水电费、办公用房取暖费、办公用房物业管理费等日常运行支出。</w:t>
      </w:r>
    </w:p>
    <w:p>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6.59万元，其中因公出国（境）费0.00万元；公务用车购置及运维费1.74万元（其中：公务用车购置费为0.00万元，公务用车运维费1.74万元)；公务接待费4.85万元。与2025年相比减少0.21万元，增减变化的主要原因是为落实习惯过紧日子要求，压减公务用车运行维护费和公务接待费。</w:t>
      </w:r>
    </w:p>
    <w:p>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在县委、县政府的坚定领导下，全面贯彻落实县委、县政府关于招商引资工作的各项决策部署，立足全县经济社会发展大局和招商引资工作实际，以服务县域经济高质量发展为核心目标，全面开启昌黎招商工作新风貌。以七大产业引导，明确招商引资方向，锚定产业需求招商，聚集头部企业招商，深耕重点区域招商。夯实招商基础工作，办好品牌招商活动，加大招商宣传力度，提升昌黎知名度；做好客商的接待、项目的接洽、重点在谈项目推进和签约项目落地，提升招商质效；参加重大招商节会，开展小团组招商等招商活动，精准招引高质量项目，提升招商对接精准度；通过各项招商引资活动的开展，力争2026年入库省招商引资考核落地项目8个，新增5000万元以上重大洽谈项目数量超25个。</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（一）保障部门日常工作正常运转</w:t>
      </w:r>
    </w:p>
    <w:p>
      <w:pPr>
        <w:pStyle w:val="23"/>
      </w:pPr>
      <w:r>
        <w:t>绩效目标：保证人员经费按时发放、及时缴纳工会经费、其他各项费用及时支付，确保单位正常运转</w:t>
      </w:r>
    </w:p>
    <w:p>
      <w:pPr>
        <w:pStyle w:val="23"/>
      </w:pPr>
      <w:r>
        <w:t>绩效指标：人员经费发放及时率大于等于98%，公务用车及人员办公经费、耗材等支出小于等于年初预算。</w:t>
      </w:r>
    </w:p>
    <w:p>
      <w:pPr>
        <w:pStyle w:val="23"/>
      </w:pPr>
      <w:r>
        <w:t>（二）招商引资工作稳步开展</w:t>
      </w:r>
    </w:p>
    <w:p>
      <w:pPr>
        <w:pStyle w:val="23"/>
      </w:pPr>
      <w:r>
        <w:t>绩效目标1：夯实工作基础，办好品牌招商活动，宣传推介昌黎，提升昌黎知名度。</w:t>
      </w:r>
    </w:p>
    <w:p>
      <w:pPr>
        <w:pStyle w:val="23"/>
      </w:pPr>
      <w:r>
        <w:t>绩效指标1：进行招商宣传大于等于60次，实现招商能力新突破。</w:t>
      </w:r>
    </w:p>
    <w:p>
      <w:pPr>
        <w:pStyle w:val="23"/>
      </w:pPr>
      <w:r>
        <w:t>绩效目标2：引进新型能源、生命健康、高端制造等项目，实现招商方式新突破、高质量招商新突破。</w:t>
      </w:r>
    </w:p>
    <w:p>
      <w:pPr>
        <w:pStyle w:val="23"/>
      </w:pPr>
      <w:r>
        <w:t>绩效指标2：通过企业对接、项目的跟进及各项招商活动的开展，精准招引高质量项目，争取2026年入库省招商引资考核落地项目8个。</w:t>
      </w:r>
    </w:p>
    <w:p>
      <w:pPr>
        <w:pStyle w:val="23"/>
      </w:pPr>
      <w:r>
        <w:t>绩效目标3：推进招商引资考核工作，助力招商引资再上新台阶。</w:t>
      </w:r>
    </w:p>
    <w:p>
      <w:pPr>
        <w:pStyle w:val="23"/>
      </w:pPr>
      <w:r>
        <w:t>绩效指标3：开展全县招商考核月例会制度，对接各部门，确保符合入库项目应统尽统，力争2026年招商引资考核工作进入全市前列。</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工作保障措施</w:t>
      </w:r>
    </w:p>
    <w:p>
      <w:pPr>
        <w:pStyle w:val="24"/>
      </w:pPr>
      <w:r>
        <w:t>（一）加强党风廉政建设，打造务实高效的部门形象，提高政务管理水平。</w:t>
      </w:r>
    </w:p>
    <w:p>
      <w:pPr>
        <w:pStyle w:val="24"/>
      </w:pPr>
      <w:r>
        <w:t>（二）坚持厉行节约。坚持厉行节约，反对铺张浪费，科学规范分配财政资金，提高财政资金使用效益，建设节约型机关。</w:t>
      </w:r>
    </w:p>
    <w:p>
      <w:pPr>
        <w:pStyle w:val="24"/>
      </w:pPr>
      <w:r>
        <w:t>（三）全面做好招商引资工作。一是聚焦头部企业突破。深化与北京联东集团合作，完成商端装备产业园一期建设，引入标准化运营模式，实现“引育留”一体化服务。二是深耕重点区域招商。京津地区，做好央企后续服务，推动产业导入；东北地区，依托吉林河北商会，力争职业教育、医药包装等领域合作落地；东南沿海，承接产业外溢，引入钢铁延伸项目与科创企业。三是办好品牌招商活动。借力葡萄酒节、生命健康产业峰会等平台，充分宣传我县产业园区特色优势，依托红酒、旅游、康养等特色名片，在招商引资中打造我县品牌。</w:t>
      </w:r>
    </w:p>
    <w:p>
      <w:pPr>
        <w:pStyle w:val="24"/>
      </w:pPr>
      <w:r>
        <w:t>（四）措施保障。为应对可能存在的问题和环境变化等趋势，采取措施预做准备，控制偏差，保证绩效目标实现，制定以下保障措施：</w:t>
      </w:r>
    </w:p>
    <w:p>
      <w:pPr>
        <w:pStyle w:val="24"/>
      </w:pPr>
      <w:r>
        <w:t>1、完善制度建设。制定完善的预算绩效管理制度，资金管理办法、工作保障制度等内控管理办法，为全年预算绩效目标的实现奠定制度基础。</w:t>
      </w:r>
    </w:p>
    <w:p>
      <w:pPr>
        <w:pStyle w:val="24"/>
      </w:pPr>
      <w:r>
        <w:t>2、加强支出管理。强化预算执行，加强支出管理，督促项目管理部门加快项目执行进度，及时按照项目进度拨付资金，确保按照财政规定时间节点完成进度要求。积极开展绩效运行监控，发现偏离及时纠正，确保绩效目标顺利完成，更好发挥财政资金使用效益。</w:t>
      </w:r>
    </w:p>
    <w:p>
      <w:pPr>
        <w:pStyle w:val="24"/>
      </w:pPr>
      <w:r>
        <w:t>3、加强绩效运行监控。按要求开展绩效运行监控，发现问题及时采取措施，确保绩效目标如期保质实现。</w:t>
      </w:r>
    </w:p>
    <w:p>
      <w:pPr>
        <w:pStyle w:val="24"/>
      </w:pPr>
      <w:r>
        <w:t>4、做好绩效自评。在预算绩效工作小组领导下，按照工作要求对上年度项目支出的经济性、效益性以及绩效目标实现程度进行全方位自评，确保评价结果真实可信。对于绩效自评中发现的问题，认真研究解决对策，及时整改，全面提高财政资金使用效益。</w:t>
      </w:r>
    </w:p>
    <w:p>
      <w:pPr>
        <w:pStyle w:val="24"/>
      </w:pPr>
      <w:r>
        <w:t>5、规范财务资产管理。完善财务管理制度，严格按照要求履行审批程序，强化固定资产购置、使用和报废处置管理，做到支出合理，物尽其用，保障国有资产使用的安全性、效益性。</w:t>
      </w:r>
    </w:p>
    <w:p>
      <w:pPr>
        <w:pStyle w:val="24"/>
      </w:pPr>
      <w:r>
        <w:t>6、加强内部监督。加强内部监督制度建设，对绩效运行情况，重大支出决策、资产处置及其他重要经济业务事项决策和执行进行督导，对会计资料进行内部审计，并配合做好审计、财务监督等外部监督工作，确保财政资金安全有效。</w:t>
      </w:r>
    </w:p>
    <w:p>
      <w:pPr>
        <w:pStyle w:val="24"/>
        <w:sectPr>
          <w:pgSz w:w="16840" w:h="11900" w:orient="landscape"/>
          <w:pgMar w:top="1361" w:right="1020" w:bottom="1361" w:left="1020" w:header="720" w:footer="720" w:gutter="0"/>
        </w:sectPr>
      </w:pPr>
      <w:r>
        <w:t>7、加强宣传培训调研。围绕全面实施预算绩效管理工作要求，组织开展多角度、多层次业务培训，使全体职工牢固树立绩效理念熟悉管理流程，掌握工作方法，提高业务素质和管理能力。加大绩效预算宣传力度，营造良好的舆论氛围，强化预算绩效管理意识，促进预算绩效管理水平进一步提升。</w:t>
      </w:r>
    </w:p>
    <w:p>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sectPr>
      </w:pPr>
      <w:r>
        <w:rPr>
          <w:rFonts w:hint="eastAsia" w:ascii="Times New Roman" w:hAnsi="Times New Roman" w:eastAsia="方正仿宋_GBK" w:cs="Times New Roman"/>
          <w:sz w:val="28"/>
          <w:szCs w:val="24"/>
          <w:lang w:val="en-US" w:eastAsia="zh-CN" w:bidi="ar-SA"/>
        </w:rPr>
        <w:t>无</w:t>
      </w:r>
    </w:p>
    <w:p>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1、招商引资工作经费绩效目标表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13032226P00212510002Y</w:t>
            </w:r>
          </w:p>
        </w:tc>
        <w:tc>
          <w:tcPr>
            <w:tcW w:w="2835" w:type="dxa"/>
            <w:vAlign w:val="center"/>
          </w:tcPr>
          <w:p>
            <w:pPr>
              <w:pStyle w:val="11"/>
            </w:pPr>
            <w:r>
              <w:t>项目名称</w:t>
            </w:r>
          </w:p>
        </w:tc>
        <w:tc>
          <w:tcPr>
            <w:tcW w:w="6095" w:type="dxa"/>
            <w:gridSpan w:val="3"/>
            <w:vAlign w:val="center"/>
          </w:tcPr>
          <w:p>
            <w:pPr>
              <w:pStyle w:val="13"/>
            </w:pPr>
            <w:r>
              <w:t>招商引资工作经费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用于编制针对性招商资料；对接企业、洽谈项目、接待客商，参加国内重要的节会，外出小团组招商，开展各项招商活动等方面的支出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w:t>
            </w:r>
          </w:p>
        </w:tc>
        <w:tc>
          <w:tcPr>
            <w:tcW w:w="2835" w:type="dxa"/>
            <w:vAlign w:val="center"/>
          </w:tcPr>
          <w:p>
            <w:pPr>
              <w:pStyle w:val="14"/>
            </w:pPr>
            <w:r>
              <w:t>40%</w:t>
            </w:r>
          </w:p>
        </w:tc>
        <w:tc>
          <w:tcPr>
            <w:tcW w:w="2551" w:type="dxa"/>
            <w:vAlign w:val="center"/>
          </w:tcPr>
          <w:p>
            <w:pPr>
              <w:pStyle w:val="14"/>
            </w:pPr>
            <w:r>
              <w:t>70%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完善招商基础工作，编制针对性招商资料，增强招商宣传实效性，提高招商的成功率；通过客商接待、项目对接等活动，宣传推介昌黎，促使项目尽快落地；通过参加国内外重大招商节会及小团组招商等活动，进行精准招商，实现招商实效新突破；通过招引项目，对县域经济产业进行优化升级，促进我县经济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小团组招商活动次数</w:t>
            </w:r>
          </w:p>
        </w:tc>
        <w:tc>
          <w:tcPr>
            <w:tcW w:w="5386" w:type="dxa"/>
            <w:vAlign w:val="center"/>
          </w:tcPr>
          <w:p>
            <w:pPr>
              <w:pStyle w:val="13"/>
            </w:pPr>
            <w:r>
              <w:t>开展“走出去”“请进来”小团组招商引资对接活动数量</w:t>
            </w:r>
          </w:p>
        </w:tc>
        <w:tc>
          <w:tcPr>
            <w:tcW w:w="2268" w:type="dxa"/>
            <w:vAlign w:val="center"/>
          </w:tcPr>
          <w:p>
            <w:pPr>
              <w:pStyle w:val="13"/>
            </w:pPr>
            <w:r>
              <w:t>≥60次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项目招引效率</w:t>
            </w:r>
          </w:p>
        </w:tc>
        <w:tc>
          <w:tcPr>
            <w:tcW w:w="5386" w:type="dxa"/>
            <w:vAlign w:val="center"/>
          </w:tcPr>
          <w:p>
            <w:pPr>
              <w:pStyle w:val="13"/>
            </w:pPr>
            <w:r>
              <w:t>重大在谈项目报告数量与小团组招商活动次数的比值</w:t>
            </w:r>
          </w:p>
        </w:tc>
        <w:tc>
          <w:tcPr>
            <w:tcW w:w="2268" w:type="dxa"/>
            <w:vAlign w:val="center"/>
          </w:tcPr>
          <w:p>
            <w:pPr>
              <w:pStyle w:val="13"/>
            </w:pPr>
            <w:r>
              <w:t>≥30%</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按时完成招商引资工作与计划完成工作的比例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出差人员市内交通费人均标准</w:t>
            </w:r>
          </w:p>
        </w:tc>
        <w:tc>
          <w:tcPr>
            <w:tcW w:w="5386" w:type="dxa"/>
            <w:vAlign w:val="center"/>
          </w:tcPr>
          <w:p>
            <w:pPr>
              <w:pStyle w:val="13"/>
            </w:pPr>
            <w:r>
              <w:t>出作人员因公出差期间市内交通费每人每天补助标准</w:t>
            </w:r>
          </w:p>
        </w:tc>
        <w:tc>
          <w:tcPr>
            <w:tcW w:w="2268" w:type="dxa"/>
            <w:vAlign w:val="center"/>
          </w:tcPr>
          <w:p>
            <w:pPr>
              <w:pStyle w:val="13"/>
            </w:pPr>
            <w:r>
              <w:t>80元</w:t>
            </w:r>
          </w:p>
        </w:tc>
        <w:tc>
          <w:tcPr>
            <w:tcW w:w="1276" w:type="dxa"/>
            <w:vAlign w:val="center"/>
          </w:tcPr>
          <w:p>
            <w:pPr>
              <w:pStyle w:val="13"/>
            </w:pPr>
            <w:r>
              <w:t>昌财[2023]54号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签约落地增效益</w:t>
            </w:r>
          </w:p>
        </w:tc>
        <w:tc>
          <w:tcPr>
            <w:tcW w:w="5386" w:type="dxa"/>
            <w:vAlign w:val="center"/>
          </w:tcPr>
          <w:p>
            <w:pPr>
              <w:pStyle w:val="13"/>
            </w:pPr>
            <w:r>
              <w:t>签约优质项目落户昌黎，促进我县高质量经济发展</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推动产业升级</w:t>
            </w:r>
          </w:p>
        </w:tc>
        <w:tc>
          <w:tcPr>
            <w:tcW w:w="5386" w:type="dxa"/>
            <w:vAlign w:val="center"/>
          </w:tcPr>
          <w:p>
            <w:pPr>
              <w:pStyle w:val="13"/>
            </w:pPr>
            <w:r>
              <w:t>对县域经济产业进行优化升级</w:t>
            </w:r>
          </w:p>
        </w:tc>
        <w:tc>
          <w:tcPr>
            <w:tcW w:w="2268" w:type="dxa"/>
            <w:vAlign w:val="center"/>
          </w:tcPr>
          <w:p>
            <w:pPr>
              <w:pStyle w:val="13"/>
            </w:pPr>
            <w:r>
              <w:t>不低于上年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保障招商引资工作的有序运转年限</w:t>
            </w:r>
          </w:p>
        </w:tc>
        <w:tc>
          <w:tcPr>
            <w:tcW w:w="2268" w:type="dxa"/>
            <w:vAlign w:val="center"/>
          </w:tcPr>
          <w:p>
            <w:pPr>
              <w:pStyle w:val="13"/>
            </w:pPr>
            <w:r>
              <w:t>1年</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洽谈客商满意度</w:t>
            </w:r>
          </w:p>
        </w:tc>
        <w:tc>
          <w:tcPr>
            <w:tcW w:w="5386" w:type="dxa"/>
            <w:vAlign w:val="center"/>
          </w:tcPr>
          <w:p>
            <w:pPr>
              <w:pStyle w:val="13"/>
            </w:pPr>
            <w:r>
              <w:t>满意和较满意的洽谈客商占洽谈客商总数的比例</w:t>
            </w:r>
          </w:p>
        </w:tc>
        <w:tc>
          <w:tcPr>
            <w:tcW w:w="2268" w:type="dxa"/>
            <w:vAlign w:val="center"/>
          </w:tcPr>
          <w:p>
            <w:pPr>
              <w:pStyle w:val="13"/>
            </w:pPr>
            <w:r>
              <w:t>≥95%</w:t>
            </w:r>
          </w:p>
        </w:tc>
        <w:tc>
          <w:tcPr>
            <w:tcW w:w="1276" w:type="dxa"/>
            <w:vAlign w:val="center"/>
          </w:tcPr>
          <w:p>
            <w:pPr>
              <w:pStyle w:val="13"/>
            </w:pPr>
            <w:r>
              <w:t>历史经验</w:t>
            </w:r>
          </w:p>
        </w:tc>
      </w:tr>
    </w:tbl>
    <w:p>
      <w:pPr>
        <w:sectPr>
          <w:type w:val="continuous"/>
          <w:pgSz w:w="16840" w:h="11900" w:orient="landscape"/>
          <w:pgMar w:top="1361" w:right="1020" w:bottom="1134" w:left="1020" w:header="720" w:footer="720" w:gutter="0"/>
        </w:sectPr>
      </w:pPr>
    </w:p>
    <w:p>
      <w:pPr>
        <w:keepNext w:val="0"/>
        <w:keepLines w:val="0"/>
        <w:pageBreakBefore w:val="0"/>
        <w:widowControl/>
        <w:kinsoku/>
        <w:wordWrap/>
        <w:overflowPunct/>
        <w:topLinePunct w:val="0"/>
        <w:autoSpaceDE/>
        <w:autoSpaceDN/>
        <w:bidi w:val="0"/>
        <w:adjustRightInd/>
        <w:snapToGrid/>
        <w:spacing w:before="10" w:after="10" w:line="240" w:lineRule="auto"/>
        <w:ind w:firstLine="641"/>
        <w:jc w:val="left"/>
        <w:textAlignment w:val="auto"/>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321昌黎县招商中心</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昌黎县招商中心（含所属单位）上年末固定资产金额为3.53万元（详见下表）。本年度拟购置固定资产总额为0.00万元，已按要求列入政府采购预算，详见政府采购预算表。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321昌黎县招商中心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3.53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57</w:t>
            </w:r>
          </w:p>
        </w:tc>
        <w:tc>
          <w:tcPr>
            <w:tcW w:w="2835" w:type="dxa"/>
            <w:vAlign w:val="center"/>
          </w:tcPr>
          <w:p>
            <w:pPr>
              <w:pStyle w:val="12"/>
            </w:pPr>
            <w:r>
              <w:t>3.53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C2769"/>
    <w:rsid w:val="2DC04F25"/>
    <w:rsid w:val="389658FC"/>
    <w:rsid w:val="42050A72"/>
    <w:rsid w:val="4EAA0AFD"/>
    <w:rsid w:val="78B5456F"/>
    <w:rsid w:val="7CB760D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TotalTime>16</TotalTime>
  <ScaleCrop>false</ScaleCrop>
  <LinksUpToDate>false</LinksUpToDate>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2026-01-30T11:38:00Z</dcterms:created>
  <dc:creator>Administrator</dc:creator>
  <cp:lastModifiedBy>Administrator</cp:lastModifiedBy>
  <dcterms:modified xsi:type="dcterms:W3CDTF">2026-02-02T02:07:51Z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