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bookmarkStart w:id="1" w:name="_GoBack"/>
      <w:bookmarkEnd w:id="1"/>
      <w:r>
        <w:rPr>
          <w:rFonts w:ascii="黑体" w:hAnsi="黑体" w:eastAsia="黑体" w:cs="黑体"/>
          <w:b/>
          <w:color w:val="000000"/>
          <w:sz w:val="44"/>
        </w:rPr>
        <w:t>2026年单位预算信息公开目录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一、中国人民政治协商会议昌黎县委员会本级收支预算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一、中国人民政治协商会议昌黎县委员会本级收支预算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14172"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131001中国人民政治协商会议昌黎县委员会本级</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370.38</w:t>
            </w:r>
          </w:p>
        </w:tc>
        <w:tc>
          <w:tcPr>
            <w:tcW w:w="4535" w:type="dxa"/>
            <w:vAlign w:val="center"/>
          </w:tcPr>
          <w:p>
            <w:pPr>
              <w:pStyle w:val="12"/>
            </w:pPr>
            <w:r>
              <w:t>一、一般公共服务支出</w:t>
            </w:r>
          </w:p>
        </w:tc>
        <w:tc>
          <w:tcPr>
            <w:tcW w:w="2126" w:type="dxa"/>
            <w:vAlign w:val="center"/>
          </w:tcPr>
          <w:p>
            <w:pPr>
              <w:pStyle w:val="11"/>
            </w:pPr>
            <w:r>
              <w:t>308.65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31.75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14.02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15.96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370.38</w:t>
            </w:r>
          </w:p>
        </w:tc>
        <w:tc>
          <w:tcPr>
            <w:tcW w:w="4535" w:type="dxa"/>
            <w:vAlign w:val="center"/>
          </w:tcPr>
          <w:p>
            <w:pPr>
              <w:pStyle w:val="14"/>
            </w:pPr>
            <w:r>
              <w:t>本年支出合计</w:t>
            </w:r>
          </w:p>
        </w:tc>
        <w:tc>
          <w:tcPr>
            <w:tcW w:w="2126" w:type="dxa"/>
            <w:vAlign w:val="center"/>
          </w:tcPr>
          <w:p>
            <w:pPr>
              <w:pStyle w:val="15"/>
            </w:pPr>
            <w:r>
              <w:t>370.38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370.38</w:t>
            </w:r>
          </w:p>
        </w:tc>
        <w:tc>
          <w:tcPr>
            <w:tcW w:w="4535" w:type="dxa"/>
            <w:vAlign w:val="center"/>
          </w:tcPr>
          <w:p>
            <w:pPr>
              <w:pStyle w:val="14"/>
            </w:pPr>
            <w:r>
              <w:t>支出总计</w:t>
            </w:r>
          </w:p>
        </w:tc>
        <w:tc>
          <w:tcPr>
            <w:tcW w:w="2126" w:type="dxa"/>
            <w:vAlign w:val="center"/>
          </w:tcPr>
          <w:p>
            <w:pPr>
              <w:pStyle w:val="15"/>
            </w:pPr>
            <w:r>
              <w:t>370.38</w:t>
            </w:r>
          </w:p>
        </w:tc>
      </w:tr>
    </w:tbl>
    <w:p>
      <w:pPr>
        <w:sectPr>
          <w:footerReference r:id="rId3" w:type="default"/>
          <w:footerReference r:id="rId4" w:type="even"/>
          <w:pgSz w:w="16840" w:h="11900" w:orient="landscape"/>
          <w:pgMar w:top="1361" w:right="1020" w:bottom="1134" w:left="1020" w:header="720" w:footer="720" w:gutter="0"/>
          <w:pgNumType w:start="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14571"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131001中国人民政治协商会议昌黎县委员会本级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370.38</w:t>
            </w:r>
          </w:p>
        </w:tc>
        <w:tc>
          <w:tcPr>
            <w:tcW w:w="1134" w:type="dxa"/>
            <w:vAlign w:val="center"/>
          </w:tcPr>
          <w:p>
            <w:pPr>
              <w:pStyle w:val="15"/>
            </w:pPr>
            <w:r>
              <w:t>370.38</w:t>
            </w:r>
          </w:p>
        </w:tc>
        <w:tc>
          <w:tcPr>
            <w:tcW w:w="1134" w:type="dxa"/>
            <w:vAlign w:val="center"/>
          </w:tcPr>
          <w:p>
            <w:pPr>
              <w:pStyle w:val="15"/>
            </w:pPr>
            <w:r>
              <w:t>370.38</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308.65</w:t>
            </w:r>
          </w:p>
        </w:tc>
        <w:tc>
          <w:tcPr>
            <w:tcW w:w="1134" w:type="dxa"/>
            <w:vAlign w:val="center"/>
          </w:tcPr>
          <w:p>
            <w:pPr>
              <w:pStyle w:val="11"/>
            </w:pPr>
            <w:r>
              <w:t>308.65</w:t>
            </w:r>
          </w:p>
        </w:tc>
        <w:tc>
          <w:tcPr>
            <w:tcW w:w="1134" w:type="dxa"/>
            <w:vAlign w:val="center"/>
          </w:tcPr>
          <w:p>
            <w:pPr>
              <w:pStyle w:val="11"/>
            </w:pPr>
            <w:r>
              <w:t>308.65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20102</w:t>
            </w:r>
          </w:p>
        </w:tc>
        <w:tc>
          <w:tcPr>
            <w:tcW w:w="1559" w:type="dxa"/>
            <w:vAlign w:val="center"/>
          </w:tcPr>
          <w:p>
            <w:pPr>
              <w:pStyle w:val="12"/>
            </w:pPr>
            <w:r>
              <w:t>政协事务</w:t>
            </w:r>
          </w:p>
        </w:tc>
        <w:tc>
          <w:tcPr>
            <w:tcW w:w="1134" w:type="dxa"/>
            <w:vAlign w:val="center"/>
          </w:tcPr>
          <w:p>
            <w:pPr>
              <w:pStyle w:val="11"/>
            </w:pPr>
            <w:r>
              <w:t>308.65</w:t>
            </w:r>
          </w:p>
        </w:tc>
        <w:tc>
          <w:tcPr>
            <w:tcW w:w="1134" w:type="dxa"/>
            <w:vAlign w:val="center"/>
          </w:tcPr>
          <w:p>
            <w:pPr>
              <w:pStyle w:val="11"/>
            </w:pPr>
            <w:r>
              <w:t>308.65</w:t>
            </w:r>
          </w:p>
        </w:tc>
        <w:tc>
          <w:tcPr>
            <w:tcW w:w="1134" w:type="dxa"/>
            <w:vAlign w:val="center"/>
          </w:tcPr>
          <w:p>
            <w:pPr>
              <w:pStyle w:val="11"/>
            </w:pPr>
            <w:r>
              <w:t>308.65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2010201</w:t>
            </w:r>
          </w:p>
        </w:tc>
        <w:tc>
          <w:tcPr>
            <w:tcW w:w="1559" w:type="dxa"/>
            <w:vAlign w:val="center"/>
          </w:tcPr>
          <w:p>
            <w:pPr>
              <w:pStyle w:val="12"/>
            </w:pPr>
            <w:r>
              <w:t>行政运行</w:t>
            </w:r>
          </w:p>
        </w:tc>
        <w:tc>
          <w:tcPr>
            <w:tcW w:w="1134" w:type="dxa"/>
            <w:vAlign w:val="center"/>
          </w:tcPr>
          <w:p>
            <w:pPr>
              <w:pStyle w:val="11"/>
            </w:pPr>
            <w:r>
              <w:t>252.16</w:t>
            </w:r>
          </w:p>
        </w:tc>
        <w:tc>
          <w:tcPr>
            <w:tcW w:w="1134" w:type="dxa"/>
            <w:vAlign w:val="center"/>
          </w:tcPr>
          <w:p>
            <w:pPr>
              <w:pStyle w:val="11"/>
            </w:pPr>
            <w:r>
              <w:t>252.16</w:t>
            </w:r>
          </w:p>
        </w:tc>
        <w:tc>
          <w:tcPr>
            <w:tcW w:w="1134" w:type="dxa"/>
            <w:vAlign w:val="center"/>
          </w:tcPr>
          <w:p>
            <w:pPr>
              <w:pStyle w:val="11"/>
            </w:pPr>
            <w:r>
              <w:t>252.16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2010204</w:t>
            </w:r>
          </w:p>
        </w:tc>
        <w:tc>
          <w:tcPr>
            <w:tcW w:w="1559" w:type="dxa"/>
            <w:vAlign w:val="center"/>
          </w:tcPr>
          <w:p>
            <w:pPr>
              <w:pStyle w:val="12"/>
            </w:pPr>
            <w:r>
              <w:t>政协会议</w:t>
            </w:r>
          </w:p>
        </w:tc>
        <w:tc>
          <w:tcPr>
            <w:tcW w:w="1134" w:type="dxa"/>
            <w:vAlign w:val="center"/>
          </w:tcPr>
          <w:p>
            <w:pPr>
              <w:pStyle w:val="11"/>
            </w:pPr>
            <w:r>
              <w:t>30.00</w:t>
            </w:r>
          </w:p>
        </w:tc>
        <w:tc>
          <w:tcPr>
            <w:tcW w:w="1134" w:type="dxa"/>
            <w:vAlign w:val="center"/>
          </w:tcPr>
          <w:p>
            <w:pPr>
              <w:pStyle w:val="11"/>
            </w:pPr>
            <w:r>
              <w:t>30.00</w:t>
            </w:r>
          </w:p>
        </w:tc>
        <w:tc>
          <w:tcPr>
            <w:tcW w:w="1134" w:type="dxa"/>
            <w:vAlign w:val="center"/>
          </w:tcPr>
          <w:p>
            <w:pPr>
              <w:pStyle w:val="11"/>
            </w:pPr>
            <w:r>
              <w:t>30.00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2010250</w:t>
            </w:r>
          </w:p>
        </w:tc>
        <w:tc>
          <w:tcPr>
            <w:tcW w:w="1559" w:type="dxa"/>
            <w:vAlign w:val="center"/>
          </w:tcPr>
          <w:p>
            <w:pPr>
              <w:pStyle w:val="12"/>
            </w:pPr>
            <w:r>
              <w:t>事业运行</w:t>
            </w:r>
          </w:p>
        </w:tc>
        <w:tc>
          <w:tcPr>
            <w:tcW w:w="1134" w:type="dxa"/>
            <w:vAlign w:val="center"/>
          </w:tcPr>
          <w:p>
            <w:pPr>
              <w:pStyle w:val="11"/>
            </w:pPr>
            <w:r>
              <w:t>26.49</w:t>
            </w:r>
          </w:p>
        </w:tc>
        <w:tc>
          <w:tcPr>
            <w:tcW w:w="1134" w:type="dxa"/>
            <w:vAlign w:val="center"/>
          </w:tcPr>
          <w:p>
            <w:pPr>
              <w:pStyle w:val="11"/>
            </w:pPr>
            <w:r>
              <w:t>26.49</w:t>
            </w:r>
          </w:p>
        </w:tc>
        <w:tc>
          <w:tcPr>
            <w:tcW w:w="1134" w:type="dxa"/>
            <w:vAlign w:val="center"/>
          </w:tcPr>
          <w:p>
            <w:pPr>
              <w:pStyle w:val="11"/>
            </w:pPr>
            <w:r>
              <w:t>26.49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31.75</w:t>
            </w:r>
          </w:p>
        </w:tc>
        <w:tc>
          <w:tcPr>
            <w:tcW w:w="1134" w:type="dxa"/>
            <w:vAlign w:val="center"/>
          </w:tcPr>
          <w:p>
            <w:pPr>
              <w:pStyle w:val="11"/>
            </w:pPr>
            <w:r>
              <w:t>31.75</w:t>
            </w:r>
          </w:p>
        </w:tc>
        <w:tc>
          <w:tcPr>
            <w:tcW w:w="1134" w:type="dxa"/>
            <w:vAlign w:val="center"/>
          </w:tcPr>
          <w:p>
            <w:pPr>
              <w:pStyle w:val="11"/>
            </w:pPr>
            <w:r>
              <w:t>31.75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31.75</w:t>
            </w:r>
          </w:p>
        </w:tc>
        <w:tc>
          <w:tcPr>
            <w:tcW w:w="1134" w:type="dxa"/>
            <w:vAlign w:val="center"/>
          </w:tcPr>
          <w:p>
            <w:pPr>
              <w:pStyle w:val="11"/>
            </w:pPr>
            <w:r>
              <w:t>31.75</w:t>
            </w:r>
          </w:p>
        </w:tc>
        <w:tc>
          <w:tcPr>
            <w:tcW w:w="1134" w:type="dxa"/>
            <w:vAlign w:val="center"/>
          </w:tcPr>
          <w:p>
            <w:pPr>
              <w:pStyle w:val="11"/>
            </w:pPr>
            <w:r>
              <w:t>31.75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31.75</w:t>
            </w:r>
          </w:p>
        </w:tc>
        <w:tc>
          <w:tcPr>
            <w:tcW w:w="1134" w:type="dxa"/>
            <w:vAlign w:val="center"/>
          </w:tcPr>
          <w:p>
            <w:pPr>
              <w:pStyle w:val="11"/>
            </w:pPr>
            <w:r>
              <w:t>31.75</w:t>
            </w:r>
          </w:p>
        </w:tc>
        <w:tc>
          <w:tcPr>
            <w:tcW w:w="1134" w:type="dxa"/>
            <w:vAlign w:val="center"/>
          </w:tcPr>
          <w:p>
            <w:pPr>
              <w:pStyle w:val="11"/>
            </w:pPr>
            <w:r>
              <w:t>31.75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14.02</w:t>
            </w:r>
          </w:p>
        </w:tc>
        <w:tc>
          <w:tcPr>
            <w:tcW w:w="1134" w:type="dxa"/>
            <w:vAlign w:val="center"/>
          </w:tcPr>
          <w:p>
            <w:pPr>
              <w:pStyle w:val="11"/>
            </w:pPr>
            <w:r>
              <w:t>14.02</w:t>
            </w:r>
          </w:p>
        </w:tc>
        <w:tc>
          <w:tcPr>
            <w:tcW w:w="1134" w:type="dxa"/>
            <w:vAlign w:val="center"/>
          </w:tcPr>
          <w:p>
            <w:pPr>
              <w:pStyle w:val="11"/>
            </w:pPr>
            <w:r>
              <w:t>14.02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14.02</w:t>
            </w:r>
          </w:p>
        </w:tc>
        <w:tc>
          <w:tcPr>
            <w:tcW w:w="1134" w:type="dxa"/>
            <w:vAlign w:val="center"/>
          </w:tcPr>
          <w:p>
            <w:pPr>
              <w:pStyle w:val="11"/>
            </w:pPr>
            <w:r>
              <w:t>14.02</w:t>
            </w:r>
          </w:p>
        </w:tc>
        <w:tc>
          <w:tcPr>
            <w:tcW w:w="1134" w:type="dxa"/>
            <w:vAlign w:val="center"/>
          </w:tcPr>
          <w:p>
            <w:pPr>
              <w:pStyle w:val="11"/>
            </w:pPr>
            <w:r>
              <w:t>14.02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12.25</w:t>
            </w:r>
          </w:p>
        </w:tc>
        <w:tc>
          <w:tcPr>
            <w:tcW w:w="1134" w:type="dxa"/>
            <w:vAlign w:val="center"/>
          </w:tcPr>
          <w:p>
            <w:pPr>
              <w:pStyle w:val="11"/>
            </w:pPr>
            <w:r>
              <w:t>12.25</w:t>
            </w:r>
          </w:p>
        </w:tc>
        <w:tc>
          <w:tcPr>
            <w:tcW w:w="1134" w:type="dxa"/>
            <w:vAlign w:val="center"/>
          </w:tcPr>
          <w:p>
            <w:pPr>
              <w:pStyle w:val="11"/>
            </w:pPr>
            <w:r>
              <w:t>12.25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1.77</w:t>
            </w:r>
          </w:p>
        </w:tc>
        <w:tc>
          <w:tcPr>
            <w:tcW w:w="1134" w:type="dxa"/>
            <w:vAlign w:val="center"/>
          </w:tcPr>
          <w:p>
            <w:pPr>
              <w:pStyle w:val="11"/>
            </w:pPr>
            <w:r>
              <w:t>1.77</w:t>
            </w:r>
          </w:p>
        </w:tc>
        <w:tc>
          <w:tcPr>
            <w:tcW w:w="1134" w:type="dxa"/>
            <w:vAlign w:val="center"/>
          </w:tcPr>
          <w:p>
            <w:pPr>
              <w:pStyle w:val="11"/>
            </w:pPr>
            <w:r>
              <w:t>1.77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15.96</w:t>
            </w:r>
          </w:p>
        </w:tc>
        <w:tc>
          <w:tcPr>
            <w:tcW w:w="1134" w:type="dxa"/>
            <w:vAlign w:val="center"/>
          </w:tcPr>
          <w:p>
            <w:pPr>
              <w:pStyle w:val="11"/>
            </w:pPr>
            <w:r>
              <w:t>15.96</w:t>
            </w:r>
          </w:p>
        </w:tc>
        <w:tc>
          <w:tcPr>
            <w:tcW w:w="1134" w:type="dxa"/>
            <w:vAlign w:val="center"/>
          </w:tcPr>
          <w:p>
            <w:pPr>
              <w:pStyle w:val="11"/>
            </w:pPr>
            <w:r>
              <w:t>15.96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15.96</w:t>
            </w:r>
          </w:p>
        </w:tc>
        <w:tc>
          <w:tcPr>
            <w:tcW w:w="1134" w:type="dxa"/>
            <w:vAlign w:val="center"/>
          </w:tcPr>
          <w:p>
            <w:pPr>
              <w:pStyle w:val="11"/>
            </w:pPr>
            <w:r>
              <w:t>15.96</w:t>
            </w:r>
          </w:p>
        </w:tc>
        <w:tc>
          <w:tcPr>
            <w:tcW w:w="1134" w:type="dxa"/>
            <w:vAlign w:val="center"/>
          </w:tcPr>
          <w:p>
            <w:pPr>
              <w:pStyle w:val="11"/>
            </w:pPr>
            <w:r>
              <w:t>15.96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15.96</w:t>
            </w:r>
          </w:p>
        </w:tc>
        <w:tc>
          <w:tcPr>
            <w:tcW w:w="1134" w:type="dxa"/>
            <w:vAlign w:val="center"/>
          </w:tcPr>
          <w:p>
            <w:pPr>
              <w:pStyle w:val="11"/>
            </w:pPr>
            <w:r>
              <w:t>15.96</w:t>
            </w:r>
          </w:p>
        </w:tc>
        <w:tc>
          <w:tcPr>
            <w:tcW w:w="1134" w:type="dxa"/>
            <w:vAlign w:val="center"/>
          </w:tcPr>
          <w:p>
            <w:pPr>
              <w:pStyle w:val="11"/>
            </w:pPr>
            <w:r>
              <w:t>15.96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14543"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131001中国人民政治协商会议昌黎县委员会本级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370.38</w:t>
            </w:r>
          </w:p>
        </w:tc>
        <w:tc>
          <w:tcPr>
            <w:tcW w:w="1361" w:type="dxa"/>
            <w:vAlign w:val="center"/>
          </w:tcPr>
          <w:p>
            <w:pPr>
              <w:pStyle w:val="15"/>
            </w:pPr>
            <w:r>
              <w:t>340.38</w:t>
            </w:r>
          </w:p>
        </w:tc>
        <w:tc>
          <w:tcPr>
            <w:tcW w:w="1361" w:type="dxa"/>
            <w:vAlign w:val="center"/>
          </w:tcPr>
          <w:p>
            <w:pPr>
              <w:pStyle w:val="15"/>
            </w:pPr>
            <w:r>
              <w:t>30.00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308.65</w:t>
            </w:r>
          </w:p>
        </w:tc>
        <w:tc>
          <w:tcPr>
            <w:tcW w:w="1361" w:type="dxa"/>
            <w:vAlign w:val="center"/>
          </w:tcPr>
          <w:p>
            <w:pPr>
              <w:pStyle w:val="11"/>
            </w:pPr>
            <w:r>
              <w:t>278.65</w:t>
            </w:r>
          </w:p>
        </w:tc>
        <w:tc>
          <w:tcPr>
            <w:tcW w:w="1361" w:type="dxa"/>
            <w:vAlign w:val="center"/>
          </w:tcPr>
          <w:p>
            <w:pPr>
              <w:pStyle w:val="11"/>
            </w:pPr>
            <w:r>
              <w:t>30.00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20102</w:t>
            </w:r>
          </w:p>
        </w:tc>
        <w:tc>
          <w:tcPr>
            <w:tcW w:w="4535" w:type="dxa"/>
            <w:vAlign w:val="center"/>
          </w:tcPr>
          <w:p>
            <w:pPr>
              <w:pStyle w:val="12"/>
            </w:pPr>
            <w:r>
              <w:t>政协事务</w:t>
            </w:r>
          </w:p>
        </w:tc>
        <w:tc>
          <w:tcPr>
            <w:tcW w:w="1361" w:type="dxa"/>
            <w:vAlign w:val="center"/>
          </w:tcPr>
          <w:p>
            <w:pPr>
              <w:pStyle w:val="11"/>
            </w:pPr>
            <w:r>
              <w:t>308.65</w:t>
            </w:r>
          </w:p>
        </w:tc>
        <w:tc>
          <w:tcPr>
            <w:tcW w:w="1361" w:type="dxa"/>
            <w:vAlign w:val="center"/>
          </w:tcPr>
          <w:p>
            <w:pPr>
              <w:pStyle w:val="11"/>
            </w:pPr>
            <w:r>
              <w:t>278.65</w:t>
            </w:r>
          </w:p>
        </w:tc>
        <w:tc>
          <w:tcPr>
            <w:tcW w:w="1361" w:type="dxa"/>
            <w:vAlign w:val="center"/>
          </w:tcPr>
          <w:p>
            <w:pPr>
              <w:pStyle w:val="11"/>
            </w:pPr>
            <w:r>
              <w:t>30.00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2010201</w:t>
            </w:r>
          </w:p>
        </w:tc>
        <w:tc>
          <w:tcPr>
            <w:tcW w:w="4535" w:type="dxa"/>
            <w:vAlign w:val="center"/>
          </w:tcPr>
          <w:p>
            <w:pPr>
              <w:pStyle w:val="12"/>
            </w:pPr>
            <w:r>
              <w:t>行政运行</w:t>
            </w:r>
          </w:p>
        </w:tc>
        <w:tc>
          <w:tcPr>
            <w:tcW w:w="1361" w:type="dxa"/>
            <w:vAlign w:val="center"/>
          </w:tcPr>
          <w:p>
            <w:pPr>
              <w:pStyle w:val="11"/>
            </w:pPr>
            <w:r>
              <w:t>252.16</w:t>
            </w:r>
          </w:p>
        </w:tc>
        <w:tc>
          <w:tcPr>
            <w:tcW w:w="1361" w:type="dxa"/>
            <w:vAlign w:val="center"/>
          </w:tcPr>
          <w:p>
            <w:pPr>
              <w:pStyle w:val="11"/>
            </w:pPr>
            <w:r>
              <w:t>252.16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2010204</w:t>
            </w:r>
          </w:p>
        </w:tc>
        <w:tc>
          <w:tcPr>
            <w:tcW w:w="4535" w:type="dxa"/>
            <w:vAlign w:val="center"/>
          </w:tcPr>
          <w:p>
            <w:pPr>
              <w:pStyle w:val="12"/>
            </w:pPr>
            <w:r>
              <w:t>政协会议</w:t>
            </w:r>
          </w:p>
        </w:tc>
        <w:tc>
          <w:tcPr>
            <w:tcW w:w="1361" w:type="dxa"/>
            <w:vAlign w:val="center"/>
          </w:tcPr>
          <w:p>
            <w:pPr>
              <w:pStyle w:val="11"/>
            </w:pPr>
            <w:r>
              <w:t>30.00</w:t>
            </w:r>
          </w:p>
        </w:tc>
        <w:tc>
          <w:tcPr>
            <w:tcW w:w="1361" w:type="dxa"/>
            <w:vAlign w:val="center"/>
          </w:tcPr>
          <w:p>
            <w:pPr>
              <w:pStyle w:val="11"/>
            </w:pPr>
          </w:p>
        </w:tc>
        <w:tc>
          <w:tcPr>
            <w:tcW w:w="1361" w:type="dxa"/>
            <w:vAlign w:val="center"/>
          </w:tcPr>
          <w:p>
            <w:pPr>
              <w:pStyle w:val="11"/>
            </w:pPr>
            <w:r>
              <w:t>30.00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2010250</w:t>
            </w:r>
          </w:p>
        </w:tc>
        <w:tc>
          <w:tcPr>
            <w:tcW w:w="4535" w:type="dxa"/>
            <w:vAlign w:val="center"/>
          </w:tcPr>
          <w:p>
            <w:pPr>
              <w:pStyle w:val="12"/>
            </w:pPr>
            <w:r>
              <w:t>事业运行</w:t>
            </w:r>
          </w:p>
        </w:tc>
        <w:tc>
          <w:tcPr>
            <w:tcW w:w="1361" w:type="dxa"/>
            <w:vAlign w:val="center"/>
          </w:tcPr>
          <w:p>
            <w:pPr>
              <w:pStyle w:val="11"/>
            </w:pPr>
            <w:r>
              <w:t>26.49</w:t>
            </w:r>
          </w:p>
        </w:tc>
        <w:tc>
          <w:tcPr>
            <w:tcW w:w="1361" w:type="dxa"/>
            <w:vAlign w:val="center"/>
          </w:tcPr>
          <w:p>
            <w:pPr>
              <w:pStyle w:val="11"/>
            </w:pPr>
            <w:r>
              <w:t>26.49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31.75</w:t>
            </w:r>
          </w:p>
        </w:tc>
        <w:tc>
          <w:tcPr>
            <w:tcW w:w="1361" w:type="dxa"/>
            <w:vAlign w:val="center"/>
          </w:tcPr>
          <w:p>
            <w:pPr>
              <w:pStyle w:val="11"/>
            </w:pPr>
            <w:r>
              <w:t>31.75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31.75</w:t>
            </w:r>
          </w:p>
        </w:tc>
        <w:tc>
          <w:tcPr>
            <w:tcW w:w="1361" w:type="dxa"/>
            <w:vAlign w:val="center"/>
          </w:tcPr>
          <w:p>
            <w:pPr>
              <w:pStyle w:val="11"/>
            </w:pPr>
            <w:r>
              <w:t>31.75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31.75</w:t>
            </w:r>
          </w:p>
        </w:tc>
        <w:tc>
          <w:tcPr>
            <w:tcW w:w="1361" w:type="dxa"/>
            <w:vAlign w:val="center"/>
          </w:tcPr>
          <w:p>
            <w:pPr>
              <w:pStyle w:val="11"/>
            </w:pPr>
            <w:r>
              <w:t>31.75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14.02</w:t>
            </w:r>
          </w:p>
        </w:tc>
        <w:tc>
          <w:tcPr>
            <w:tcW w:w="1361" w:type="dxa"/>
            <w:vAlign w:val="center"/>
          </w:tcPr>
          <w:p>
            <w:pPr>
              <w:pStyle w:val="11"/>
            </w:pPr>
            <w:r>
              <w:t>14.02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14.02</w:t>
            </w:r>
          </w:p>
        </w:tc>
        <w:tc>
          <w:tcPr>
            <w:tcW w:w="1361" w:type="dxa"/>
            <w:vAlign w:val="center"/>
          </w:tcPr>
          <w:p>
            <w:pPr>
              <w:pStyle w:val="11"/>
            </w:pPr>
            <w:r>
              <w:t>14.02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12.25</w:t>
            </w:r>
          </w:p>
        </w:tc>
        <w:tc>
          <w:tcPr>
            <w:tcW w:w="1361" w:type="dxa"/>
            <w:vAlign w:val="center"/>
          </w:tcPr>
          <w:p>
            <w:pPr>
              <w:pStyle w:val="11"/>
            </w:pPr>
            <w:r>
              <w:t>12.25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1.77</w:t>
            </w:r>
          </w:p>
        </w:tc>
        <w:tc>
          <w:tcPr>
            <w:tcW w:w="1361" w:type="dxa"/>
            <w:vAlign w:val="center"/>
          </w:tcPr>
          <w:p>
            <w:pPr>
              <w:pStyle w:val="11"/>
            </w:pPr>
            <w:r>
              <w:t>1.77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15.96</w:t>
            </w:r>
          </w:p>
        </w:tc>
        <w:tc>
          <w:tcPr>
            <w:tcW w:w="1361" w:type="dxa"/>
            <w:vAlign w:val="center"/>
          </w:tcPr>
          <w:p>
            <w:pPr>
              <w:pStyle w:val="11"/>
            </w:pPr>
            <w:r>
              <w:t>15.96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15.96</w:t>
            </w:r>
          </w:p>
        </w:tc>
        <w:tc>
          <w:tcPr>
            <w:tcW w:w="1361" w:type="dxa"/>
            <w:vAlign w:val="center"/>
          </w:tcPr>
          <w:p>
            <w:pPr>
              <w:pStyle w:val="11"/>
            </w:pPr>
            <w:r>
              <w:t>15.96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15.96</w:t>
            </w:r>
          </w:p>
        </w:tc>
        <w:tc>
          <w:tcPr>
            <w:tcW w:w="1361" w:type="dxa"/>
            <w:vAlign w:val="center"/>
          </w:tcPr>
          <w:p>
            <w:pPr>
              <w:pStyle w:val="11"/>
            </w:pPr>
            <w:r>
              <w:t>15.96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1502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131001中国人民政治协商会议昌黎县委员会本级</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370.38</w:t>
            </w:r>
          </w:p>
        </w:tc>
        <w:tc>
          <w:tcPr>
            <w:tcW w:w="3402" w:type="dxa"/>
            <w:vAlign w:val="center"/>
          </w:tcPr>
          <w:p>
            <w:pPr>
              <w:pStyle w:val="12"/>
            </w:pPr>
            <w:r>
              <w:t>一、一般公共服务支出</w:t>
            </w:r>
          </w:p>
        </w:tc>
        <w:tc>
          <w:tcPr>
            <w:tcW w:w="1474" w:type="dxa"/>
            <w:vAlign w:val="center"/>
          </w:tcPr>
          <w:p>
            <w:pPr>
              <w:pStyle w:val="11"/>
            </w:pPr>
            <w:r>
              <w:t>308.65</w:t>
            </w:r>
          </w:p>
        </w:tc>
        <w:tc>
          <w:tcPr>
            <w:tcW w:w="1474" w:type="dxa"/>
            <w:vAlign w:val="center"/>
          </w:tcPr>
          <w:p>
            <w:pPr>
              <w:pStyle w:val="11"/>
            </w:pPr>
            <w:r>
              <w:t>308.65</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31.75</w:t>
            </w:r>
          </w:p>
        </w:tc>
        <w:tc>
          <w:tcPr>
            <w:tcW w:w="1474" w:type="dxa"/>
            <w:vAlign w:val="center"/>
          </w:tcPr>
          <w:p>
            <w:pPr>
              <w:pStyle w:val="11"/>
            </w:pPr>
            <w:r>
              <w:t>31.75</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14.02</w:t>
            </w:r>
          </w:p>
        </w:tc>
        <w:tc>
          <w:tcPr>
            <w:tcW w:w="1474" w:type="dxa"/>
            <w:vAlign w:val="center"/>
          </w:tcPr>
          <w:p>
            <w:pPr>
              <w:pStyle w:val="11"/>
            </w:pPr>
            <w:r>
              <w:t>14.02</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15.96</w:t>
            </w:r>
          </w:p>
        </w:tc>
        <w:tc>
          <w:tcPr>
            <w:tcW w:w="1474" w:type="dxa"/>
            <w:vAlign w:val="center"/>
          </w:tcPr>
          <w:p>
            <w:pPr>
              <w:pStyle w:val="11"/>
            </w:pPr>
            <w:r>
              <w:t>15.96</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370.38</w:t>
            </w:r>
          </w:p>
        </w:tc>
        <w:tc>
          <w:tcPr>
            <w:tcW w:w="3402" w:type="dxa"/>
            <w:vAlign w:val="center"/>
          </w:tcPr>
          <w:p>
            <w:pPr>
              <w:pStyle w:val="14"/>
            </w:pPr>
            <w:r>
              <w:t>本年支出合计</w:t>
            </w:r>
          </w:p>
        </w:tc>
        <w:tc>
          <w:tcPr>
            <w:tcW w:w="1474" w:type="dxa"/>
            <w:vAlign w:val="center"/>
          </w:tcPr>
          <w:p>
            <w:pPr>
              <w:pStyle w:val="15"/>
            </w:pPr>
            <w:r>
              <w:t>370.38</w:t>
            </w:r>
          </w:p>
        </w:tc>
        <w:tc>
          <w:tcPr>
            <w:tcW w:w="1474" w:type="dxa"/>
            <w:vAlign w:val="center"/>
          </w:tcPr>
          <w:p>
            <w:pPr>
              <w:pStyle w:val="15"/>
            </w:pPr>
            <w:r>
              <w:t>370.38</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370.38</w:t>
            </w:r>
          </w:p>
        </w:tc>
        <w:tc>
          <w:tcPr>
            <w:tcW w:w="3402" w:type="dxa"/>
            <w:vAlign w:val="center"/>
          </w:tcPr>
          <w:p>
            <w:pPr>
              <w:pStyle w:val="14"/>
            </w:pPr>
            <w:r>
              <w:t>支出总计</w:t>
            </w:r>
          </w:p>
        </w:tc>
        <w:tc>
          <w:tcPr>
            <w:tcW w:w="1474" w:type="dxa"/>
            <w:vAlign w:val="center"/>
          </w:tcPr>
          <w:p>
            <w:pPr>
              <w:pStyle w:val="15"/>
            </w:pPr>
            <w:r>
              <w:t>370.38</w:t>
            </w:r>
          </w:p>
        </w:tc>
        <w:tc>
          <w:tcPr>
            <w:tcW w:w="1474" w:type="dxa"/>
            <w:vAlign w:val="center"/>
          </w:tcPr>
          <w:p>
            <w:pPr>
              <w:pStyle w:val="15"/>
            </w:pPr>
            <w:r>
              <w:t>370.38</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131001中国人民政治协商会议昌黎县委员会本级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370.38</w:t>
            </w:r>
          </w:p>
        </w:tc>
        <w:tc>
          <w:tcPr>
            <w:tcW w:w="2551" w:type="dxa"/>
            <w:vAlign w:val="center"/>
          </w:tcPr>
          <w:p>
            <w:pPr>
              <w:pStyle w:val="15"/>
            </w:pPr>
            <w:r>
              <w:t>340.38</w:t>
            </w:r>
          </w:p>
        </w:tc>
        <w:tc>
          <w:tcPr>
            <w:tcW w:w="2551" w:type="dxa"/>
            <w:vAlign w:val="center"/>
          </w:tcPr>
          <w:p>
            <w:pPr>
              <w:pStyle w:val="15"/>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308.65</w:t>
            </w:r>
          </w:p>
        </w:tc>
        <w:tc>
          <w:tcPr>
            <w:tcW w:w="2551" w:type="dxa"/>
            <w:vAlign w:val="center"/>
          </w:tcPr>
          <w:p>
            <w:pPr>
              <w:pStyle w:val="11"/>
            </w:pPr>
            <w:r>
              <w:t>278.65</w:t>
            </w:r>
          </w:p>
        </w:tc>
        <w:tc>
          <w:tcPr>
            <w:tcW w:w="2551" w:type="dxa"/>
            <w:vAlign w:val="center"/>
          </w:tcPr>
          <w:p>
            <w:pPr>
              <w:pStyle w:val="11"/>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20102</w:t>
            </w:r>
          </w:p>
        </w:tc>
        <w:tc>
          <w:tcPr>
            <w:tcW w:w="4535" w:type="dxa"/>
            <w:vAlign w:val="center"/>
          </w:tcPr>
          <w:p>
            <w:pPr>
              <w:pStyle w:val="12"/>
            </w:pPr>
            <w:r>
              <w:t>政协事务</w:t>
            </w:r>
          </w:p>
        </w:tc>
        <w:tc>
          <w:tcPr>
            <w:tcW w:w="2551" w:type="dxa"/>
            <w:vAlign w:val="center"/>
          </w:tcPr>
          <w:p>
            <w:pPr>
              <w:pStyle w:val="11"/>
            </w:pPr>
            <w:r>
              <w:t>308.65</w:t>
            </w:r>
          </w:p>
        </w:tc>
        <w:tc>
          <w:tcPr>
            <w:tcW w:w="2551" w:type="dxa"/>
            <w:vAlign w:val="center"/>
          </w:tcPr>
          <w:p>
            <w:pPr>
              <w:pStyle w:val="11"/>
            </w:pPr>
            <w:r>
              <w:t>278.65</w:t>
            </w:r>
          </w:p>
        </w:tc>
        <w:tc>
          <w:tcPr>
            <w:tcW w:w="2551" w:type="dxa"/>
            <w:vAlign w:val="center"/>
          </w:tcPr>
          <w:p>
            <w:pPr>
              <w:pStyle w:val="11"/>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2010201</w:t>
            </w:r>
          </w:p>
        </w:tc>
        <w:tc>
          <w:tcPr>
            <w:tcW w:w="4535" w:type="dxa"/>
            <w:vAlign w:val="center"/>
          </w:tcPr>
          <w:p>
            <w:pPr>
              <w:pStyle w:val="12"/>
            </w:pPr>
            <w:r>
              <w:t>行政运行</w:t>
            </w:r>
          </w:p>
        </w:tc>
        <w:tc>
          <w:tcPr>
            <w:tcW w:w="2551" w:type="dxa"/>
            <w:vAlign w:val="center"/>
          </w:tcPr>
          <w:p>
            <w:pPr>
              <w:pStyle w:val="11"/>
            </w:pPr>
            <w:r>
              <w:t>252.16</w:t>
            </w:r>
          </w:p>
        </w:tc>
        <w:tc>
          <w:tcPr>
            <w:tcW w:w="2551" w:type="dxa"/>
            <w:vAlign w:val="center"/>
          </w:tcPr>
          <w:p>
            <w:pPr>
              <w:pStyle w:val="11"/>
            </w:pPr>
            <w:r>
              <w:t>252.16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2010204</w:t>
            </w:r>
          </w:p>
        </w:tc>
        <w:tc>
          <w:tcPr>
            <w:tcW w:w="4535" w:type="dxa"/>
            <w:vAlign w:val="center"/>
          </w:tcPr>
          <w:p>
            <w:pPr>
              <w:pStyle w:val="12"/>
            </w:pPr>
            <w:r>
              <w:t>政协会议</w:t>
            </w:r>
          </w:p>
        </w:tc>
        <w:tc>
          <w:tcPr>
            <w:tcW w:w="2551" w:type="dxa"/>
            <w:vAlign w:val="center"/>
          </w:tcPr>
          <w:p>
            <w:pPr>
              <w:pStyle w:val="11"/>
            </w:pPr>
            <w:r>
              <w:t>30.00</w:t>
            </w:r>
          </w:p>
        </w:tc>
        <w:tc>
          <w:tcPr>
            <w:tcW w:w="2551" w:type="dxa"/>
            <w:vAlign w:val="center"/>
          </w:tcPr>
          <w:p>
            <w:pPr>
              <w:pStyle w:val="11"/>
            </w:pPr>
          </w:p>
        </w:tc>
        <w:tc>
          <w:tcPr>
            <w:tcW w:w="2551" w:type="dxa"/>
            <w:vAlign w:val="center"/>
          </w:tcPr>
          <w:p>
            <w:pPr>
              <w:pStyle w:val="11"/>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2010250</w:t>
            </w:r>
          </w:p>
        </w:tc>
        <w:tc>
          <w:tcPr>
            <w:tcW w:w="4535" w:type="dxa"/>
            <w:vAlign w:val="center"/>
          </w:tcPr>
          <w:p>
            <w:pPr>
              <w:pStyle w:val="12"/>
            </w:pPr>
            <w:r>
              <w:t>事业运行</w:t>
            </w:r>
          </w:p>
        </w:tc>
        <w:tc>
          <w:tcPr>
            <w:tcW w:w="2551" w:type="dxa"/>
            <w:vAlign w:val="center"/>
          </w:tcPr>
          <w:p>
            <w:pPr>
              <w:pStyle w:val="11"/>
            </w:pPr>
            <w:r>
              <w:t>26.49</w:t>
            </w:r>
          </w:p>
        </w:tc>
        <w:tc>
          <w:tcPr>
            <w:tcW w:w="2551" w:type="dxa"/>
            <w:vAlign w:val="center"/>
          </w:tcPr>
          <w:p>
            <w:pPr>
              <w:pStyle w:val="11"/>
            </w:pPr>
            <w:r>
              <w:t>26.49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31.75</w:t>
            </w:r>
          </w:p>
        </w:tc>
        <w:tc>
          <w:tcPr>
            <w:tcW w:w="2551" w:type="dxa"/>
            <w:vAlign w:val="center"/>
          </w:tcPr>
          <w:p>
            <w:pPr>
              <w:pStyle w:val="11"/>
            </w:pPr>
            <w:r>
              <w:t>31.75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31.75</w:t>
            </w:r>
          </w:p>
        </w:tc>
        <w:tc>
          <w:tcPr>
            <w:tcW w:w="2551" w:type="dxa"/>
            <w:vAlign w:val="center"/>
          </w:tcPr>
          <w:p>
            <w:pPr>
              <w:pStyle w:val="11"/>
            </w:pPr>
            <w:r>
              <w:t>31.75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31.75</w:t>
            </w:r>
          </w:p>
        </w:tc>
        <w:tc>
          <w:tcPr>
            <w:tcW w:w="2551" w:type="dxa"/>
            <w:vAlign w:val="center"/>
          </w:tcPr>
          <w:p>
            <w:pPr>
              <w:pStyle w:val="11"/>
            </w:pPr>
            <w:r>
              <w:t>31.75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14.02</w:t>
            </w:r>
          </w:p>
        </w:tc>
        <w:tc>
          <w:tcPr>
            <w:tcW w:w="2551" w:type="dxa"/>
            <w:vAlign w:val="center"/>
          </w:tcPr>
          <w:p>
            <w:pPr>
              <w:pStyle w:val="11"/>
            </w:pPr>
            <w:r>
              <w:t>14.02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14.02</w:t>
            </w:r>
          </w:p>
        </w:tc>
        <w:tc>
          <w:tcPr>
            <w:tcW w:w="2551" w:type="dxa"/>
            <w:vAlign w:val="center"/>
          </w:tcPr>
          <w:p>
            <w:pPr>
              <w:pStyle w:val="11"/>
            </w:pPr>
            <w:r>
              <w:t>14.02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12.25</w:t>
            </w:r>
          </w:p>
        </w:tc>
        <w:tc>
          <w:tcPr>
            <w:tcW w:w="2551" w:type="dxa"/>
            <w:vAlign w:val="center"/>
          </w:tcPr>
          <w:p>
            <w:pPr>
              <w:pStyle w:val="11"/>
            </w:pPr>
            <w:r>
              <w:t>12.25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1.77</w:t>
            </w:r>
          </w:p>
        </w:tc>
        <w:tc>
          <w:tcPr>
            <w:tcW w:w="2551" w:type="dxa"/>
            <w:vAlign w:val="center"/>
          </w:tcPr>
          <w:p>
            <w:pPr>
              <w:pStyle w:val="11"/>
            </w:pPr>
            <w:r>
              <w:t>1.77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15.96</w:t>
            </w:r>
          </w:p>
        </w:tc>
        <w:tc>
          <w:tcPr>
            <w:tcW w:w="2551" w:type="dxa"/>
            <w:vAlign w:val="center"/>
          </w:tcPr>
          <w:p>
            <w:pPr>
              <w:pStyle w:val="11"/>
            </w:pPr>
            <w:r>
              <w:t>15.96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15.96</w:t>
            </w:r>
          </w:p>
        </w:tc>
        <w:tc>
          <w:tcPr>
            <w:tcW w:w="2551" w:type="dxa"/>
            <w:vAlign w:val="center"/>
          </w:tcPr>
          <w:p>
            <w:pPr>
              <w:pStyle w:val="11"/>
            </w:pPr>
            <w:r>
              <w:t>15.96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15.96</w:t>
            </w:r>
          </w:p>
        </w:tc>
        <w:tc>
          <w:tcPr>
            <w:tcW w:w="2551" w:type="dxa"/>
            <w:vAlign w:val="center"/>
          </w:tcPr>
          <w:p>
            <w:pPr>
              <w:pStyle w:val="11"/>
            </w:pPr>
            <w:r>
              <w:t>15.96</w:t>
            </w:r>
          </w:p>
        </w:tc>
        <w:tc>
          <w:tcPr>
            <w:tcW w:w="2551" w:type="dxa"/>
            <w:vAlign w:val="center"/>
          </w:tcPr>
          <w:p>
            <w:pPr>
              <w:pStyle w:val="11"/>
            </w:pP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131001中国人民政治协商会议昌黎县委员会本级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340.38</w:t>
            </w:r>
          </w:p>
        </w:tc>
        <w:tc>
          <w:tcPr>
            <w:tcW w:w="2551" w:type="dxa"/>
            <w:vAlign w:val="center"/>
          </w:tcPr>
          <w:p>
            <w:pPr>
              <w:pStyle w:val="15"/>
            </w:pPr>
            <w:r>
              <w:t>309.88</w:t>
            </w:r>
          </w:p>
        </w:tc>
        <w:tc>
          <w:tcPr>
            <w:tcW w:w="2551" w:type="dxa"/>
            <w:vAlign w:val="center"/>
          </w:tcPr>
          <w:p>
            <w:pPr>
              <w:pStyle w:val="15"/>
            </w:pPr>
            <w:r>
              <w:t>30.50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274.71</w:t>
            </w:r>
          </w:p>
        </w:tc>
        <w:tc>
          <w:tcPr>
            <w:tcW w:w="2551" w:type="dxa"/>
            <w:vAlign w:val="center"/>
          </w:tcPr>
          <w:p>
            <w:pPr>
              <w:pStyle w:val="11"/>
            </w:pPr>
            <w:r>
              <w:t>274.71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136.73</w:t>
            </w:r>
          </w:p>
        </w:tc>
        <w:tc>
          <w:tcPr>
            <w:tcW w:w="2551" w:type="dxa"/>
            <w:vAlign w:val="center"/>
          </w:tcPr>
          <w:p>
            <w:pPr>
              <w:pStyle w:val="11"/>
            </w:pPr>
            <w:r>
              <w:t>136.73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42.04</w:t>
            </w:r>
          </w:p>
        </w:tc>
        <w:tc>
          <w:tcPr>
            <w:tcW w:w="2551" w:type="dxa"/>
            <w:vAlign w:val="center"/>
          </w:tcPr>
          <w:p>
            <w:pPr>
              <w:pStyle w:val="11"/>
            </w:pPr>
            <w:r>
              <w:t>42.04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25.15</w:t>
            </w:r>
          </w:p>
        </w:tc>
        <w:tc>
          <w:tcPr>
            <w:tcW w:w="2551" w:type="dxa"/>
            <w:vAlign w:val="center"/>
          </w:tcPr>
          <w:p>
            <w:pPr>
              <w:pStyle w:val="11"/>
            </w:pPr>
            <w:r>
              <w:t>25.15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7.77</w:t>
            </w:r>
          </w:p>
        </w:tc>
        <w:tc>
          <w:tcPr>
            <w:tcW w:w="2551" w:type="dxa"/>
            <w:vAlign w:val="center"/>
          </w:tcPr>
          <w:p>
            <w:pPr>
              <w:pStyle w:val="11"/>
            </w:pPr>
            <w:r>
              <w:t>7.77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31.75</w:t>
            </w:r>
          </w:p>
        </w:tc>
        <w:tc>
          <w:tcPr>
            <w:tcW w:w="2551" w:type="dxa"/>
            <w:vAlign w:val="center"/>
          </w:tcPr>
          <w:p>
            <w:pPr>
              <w:pStyle w:val="11"/>
            </w:pPr>
            <w:r>
              <w:t>31.75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14.02</w:t>
            </w:r>
          </w:p>
        </w:tc>
        <w:tc>
          <w:tcPr>
            <w:tcW w:w="2551" w:type="dxa"/>
            <w:vAlign w:val="center"/>
          </w:tcPr>
          <w:p>
            <w:pPr>
              <w:pStyle w:val="11"/>
            </w:pPr>
            <w:r>
              <w:t>14.02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1.29</w:t>
            </w:r>
          </w:p>
        </w:tc>
        <w:tc>
          <w:tcPr>
            <w:tcW w:w="2551" w:type="dxa"/>
            <w:vAlign w:val="center"/>
          </w:tcPr>
          <w:p>
            <w:pPr>
              <w:pStyle w:val="11"/>
            </w:pPr>
            <w:r>
              <w:t>1.29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15.96</w:t>
            </w:r>
          </w:p>
        </w:tc>
        <w:tc>
          <w:tcPr>
            <w:tcW w:w="2551" w:type="dxa"/>
            <w:vAlign w:val="center"/>
          </w:tcPr>
          <w:p>
            <w:pPr>
              <w:pStyle w:val="11"/>
            </w:pPr>
            <w:r>
              <w:t>15.96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30.50</w:t>
            </w:r>
          </w:p>
        </w:tc>
        <w:tc>
          <w:tcPr>
            <w:tcW w:w="2551" w:type="dxa"/>
            <w:vAlign w:val="center"/>
          </w:tcPr>
          <w:p>
            <w:pPr>
              <w:pStyle w:val="11"/>
            </w:pPr>
          </w:p>
        </w:tc>
        <w:tc>
          <w:tcPr>
            <w:tcW w:w="2551" w:type="dxa"/>
            <w:vAlign w:val="center"/>
          </w:tcPr>
          <w:p>
            <w:pPr>
              <w:pStyle w:val="11"/>
            </w:pPr>
            <w:r>
              <w:t>30.50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3.10</w:t>
            </w:r>
          </w:p>
        </w:tc>
        <w:tc>
          <w:tcPr>
            <w:tcW w:w="2551" w:type="dxa"/>
            <w:vAlign w:val="center"/>
          </w:tcPr>
          <w:p>
            <w:pPr>
              <w:pStyle w:val="11"/>
            </w:pPr>
          </w:p>
        </w:tc>
        <w:tc>
          <w:tcPr>
            <w:tcW w:w="2551" w:type="dxa"/>
            <w:vAlign w:val="center"/>
          </w:tcPr>
          <w:p>
            <w:pPr>
              <w:pStyle w:val="11"/>
            </w:pPr>
            <w:r>
              <w:t>3.10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0.60</w:t>
            </w:r>
          </w:p>
        </w:tc>
        <w:tc>
          <w:tcPr>
            <w:tcW w:w="2551" w:type="dxa"/>
            <w:vAlign w:val="center"/>
          </w:tcPr>
          <w:p>
            <w:pPr>
              <w:pStyle w:val="11"/>
            </w:pPr>
          </w:p>
        </w:tc>
        <w:tc>
          <w:tcPr>
            <w:tcW w:w="2551" w:type="dxa"/>
            <w:vAlign w:val="center"/>
          </w:tcPr>
          <w:p>
            <w:pPr>
              <w:pStyle w:val="11"/>
            </w:pPr>
            <w:r>
              <w:t>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0.57</w:t>
            </w:r>
          </w:p>
        </w:tc>
        <w:tc>
          <w:tcPr>
            <w:tcW w:w="2551" w:type="dxa"/>
            <w:vAlign w:val="center"/>
          </w:tcPr>
          <w:p>
            <w:pPr>
              <w:pStyle w:val="11"/>
            </w:pPr>
          </w:p>
        </w:tc>
        <w:tc>
          <w:tcPr>
            <w:tcW w:w="2551" w:type="dxa"/>
            <w:vAlign w:val="center"/>
          </w:tcPr>
          <w:p>
            <w:pPr>
              <w:pStyle w:val="11"/>
            </w:pPr>
            <w:r>
              <w:t>0.57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1.61</w:t>
            </w:r>
          </w:p>
        </w:tc>
        <w:tc>
          <w:tcPr>
            <w:tcW w:w="2551" w:type="dxa"/>
            <w:vAlign w:val="center"/>
          </w:tcPr>
          <w:p>
            <w:pPr>
              <w:pStyle w:val="11"/>
            </w:pPr>
          </w:p>
        </w:tc>
        <w:tc>
          <w:tcPr>
            <w:tcW w:w="2551" w:type="dxa"/>
            <w:vAlign w:val="center"/>
          </w:tcPr>
          <w:p>
            <w:pPr>
              <w:pStyle w:val="11"/>
            </w:pPr>
            <w:r>
              <w:t>1.61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3.27</w:t>
            </w:r>
          </w:p>
        </w:tc>
        <w:tc>
          <w:tcPr>
            <w:tcW w:w="2551" w:type="dxa"/>
            <w:vAlign w:val="center"/>
          </w:tcPr>
          <w:p>
            <w:pPr>
              <w:pStyle w:val="11"/>
            </w:pPr>
          </w:p>
        </w:tc>
        <w:tc>
          <w:tcPr>
            <w:tcW w:w="2551" w:type="dxa"/>
            <w:vAlign w:val="center"/>
          </w:tcPr>
          <w:p>
            <w:pPr>
              <w:pStyle w:val="11"/>
            </w:pPr>
            <w:r>
              <w:t>3.27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14.51</w:t>
            </w:r>
          </w:p>
        </w:tc>
        <w:tc>
          <w:tcPr>
            <w:tcW w:w="2551" w:type="dxa"/>
            <w:vAlign w:val="center"/>
          </w:tcPr>
          <w:p>
            <w:pPr>
              <w:pStyle w:val="11"/>
            </w:pPr>
          </w:p>
        </w:tc>
        <w:tc>
          <w:tcPr>
            <w:tcW w:w="2551" w:type="dxa"/>
            <w:vAlign w:val="center"/>
          </w:tcPr>
          <w:p>
            <w:pPr>
              <w:pStyle w:val="11"/>
            </w:pPr>
            <w:r>
              <w:t>14.51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6.85</w:t>
            </w:r>
          </w:p>
        </w:tc>
        <w:tc>
          <w:tcPr>
            <w:tcW w:w="2551" w:type="dxa"/>
            <w:vAlign w:val="center"/>
          </w:tcPr>
          <w:p>
            <w:pPr>
              <w:pStyle w:val="11"/>
            </w:pPr>
          </w:p>
        </w:tc>
        <w:tc>
          <w:tcPr>
            <w:tcW w:w="2551" w:type="dxa"/>
            <w:vAlign w:val="center"/>
          </w:tcPr>
          <w:p>
            <w:pPr>
              <w:pStyle w:val="11"/>
            </w:pPr>
            <w:r>
              <w:t>6.85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35.17</w:t>
            </w:r>
          </w:p>
        </w:tc>
        <w:tc>
          <w:tcPr>
            <w:tcW w:w="2551" w:type="dxa"/>
            <w:vAlign w:val="center"/>
          </w:tcPr>
          <w:p>
            <w:pPr>
              <w:pStyle w:val="11"/>
            </w:pPr>
            <w:r>
              <w:t>35.17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35.17</w:t>
            </w:r>
          </w:p>
        </w:tc>
        <w:tc>
          <w:tcPr>
            <w:tcW w:w="2551" w:type="dxa"/>
            <w:vAlign w:val="center"/>
          </w:tcPr>
          <w:p>
            <w:pPr>
              <w:pStyle w:val="11"/>
            </w:pPr>
            <w:r>
              <w:t>35.17</w:t>
            </w:r>
          </w:p>
        </w:tc>
        <w:tc>
          <w:tcPr>
            <w:tcW w:w="2551" w:type="dxa"/>
            <w:vAlign w:val="center"/>
          </w:tcPr>
          <w:p>
            <w:pPr>
              <w:pStyle w:val="11"/>
            </w:pP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131001中国人民政治协商会议昌黎县委员会本级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131001中国人民政治协商会议昌黎县委员会本级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14172"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131001中国人民政治协商会议昌黎县委员会本级</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3.83</w:t>
            </w:r>
          </w:p>
        </w:tc>
        <w:tc>
          <w:tcPr>
            <w:tcW w:w="2381" w:type="dxa"/>
            <w:vAlign w:val="center"/>
          </w:tcPr>
          <w:p>
            <w:pPr>
              <w:pStyle w:val="15"/>
            </w:pPr>
            <w:r>
              <w:t>3.83</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3.83</w:t>
            </w:r>
          </w:p>
        </w:tc>
        <w:tc>
          <w:tcPr>
            <w:tcW w:w="2381" w:type="dxa"/>
            <w:vAlign w:val="center"/>
          </w:tcPr>
          <w:p>
            <w:pPr>
              <w:pStyle w:val="11"/>
            </w:pPr>
            <w:r>
              <w:t>3.83</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3.27</w:t>
            </w:r>
          </w:p>
        </w:tc>
        <w:tc>
          <w:tcPr>
            <w:tcW w:w="2381" w:type="dxa"/>
            <w:vAlign w:val="center"/>
          </w:tcPr>
          <w:p>
            <w:pPr>
              <w:pStyle w:val="11"/>
            </w:pPr>
            <w:r>
              <w:t>3.27</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3.27</w:t>
            </w:r>
          </w:p>
        </w:tc>
        <w:tc>
          <w:tcPr>
            <w:tcW w:w="2381" w:type="dxa"/>
            <w:vAlign w:val="center"/>
          </w:tcPr>
          <w:p>
            <w:pPr>
              <w:pStyle w:val="11"/>
            </w:pPr>
            <w:r>
              <w:t>3.27</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r>
              <w:t>0.57</w:t>
            </w:r>
          </w:p>
        </w:tc>
        <w:tc>
          <w:tcPr>
            <w:tcW w:w="2381" w:type="dxa"/>
            <w:vAlign w:val="center"/>
          </w:tcPr>
          <w:p>
            <w:pPr>
              <w:pStyle w:val="11"/>
            </w:pPr>
            <w:r>
              <w:t>0.57</w:t>
            </w: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中国人民政治协商会议昌黎县委员会本级2026年单位预算信息公开情况说明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按照《中华人民共和国预算法》、《地方预决算公开操作规程》和《关于进一步推进预算公开工作的实施意见》规定，现将中国人民政治协商会议昌黎县委员会本级2026年单位预算公开如下：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政协昌黎县委员会的主要职能是政治协商和民主监督，组织参加政协的各党派、团体和各族各界人士参政议政。政治协商是对国家和地方的大政方针以及政治、经济、文化和社会生活中的重要问题在决策之前进行协商。民主监督是对国家宪法、法律和法规的实施情况，对中共中央与国家领导机关制定的重大方针、政策的贯彻执行情况，对国家机关及其工作人员在履行职责、遵纪守法、为政清廉等方面的情况，通过建议和批评进行监督。参政议政是政治协商和民主监督的拓展和延伸。</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13465"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5669" w:type="dxa"/>
            <w:vAlign w:val="center"/>
          </w:tcPr>
          <w:p>
            <w:pPr>
              <w:pStyle w:val="12"/>
            </w:pPr>
            <w:r>
              <w:t>中国人民政治协商会议昌黎县委员会本级</w:t>
            </w:r>
          </w:p>
        </w:tc>
        <w:tc>
          <w:tcPr>
            <w:tcW w:w="1843" w:type="dxa"/>
            <w:vAlign w:val="center"/>
          </w:tcPr>
          <w:p>
            <w:pPr>
              <w:pStyle w:val="13"/>
            </w:pPr>
            <w:r>
              <w:t>行政</w:t>
            </w:r>
          </w:p>
        </w:tc>
        <w:tc>
          <w:tcPr>
            <w:tcW w:w="2126" w:type="dxa"/>
            <w:vAlign w:val="center"/>
          </w:tcPr>
          <w:p>
            <w:pPr>
              <w:pStyle w:val="13"/>
            </w:pPr>
            <w:r>
              <w:t>正处（县）级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2026年预算收入370.38万元，其中：一般公共预算收入370.38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中国人民政治协商会议昌黎县委员会本级年度单位预算中支出预算的总体情况。2026年支出预算370.38万元，其中基本支出340.38万元，包括人员经费309.88万元和日常公用经费30.50万元；项目支出30.00万元，主要为政协全会经费项目；预计下年使用的单位资金结余0.00万元。委托业务费共计安排0.00万元，主要用于因技术原因确需对外委托的辅助性工作和确有必要对外委托开展咨询、评审、规划等工作。</w:t>
      </w:r>
    </w:p>
    <w:p>
      <w:pPr>
        <w:pStyle w:val="18"/>
      </w:pPr>
      <w:r>
        <w:t>3、比上年增减情况</w:t>
      </w:r>
    </w:p>
    <w:p>
      <w:pPr>
        <w:pStyle w:val="18"/>
      </w:pPr>
      <w:r>
        <w:t>2026年预算收支安排370.38万元，较2025年预算增加16.22万元，其中：基本支出增加16.22万元，主要为在职人员工资、保险等人员经费增加造成基本支出增加。项目支出增加0.00万元，主要为政协全会经费项目较上年没有变化。预计下年使用的单位资金结余增加0.00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2026年，我单位机关运行经费共计安排30.50万元，主要用于日常维修、办公用房水电费、办公用房取暖费、办公用房物业管理费等日常运行支出。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2026年，我单位财政拨款“三公”经费预算安排3.83万元，其中因公出国（境）费0.00万元；公务用车购置及运维费3.27万元（其中：公务用车购置费为0.00万元，公务用车运维费3.27万元)；公务接待费0.57万元。与2025年相比减少0.63万元，增减变化的主要原因是为落实习惯过紧日子要求，压减公务用车运维费及公务接待费。</w:t>
      </w:r>
    </w:p>
    <w:p>
      <w:pPr>
        <w:spacing w:before="10" w:after="10" w:line="240" w:lineRule="auto"/>
        <w:ind w:firstLine="640"/>
        <w:jc w:val="left"/>
        <w:outlineLvl w:val="5"/>
        <w:sectPr>
          <w:pgSz w:w="16840" w:h="11900" w:orient="landscape"/>
          <w:pgMar w:top="1361" w:right="1020" w:bottom="1361" w:left="1020" w:header="720" w:footer="720" w:gutter="0"/>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1、政协全会经费绩效目标表</w:t>
      </w:r>
    </w:p>
    <w:tbl>
      <w:tblPr>
        <w:tblStyle w:val="4"/>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13032226P00210310003Q</w:t>
            </w:r>
          </w:p>
        </w:tc>
        <w:tc>
          <w:tcPr>
            <w:tcW w:w="2835" w:type="dxa"/>
            <w:vAlign w:val="center"/>
          </w:tcPr>
          <w:p>
            <w:pPr>
              <w:pStyle w:val="10"/>
            </w:pPr>
            <w:r>
              <w:t>项目名称</w:t>
            </w:r>
          </w:p>
        </w:tc>
        <w:tc>
          <w:tcPr>
            <w:tcW w:w="6095" w:type="dxa"/>
            <w:gridSpan w:val="3"/>
            <w:vAlign w:val="center"/>
          </w:tcPr>
          <w:p>
            <w:pPr>
              <w:pStyle w:val="12"/>
            </w:pPr>
            <w:r>
              <w:t>政协全会经费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30.00</w:t>
            </w:r>
          </w:p>
        </w:tc>
        <w:tc>
          <w:tcPr>
            <w:tcW w:w="2835" w:type="dxa"/>
            <w:vAlign w:val="center"/>
          </w:tcPr>
          <w:p>
            <w:pPr>
              <w:pStyle w:val="10"/>
            </w:pPr>
            <w:r>
              <w:t>其中：财政    资金</w:t>
            </w:r>
          </w:p>
        </w:tc>
        <w:tc>
          <w:tcPr>
            <w:tcW w:w="2551" w:type="dxa"/>
            <w:vAlign w:val="center"/>
          </w:tcPr>
          <w:p>
            <w:pPr>
              <w:pStyle w:val="12"/>
            </w:pPr>
            <w:r>
              <w:t>30.00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用于昌黎县政协十六届六次全会会议各项费用支出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100%</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1.通过保障代表食宿质量水平，达到提高会议质量，提高政治协商水平的效果。</w:t>
            </w:r>
            <w:r>
              <w:tab/>
            </w:r>
            <w:r>
              <w:tab/>
            </w:r>
            <w:r>
              <w:tab/>
            </w:r>
            <w:r>
              <w:tab/>
            </w:r>
            <w:r>
              <w:tab/>
            </w:r>
          </w:p>
          <w:p>
            <w:pPr>
              <w:pStyle w:val="12"/>
            </w:pPr>
            <w:r>
              <w:t>2.通过支付政协会议各项必要费用，达到完善各项会议制度，规范会议程序的效果。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提案质量</w:t>
            </w:r>
          </w:p>
        </w:tc>
        <w:tc>
          <w:tcPr>
            <w:tcW w:w="5386" w:type="dxa"/>
            <w:vAlign w:val="center"/>
          </w:tcPr>
          <w:p>
            <w:pPr>
              <w:pStyle w:val="12"/>
            </w:pPr>
            <w:r>
              <w:t>会议期间提案征集</w:t>
            </w:r>
          </w:p>
        </w:tc>
        <w:tc>
          <w:tcPr>
            <w:tcW w:w="2268" w:type="dxa"/>
            <w:vAlign w:val="center"/>
          </w:tcPr>
          <w:p>
            <w:pPr>
              <w:pStyle w:val="12"/>
            </w:pPr>
            <w:r>
              <w:t>≥185件</w:t>
            </w:r>
          </w:p>
        </w:tc>
        <w:tc>
          <w:tcPr>
            <w:tcW w:w="1276" w:type="dxa"/>
            <w:vAlign w:val="center"/>
          </w:tcPr>
          <w:p>
            <w:pPr>
              <w:pStyle w:val="12"/>
            </w:pPr>
            <w:r>
              <w:t>提案工作报告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政治任务实现率</w:t>
            </w:r>
          </w:p>
        </w:tc>
        <w:tc>
          <w:tcPr>
            <w:tcW w:w="5386" w:type="dxa"/>
            <w:vAlign w:val="center"/>
          </w:tcPr>
          <w:p>
            <w:pPr>
              <w:pStyle w:val="12"/>
            </w:pPr>
            <w:r>
              <w:t>实际完成的政治任务占计划实现的政治任务的比例</w:t>
            </w:r>
          </w:p>
        </w:tc>
        <w:tc>
          <w:tcPr>
            <w:tcW w:w="2268" w:type="dxa"/>
            <w:vAlign w:val="center"/>
          </w:tcPr>
          <w:p>
            <w:pPr>
              <w:pStyle w:val="12"/>
            </w:pPr>
            <w:r>
              <w:t>≥95%</w:t>
            </w:r>
          </w:p>
        </w:tc>
        <w:tc>
          <w:tcPr>
            <w:tcW w:w="1276" w:type="dxa"/>
            <w:vAlign w:val="center"/>
          </w:tcPr>
          <w:p>
            <w:pPr>
              <w:pStyle w:val="12"/>
            </w:pPr>
            <w:r>
              <w:t>政协工作报告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会议筹备及会务工作的完成率</w:t>
            </w:r>
          </w:p>
        </w:tc>
        <w:tc>
          <w:tcPr>
            <w:tcW w:w="5386" w:type="dxa"/>
            <w:vAlign w:val="center"/>
          </w:tcPr>
          <w:p>
            <w:pPr>
              <w:pStyle w:val="12"/>
            </w:pPr>
            <w:r>
              <w:t>会议筹备及会务工作的及时完成任务数占筹备任务总数的比率</w:t>
            </w:r>
          </w:p>
        </w:tc>
        <w:tc>
          <w:tcPr>
            <w:tcW w:w="2268" w:type="dxa"/>
            <w:vAlign w:val="center"/>
          </w:tcPr>
          <w:p>
            <w:pPr>
              <w:pStyle w:val="12"/>
            </w:pPr>
            <w:r>
              <w:t>≥95%</w:t>
            </w:r>
          </w:p>
        </w:tc>
        <w:tc>
          <w:tcPr>
            <w:tcW w:w="1276" w:type="dxa"/>
            <w:vAlign w:val="center"/>
          </w:tcPr>
          <w:p>
            <w:pPr>
              <w:pStyle w:val="12"/>
            </w:pPr>
            <w:r>
              <w:t>经验标准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会议成本</w:t>
            </w:r>
          </w:p>
        </w:tc>
        <w:tc>
          <w:tcPr>
            <w:tcW w:w="5386" w:type="dxa"/>
            <w:vAlign w:val="center"/>
          </w:tcPr>
          <w:p>
            <w:pPr>
              <w:pStyle w:val="12"/>
            </w:pPr>
            <w:r>
              <w:t>政协委员会议期间住宿、伙食、其他费用单个成本</w:t>
            </w:r>
          </w:p>
        </w:tc>
        <w:tc>
          <w:tcPr>
            <w:tcW w:w="2268" w:type="dxa"/>
            <w:vAlign w:val="center"/>
          </w:tcPr>
          <w:p>
            <w:pPr>
              <w:pStyle w:val="12"/>
            </w:pPr>
            <w:r>
              <w:t>≤430元/人</w:t>
            </w:r>
          </w:p>
        </w:tc>
        <w:tc>
          <w:tcPr>
            <w:tcW w:w="1276" w:type="dxa"/>
            <w:vAlign w:val="center"/>
          </w:tcPr>
          <w:p>
            <w:pPr>
              <w:pStyle w:val="12"/>
            </w:pPr>
            <w:r>
              <w:t>昌黎县财政局关于公布2019-2020年党政机关会议定点场所的通知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进一步带动本县经济</w:t>
            </w:r>
          </w:p>
        </w:tc>
        <w:tc>
          <w:tcPr>
            <w:tcW w:w="5386" w:type="dxa"/>
            <w:vAlign w:val="center"/>
          </w:tcPr>
          <w:p>
            <w:pPr>
              <w:pStyle w:val="12"/>
            </w:pPr>
            <w:r>
              <w:t>带动本地旅宿、交通等行业的经济收入，不低于上年</w:t>
            </w:r>
          </w:p>
        </w:tc>
        <w:tc>
          <w:tcPr>
            <w:tcW w:w="2268" w:type="dxa"/>
            <w:vAlign w:val="center"/>
          </w:tcPr>
          <w:p>
            <w:pPr>
              <w:pStyle w:val="12"/>
            </w:pPr>
            <w:r>
              <w:t>不低于上年</w:t>
            </w:r>
          </w:p>
        </w:tc>
        <w:tc>
          <w:tcPr>
            <w:tcW w:w="1276" w:type="dxa"/>
            <w:vAlign w:val="center"/>
          </w:tcPr>
          <w:p>
            <w:pPr>
              <w:pStyle w:val="12"/>
            </w:pPr>
            <w:r>
              <w:t>经验标准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提案有效办理率</w:t>
            </w:r>
          </w:p>
        </w:tc>
        <w:tc>
          <w:tcPr>
            <w:tcW w:w="5386" w:type="dxa"/>
            <w:vAlign w:val="center"/>
          </w:tcPr>
          <w:p>
            <w:pPr>
              <w:pStyle w:val="12"/>
            </w:pPr>
            <w:r>
              <w:t>有效办理提案数量占全县征集提案数量的比率</w:t>
            </w:r>
          </w:p>
        </w:tc>
        <w:tc>
          <w:tcPr>
            <w:tcW w:w="2268" w:type="dxa"/>
            <w:vAlign w:val="center"/>
          </w:tcPr>
          <w:p>
            <w:pPr>
              <w:pStyle w:val="12"/>
            </w:pPr>
            <w:r>
              <w:t>≥90%</w:t>
            </w:r>
          </w:p>
        </w:tc>
        <w:tc>
          <w:tcPr>
            <w:tcW w:w="1276" w:type="dxa"/>
            <w:vAlign w:val="center"/>
          </w:tcPr>
          <w:p>
            <w:pPr>
              <w:pStyle w:val="12"/>
            </w:pPr>
            <w:r>
              <w:t>提案工作报告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厉行节约、节能降耗</w:t>
            </w:r>
          </w:p>
        </w:tc>
        <w:tc>
          <w:tcPr>
            <w:tcW w:w="5386" w:type="dxa"/>
            <w:vAlign w:val="center"/>
          </w:tcPr>
          <w:p>
            <w:pPr>
              <w:pStyle w:val="12"/>
            </w:pPr>
            <w:r>
              <w:t>节约资源，降低消耗，实现绿色会议</w:t>
            </w:r>
          </w:p>
        </w:tc>
        <w:tc>
          <w:tcPr>
            <w:tcW w:w="2268" w:type="dxa"/>
            <w:vAlign w:val="center"/>
          </w:tcPr>
          <w:p>
            <w:pPr>
              <w:pStyle w:val="12"/>
            </w:pPr>
            <w:r>
              <w:t>较上年节约</w:t>
            </w:r>
          </w:p>
        </w:tc>
        <w:tc>
          <w:tcPr>
            <w:tcW w:w="1276" w:type="dxa"/>
            <w:vAlign w:val="center"/>
          </w:tcPr>
          <w:p>
            <w:pPr>
              <w:pStyle w:val="12"/>
            </w:pPr>
            <w:r>
              <w:t>经验标准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会议的持续影响时限</w:t>
            </w:r>
          </w:p>
        </w:tc>
        <w:tc>
          <w:tcPr>
            <w:tcW w:w="5386" w:type="dxa"/>
            <w:vAlign w:val="center"/>
          </w:tcPr>
          <w:p>
            <w:pPr>
              <w:pStyle w:val="12"/>
            </w:pPr>
            <w:r>
              <w:t>政协会议开展的可持续时限</w:t>
            </w:r>
          </w:p>
        </w:tc>
        <w:tc>
          <w:tcPr>
            <w:tcW w:w="2268" w:type="dxa"/>
            <w:vAlign w:val="center"/>
          </w:tcPr>
          <w:p>
            <w:pPr>
              <w:pStyle w:val="12"/>
            </w:pPr>
            <w:r>
              <w:t>≥1年</w:t>
            </w:r>
          </w:p>
        </w:tc>
        <w:tc>
          <w:tcPr>
            <w:tcW w:w="1276" w:type="dxa"/>
            <w:vAlign w:val="center"/>
          </w:tcPr>
          <w:p>
            <w:pPr>
              <w:pStyle w:val="12"/>
            </w:pPr>
            <w:r>
              <w:t>经验标准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参会人员的满意度</w:t>
            </w:r>
          </w:p>
        </w:tc>
        <w:tc>
          <w:tcPr>
            <w:tcW w:w="5386" w:type="dxa"/>
            <w:vAlign w:val="center"/>
          </w:tcPr>
          <w:p>
            <w:pPr>
              <w:pStyle w:val="12"/>
            </w:pPr>
            <w:r>
              <w:t>调查参会人员对会议组织的满意的人数占调查总人数的比例，投入使用后是否产生社会效益</w:t>
            </w:r>
          </w:p>
        </w:tc>
        <w:tc>
          <w:tcPr>
            <w:tcW w:w="2268" w:type="dxa"/>
            <w:vAlign w:val="center"/>
          </w:tcPr>
          <w:p>
            <w:pPr>
              <w:pStyle w:val="12"/>
            </w:pPr>
            <w:r>
              <w:t>≥95%</w:t>
            </w:r>
          </w:p>
        </w:tc>
        <w:tc>
          <w:tcPr>
            <w:tcW w:w="1276" w:type="dxa"/>
            <w:vAlign w:val="center"/>
          </w:tcPr>
          <w:p>
            <w:pPr>
              <w:pStyle w:val="12"/>
            </w:pPr>
            <w:r>
              <w:t>经验标准</w:t>
            </w:r>
          </w:p>
        </w:tc>
      </w:tr>
    </w:tbl>
    <w:p>
      <w:pPr>
        <w:sectPr>
          <w:pgSz w:w="16840" w:h="11900" w:orient="landscape"/>
          <w:pgMar w:top="1361" w:right="1020" w:bottom="1134" w:left="1020" w:header="720" w:footer="720" w:gutter="0"/>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1601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131001中国人民政治协商会议昌黎县委员会本级</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中国人民政治协商会议昌黎县委员会本级上年末固定资产金额为58.91万元（详见下表）。本年度拟购置固定资产总额为0.00万元，已按要求列入政府采购预算，详见政府采购预算表。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13040"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131001中国人民政治协商会议昌黎县委员会本级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58.91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t>2</w:t>
            </w:r>
          </w:p>
        </w:tc>
        <w:tc>
          <w:tcPr>
            <w:tcW w:w="2835" w:type="dxa"/>
            <w:vAlign w:val="center"/>
          </w:tcPr>
          <w:p>
            <w:pPr>
              <w:pStyle w:val="11"/>
            </w:pPr>
            <w:r>
              <w:t>34.00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pPr>
            <w:r>
              <w:t>91</w:t>
            </w:r>
          </w:p>
        </w:tc>
        <w:tc>
          <w:tcPr>
            <w:tcW w:w="2835" w:type="dxa"/>
            <w:vAlign w:val="center"/>
          </w:tcPr>
          <w:p>
            <w:pPr>
              <w:pStyle w:val="11"/>
            </w:pPr>
            <w:r>
              <w:t>24.91</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22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78771D"/>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24</Pages>
  <TotalTime>0</TotalTime>
  <ScaleCrop>false</ScaleCrop>
  <LinksUpToDate>false</LinksUpToDate>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2026-01-30T12:18:00Z</dcterms:created>
  <dc:creator>ylbg</dc:creator>
  <cp:lastModifiedBy>ylbg</cp:lastModifiedBy>
  <dcterms:modified xsi:type="dcterms:W3CDTF">2026-01-30T07:53:18Z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