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5</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6</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9</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10</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11</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12</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17</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17</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18</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23</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23</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24</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410昌黎县统计局</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259.69</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r>
              <w:t>208.20</w:t>
            </w: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25.72</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13.25</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12.53</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259.69</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259.69</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259.69</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259.69</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410昌黎县统计局</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259.69</w:t>
            </w:r>
          </w:p>
        </w:tc>
        <w:tc>
          <w:tcPr>
            <w:tcW w:w="1134" w:type="dxa"/>
            <w:tcBorders>
              <w:top w:val="single" w:sz="6" w:space="0" w:color="000000"/>
              <w:left w:val="single" w:sz="6" w:space="0" w:color="000000"/>
              <w:right w:val="single" w:sz="6" w:space="0" w:color="000000"/>
            </w:tcBorders>
            <w:vAlign w:val="center"/>
          </w:tcPr>
          <w:p>
            <w:pPr>
              <w:pStyle w:val="23"/>
            </w:pPr>
            <w:r>
              <w:t>259.69</w:t>
            </w:r>
          </w:p>
        </w:tc>
        <w:tc>
          <w:tcPr>
            <w:tcW w:w="1134" w:type="dxa"/>
            <w:tcBorders>
              <w:top w:val="single" w:sz="6" w:space="0" w:color="000000"/>
              <w:left w:val="single" w:sz="6" w:space="0" w:color="000000"/>
              <w:right w:val="single" w:sz="6" w:space="0" w:color="000000"/>
            </w:tcBorders>
            <w:vAlign w:val="center"/>
          </w:tcPr>
          <w:p>
            <w:pPr>
              <w:pStyle w:val="23"/>
            </w:pPr>
            <w:r>
              <w:t>259.69</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1559" w:type="dxa"/>
            <w:tcBorders>
              <w:top w:val="single" w:sz="6" w:space="0" w:color="000000"/>
              <w:left w:val="single" w:sz="6" w:space="0" w:color="000000"/>
              <w:right w:val="single" w:sz="6" w:space="0" w:color="000000"/>
            </w:tcBorders>
            <w:vAlign w:val="center"/>
          </w:tcPr>
          <w:p>
            <w:pPr>
              <w:pStyle w:val="20"/>
            </w:pPr>
            <w:r>
              <w:t>一般公共服务支出</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20105</w:t>
            </w:r>
          </w:p>
        </w:tc>
        <w:tc>
          <w:tcPr>
            <w:tcW w:w="1559" w:type="dxa"/>
            <w:tcBorders>
              <w:top w:val="single" w:sz="6" w:space="0" w:color="000000"/>
              <w:left w:val="single" w:sz="6" w:space="0" w:color="000000"/>
              <w:right w:val="single" w:sz="6" w:space="0" w:color="000000"/>
            </w:tcBorders>
            <w:vAlign w:val="center"/>
          </w:tcPr>
          <w:p>
            <w:pPr>
              <w:pStyle w:val="20"/>
            </w:pPr>
            <w:r>
              <w:t>统计信息事务</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2010501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201.83</w:t>
            </w:r>
          </w:p>
        </w:tc>
        <w:tc>
          <w:tcPr>
            <w:tcW w:w="1134" w:type="dxa"/>
            <w:tcBorders>
              <w:top w:val="single" w:sz="6" w:space="0" w:color="000000"/>
              <w:left w:val="single" w:sz="6" w:space="0" w:color="000000"/>
              <w:right w:val="single" w:sz="6" w:space="0" w:color="000000"/>
            </w:tcBorders>
            <w:vAlign w:val="center"/>
          </w:tcPr>
          <w:p>
            <w:pPr>
              <w:pStyle w:val="19"/>
            </w:pPr>
            <w:r>
              <w:t>201.83</w:t>
            </w:r>
          </w:p>
        </w:tc>
        <w:tc>
          <w:tcPr>
            <w:tcW w:w="1134" w:type="dxa"/>
            <w:tcBorders>
              <w:top w:val="single" w:sz="6" w:space="0" w:color="000000"/>
              <w:left w:val="single" w:sz="6" w:space="0" w:color="000000"/>
              <w:right w:val="single" w:sz="6" w:space="0" w:color="000000"/>
            </w:tcBorders>
            <w:vAlign w:val="center"/>
          </w:tcPr>
          <w:p>
            <w:pPr>
              <w:pStyle w:val="19"/>
            </w:pPr>
            <w:r>
              <w:t>201.83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2010502</w:t>
            </w:r>
          </w:p>
        </w:tc>
        <w:tc>
          <w:tcPr>
            <w:tcW w:w="1559" w:type="dxa"/>
            <w:tcBorders>
              <w:top w:val="single" w:sz="6" w:space="0" w:color="000000"/>
              <w:left w:val="single" w:sz="6" w:space="0" w:color="000000"/>
              <w:right w:val="single" w:sz="6" w:space="0" w:color="000000"/>
            </w:tcBorders>
            <w:vAlign w:val="center"/>
          </w:tcPr>
          <w:p>
            <w:pPr>
              <w:pStyle w:val="20"/>
            </w:pPr>
            <w:r>
              <w:t>一般行政管理事务</w:t>
            </w:r>
          </w:p>
        </w:tc>
        <w:tc>
          <w:tcPr>
            <w:tcW w:w="1134" w:type="dxa"/>
            <w:tcBorders>
              <w:top w:val="single" w:sz="6" w:space="0" w:color="000000"/>
              <w:left w:val="single" w:sz="6" w:space="0" w:color="000000"/>
              <w:right w:val="single" w:sz="6" w:space="0" w:color="000000"/>
            </w:tcBorders>
            <w:vAlign w:val="center"/>
          </w:tcPr>
          <w:p>
            <w:pPr>
              <w:pStyle w:val="19"/>
            </w:pPr>
            <w:r>
              <w:t>6.37</w:t>
            </w:r>
          </w:p>
        </w:tc>
        <w:tc>
          <w:tcPr>
            <w:tcW w:w="1134" w:type="dxa"/>
            <w:tcBorders>
              <w:top w:val="single" w:sz="6" w:space="0" w:color="000000"/>
              <w:left w:val="single" w:sz="6" w:space="0" w:color="000000"/>
              <w:right w:val="single" w:sz="6" w:space="0" w:color="000000"/>
            </w:tcBorders>
            <w:vAlign w:val="center"/>
          </w:tcPr>
          <w:p>
            <w:pPr>
              <w:pStyle w:val="19"/>
            </w:pPr>
            <w:r>
              <w:t>6.37</w:t>
            </w:r>
          </w:p>
        </w:tc>
        <w:tc>
          <w:tcPr>
            <w:tcW w:w="1134" w:type="dxa"/>
            <w:tcBorders>
              <w:top w:val="single" w:sz="6" w:space="0" w:color="000000"/>
              <w:left w:val="single" w:sz="6" w:space="0" w:color="000000"/>
              <w:right w:val="single" w:sz="6" w:space="0" w:color="000000"/>
            </w:tcBorders>
            <w:vAlign w:val="center"/>
          </w:tcPr>
          <w:p>
            <w:pPr>
              <w:pStyle w:val="19"/>
            </w:pPr>
            <w:r>
              <w:t>6.37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410昌黎县统计局</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259.69</w:t>
            </w:r>
          </w:p>
        </w:tc>
        <w:tc>
          <w:tcPr>
            <w:tcW w:w="1361" w:type="dxa"/>
            <w:tcBorders>
              <w:top w:val="single" w:sz="6" w:space="0" w:color="000000"/>
              <w:left w:val="single" w:sz="6" w:space="0" w:color="000000"/>
              <w:right w:val="single" w:sz="6" w:space="0" w:color="000000"/>
            </w:tcBorders>
            <w:vAlign w:val="center"/>
          </w:tcPr>
          <w:p>
            <w:pPr>
              <w:pStyle w:val="23"/>
            </w:pPr>
            <w:r>
              <w:t>253.32</w:t>
            </w:r>
          </w:p>
        </w:tc>
        <w:tc>
          <w:tcPr>
            <w:tcW w:w="1361" w:type="dxa"/>
            <w:tcBorders>
              <w:top w:val="single" w:sz="6" w:space="0" w:color="000000"/>
              <w:left w:val="single" w:sz="6" w:space="0" w:color="000000"/>
              <w:right w:val="single" w:sz="6" w:space="0" w:color="000000"/>
            </w:tcBorders>
            <w:vAlign w:val="center"/>
          </w:tcPr>
          <w:p>
            <w:pPr>
              <w:pStyle w:val="23"/>
            </w:pPr>
            <w:r>
              <w:t>6.37</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1361" w:type="dxa"/>
            <w:tcBorders>
              <w:top w:val="single" w:sz="6" w:space="0" w:color="000000"/>
              <w:left w:val="single" w:sz="6" w:space="0" w:color="000000"/>
              <w:right w:val="single" w:sz="6" w:space="0" w:color="000000"/>
            </w:tcBorders>
            <w:vAlign w:val="center"/>
          </w:tcPr>
          <w:p>
            <w:pPr>
              <w:pStyle w:val="19"/>
            </w:pPr>
            <w:r>
              <w:t>208.20</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20105</w:t>
            </w:r>
          </w:p>
        </w:tc>
        <w:tc>
          <w:tcPr>
            <w:tcW w:w="4535" w:type="dxa"/>
            <w:tcBorders>
              <w:top w:val="single" w:sz="6" w:space="0" w:color="000000"/>
              <w:left w:val="single" w:sz="6" w:space="0" w:color="000000"/>
              <w:right w:val="single" w:sz="6" w:space="0" w:color="000000"/>
            </w:tcBorders>
            <w:vAlign w:val="center"/>
          </w:tcPr>
          <w:p>
            <w:pPr>
              <w:pStyle w:val="20"/>
            </w:pPr>
            <w:r>
              <w:t>统计信息事务</w:t>
            </w:r>
          </w:p>
        </w:tc>
        <w:tc>
          <w:tcPr>
            <w:tcW w:w="1361" w:type="dxa"/>
            <w:tcBorders>
              <w:top w:val="single" w:sz="6" w:space="0" w:color="000000"/>
              <w:left w:val="single" w:sz="6" w:space="0" w:color="000000"/>
              <w:right w:val="single" w:sz="6" w:space="0" w:color="000000"/>
            </w:tcBorders>
            <w:vAlign w:val="center"/>
          </w:tcPr>
          <w:p>
            <w:pPr>
              <w:pStyle w:val="19"/>
            </w:pPr>
            <w:r>
              <w:t>208.20</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2010501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2010502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410昌黎县统计局</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259.69</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r>
              <w:t>208.20</w:t>
            </w:r>
          </w:p>
        </w:tc>
        <w:tc>
          <w:tcPr>
            <w:tcW w:w="1474" w:type="dxa"/>
            <w:tcBorders>
              <w:top w:val="single" w:sz="6" w:space="0" w:color="000000"/>
              <w:left w:val="single" w:sz="6" w:space="0" w:color="000000"/>
              <w:right w:val="single" w:sz="6" w:space="0" w:color="000000"/>
            </w:tcBorders>
            <w:vAlign w:val="center"/>
          </w:tcPr>
          <w:p>
            <w:pPr>
              <w:pStyle w:val="19"/>
            </w:pPr>
            <w:r>
              <w:t>208.20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25.72</w:t>
            </w:r>
          </w:p>
        </w:tc>
        <w:tc>
          <w:tcPr>
            <w:tcW w:w="1474" w:type="dxa"/>
            <w:tcBorders>
              <w:top w:val="single" w:sz="6" w:space="0" w:color="000000"/>
              <w:left w:val="single" w:sz="6" w:space="0" w:color="000000"/>
              <w:right w:val="single" w:sz="6" w:space="0" w:color="000000"/>
            </w:tcBorders>
            <w:vAlign w:val="center"/>
          </w:tcPr>
          <w:p>
            <w:pPr>
              <w:pStyle w:val="19"/>
            </w:pPr>
            <w:r>
              <w:t>25.72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13.25</w:t>
            </w:r>
          </w:p>
        </w:tc>
        <w:tc>
          <w:tcPr>
            <w:tcW w:w="1474" w:type="dxa"/>
            <w:tcBorders>
              <w:top w:val="single" w:sz="6" w:space="0" w:color="000000"/>
              <w:left w:val="single" w:sz="6" w:space="0" w:color="000000"/>
              <w:right w:val="single" w:sz="6" w:space="0" w:color="000000"/>
            </w:tcBorders>
            <w:vAlign w:val="center"/>
          </w:tcPr>
          <w:p>
            <w:pPr>
              <w:pStyle w:val="19"/>
            </w:pPr>
            <w:r>
              <w:t>13.25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12.53</w:t>
            </w:r>
          </w:p>
        </w:tc>
        <w:tc>
          <w:tcPr>
            <w:tcW w:w="1474" w:type="dxa"/>
            <w:tcBorders>
              <w:top w:val="single" w:sz="6" w:space="0" w:color="000000"/>
              <w:left w:val="single" w:sz="6" w:space="0" w:color="000000"/>
              <w:right w:val="single" w:sz="6" w:space="0" w:color="000000"/>
            </w:tcBorders>
            <w:vAlign w:val="center"/>
          </w:tcPr>
          <w:p>
            <w:pPr>
              <w:pStyle w:val="19"/>
            </w:pPr>
            <w:r>
              <w:t>12.53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410昌黎县统计局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259.69</w:t>
            </w:r>
          </w:p>
        </w:tc>
        <w:tc>
          <w:tcPr>
            <w:tcW w:w="2551" w:type="dxa"/>
            <w:tcBorders>
              <w:top w:val="single" w:sz="6" w:space="0" w:color="000000"/>
              <w:left w:val="single" w:sz="6" w:space="0" w:color="000000"/>
              <w:right w:val="single" w:sz="6" w:space="0" w:color="000000"/>
            </w:tcBorders>
            <w:vAlign w:val="center"/>
          </w:tcPr>
          <w:p>
            <w:pPr>
              <w:pStyle w:val="23"/>
            </w:pPr>
            <w:r>
              <w:t>253.32</w:t>
            </w:r>
          </w:p>
        </w:tc>
        <w:tc>
          <w:tcPr>
            <w:tcW w:w="2551" w:type="dxa"/>
            <w:vAlign w:val="center"/>
          </w:tcPr>
          <w:p>
            <w:pPr>
              <w:pStyle w:val="23"/>
            </w:pPr>
            <w:r>
              <w:t>6.37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2551" w:type="dxa"/>
            <w:tcBorders>
              <w:top w:val="single" w:sz="6" w:space="0" w:color="000000"/>
              <w:left w:val="single" w:sz="6" w:space="0" w:color="000000"/>
              <w:right w:val="single" w:sz="6" w:space="0" w:color="000000"/>
            </w:tcBorders>
            <w:vAlign w:val="center"/>
          </w:tcPr>
          <w:p>
            <w:pPr>
              <w:pStyle w:val="19"/>
            </w:pPr>
            <w:r>
              <w:t>208.20</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vAlign w:val="center"/>
          </w:tcPr>
          <w:p>
            <w:pPr>
              <w:pStyle w:val="19"/>
            </w:pPr>
            <w:r>
              <w:t>6.37</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20105</w:t>
            </w:r>
          </w:p>
        </w:tc>
        <w:tc>
          <w:tcPr>
            <w:tcW w:w="4535" w:type="dxa"/>
            <w:tcBorders>
              <w:top w:val="single" w:sz="6" w:space="0" w:color="000000"/>
              <w:left w:val="single" w:sz="6" w:space="0" w:color="000000"/>
              <w:right w:val="single" w:sz="6" w:space="0" w:color="000000"/>
            </w:tcBorders>
            <w:vAlign w:val="center"/>
          </w:tcPr>
          <w:p>
            <w:pPr>
              <w:pStyle w:val="20"/>
            </w:pPr>
            <w:r>
              <w:t>统计信息事务</w:t>
            </w:r>
          </w:p>
        </w:tc>
        <w:tc>
          <w:tcPr>
            <w:tcW w:w="2551" w:type="dxa"/>
            <w:tcBorders>
              <w:top w:val="single" w:sz="6" w:space="0" w:color="000000"/>
              <w:left w:val="single" w:sz="6" w:space="0" w:color="000000"/>
              <w:right w:val="single" w:sz="6" w:space="0" w:color="000000"/>
            </w:tcBorders>
            <w:vAlign w:val="center"/>
          </w:tcPr>
          <w:p>
            <w:pPr>
              <w:pStyle w:val="19"/>
            </w:pPr>
            <w:r>
              <w:t>208.20</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vAlign w:val="center"/>
          </w:tcPr>
          <w:p>
            <w:pPr>
              <w:pStyle w:val="19"/>
            </w:pPr>
            <w:r>
              <w:t>6.37</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2010501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2010502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2551" w:type="dxa"/>
            <w:tcBorders>
              <w:top w:val="single" w:sz="6" w:space="0" w:color="000000"/>
              <w:left w:val="single" w:sz="6" w:space="0" w:color="000000"/>
              <w:right w:val="single" w:sz="6" w:space="0" w:color="000000"/>
            </w:tcBorders>
            <w:vAlign w:val="center"/>
          </w:tcPr>
          <w:p>
            <w:pPr>
              <w:pStyle w:val="19"/>
            </w:pPr>
            <w:r>
              <w:t>6.37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6.37</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410昌黎县统计局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253.32</w:t>
            </w:r>
          </w:p>
        </w:tc>
        <w:tc>
          <w:tcPr>
            <w:tcW w:w="2551" w:type="dxa"/>
            <w:tcBorders>
              <w:top w:val="single" w:sz="6" w:space="0" w:color="000000"/>
              <w:left w:val="single" w:sz="6" w:space="0" w:color="000000"/>
              <w:right w:val="single" w:sz="6" w:space="0" w:color="000000"/>
            </w:tcBorders>
            <w:vAlign w:val="center"/>
          </w:tcPr>
          <w:p>
            <w:pPr>
              <w:pStyle w:val="23"/>
            </w:pPr>
            <w:r>
              <w:t>233.21</w:t>
            </w:r>
          </w:p>
        </w:tc>
        <w:tc>
          <w:tcPr>
            <w:tcW w:w="2551" w:type="dxa"/>
            <w:vAlign w:val="center"/>
          </w:tcPr>
          <w:p>
            <w:pPr>
              <w:pStyle w:val="23"/>
            </w:pPr>
            <w:r>
              <w:t>20.11</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220.06</w:t>
            </w:r>
          </w:p>
        </w:tc>
        <w:tc>
          <w:tcPr>
            <w:tcW w:w="2551" w:type="dxa"/>
            <w:tcBorders>
              <w:top w:val="single" w:sz="6" w:space="0" w:color="000000"/>
              <w:left w:val="single" w:sz="6" w:space="0" w:color="000000"/>
              <w:right w:val="single" w:sz="6" w:space="0" w:color="000000"/>
            </w:tcBorders>
            <w:vAlign w:val="center"/>
          </w:tcPr>
          <w:p>
            <w:pPr>
              <w:pStyle w:val="19"/>
            </w:pPr>
            <w:r>
              <w:t>220.06</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101.25</w:t>
            </w:r>
          </w:p>
        </w:tc>
        <w:tc>
          <w:tcPr>
            <w:tcW w:w="2551" w:type="dxa"/>
            <w:tcBorders>
              <w:top w:val="single" w:sz="6" w:space="0" w:color="000000"/>
              <w:left w:val="single" w:sz="6" w:space="0" w:color="000000"/>
              <w:right w:val="single" w:sz="6" w:space="0" w:color="000000"/>
            </w:tcBorders>
            <w:vAlign w:val="center"/>
          </w:tcPr>
          <w:p>
            <w:pPr>
              <w:pStyle w:val="19"/>
            </w:pPr>
            <w:r>
              <w:t>101.25</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43.23</w:t>
            </w:r>
          </w:p>
        </w:tc>
        <w:tc>
          <w:tcPr>
            <w:tcW w:w="2551" w:type="dxa"/>
            <w:tcBorders>
              <w:top w:val="single" w:sz="6" w:space="0" w:color="000000"/>
              <w:left w:val="single" w:sz="6" w:space="0" w:color="000000"/>
              <w:right w:val="single" w:sz="6" w:space="0" w:color="000000"/>
            </w:tcBorders>
            <w:vAlign w:val="center"/>
          </w:tcPr>
          <w:p>
            <w:pPr>
              <w:pStyle w:val="19"/>
            </w:pPr>
            <w:r>
              <w:t>43.23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23.34</w:t>
            </w:r>
          </w:p>
        </w:tc>
        <w:tc>
          <w:tcPr>
            <w:tcW w:w="2551" w:type="dxa"/>
            <w:tcBorders>
              <w:top w:val="single" w:sz="6" w:space="0" w:color="000000"/>
              <w:left w:val="single" w:sz="6" w:space="0" w:color="000000"/>
              <w:right w:val="single" w:sz="6" w:space="0" w:color="000000"/>
            </w:tcBorders>
            <w:vAlign w:val="center"/>
          </w:tcPr>
          <w:p>
            <w:pPr>
              <w:pStyle w:val="19"/>
            </w:pPr>
            <w:r>
              <w:t>23.34</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0.76</w:t>
            </w:r>
          </w:p>
        </w:tc>
        <w:tc>
          <w:tcPr>
            <w:tcW w:w="2551" w:type="dxa"/>
            <w:tcBorders>
              <w:top w:val="single" w:sz="6" w:space="0" w:color="000000"/>
              <w:left w:val="single" w:sz="6" w:space="0" w:color="000000"/>
              <w:right w:val="single" w:sz="6" w:space="0" w:color="000000"/>
            </w:tcBorders>
            <w:vAlign w:val="center"/>
          </w:tcPr>
          <w:p>
            <w:pPr>
              <w:pStyle w:val="19"/>
            </w:pPr>
            <w:r>
              <w:t>0.76</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20.11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20.11</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0.71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0.71</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0.30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1.54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1.54</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1.74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1.74</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13.32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13.32</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2.50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2.50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410昌黎县统计局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410昌黎县统计局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410昌黎县统计局</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FFFFFF"/>
          <w:sz w:val="21"/>
        </w:rPr>
        <w:t>第一部分  昌黎县统计局2026年部门预算信息公开情况说明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昌黎县统计局2026年部门预算信息公开情况说明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按照《中华人民共和国预算法》、《地方预决算公开操作规程》和《关于进一步推进预算公开工作的实施意见》规定，现将昌黎县统计局2026年部门预算公开如下：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25"/>
      </w:pPr>
      <w:r>
        <w:t>(一)承担组织领导和协调全县统计工作，确保统计数据真实、准确、完整、及时。</w:t>
      </w:r>
    </w:p>
    <w:p>
      <w:pPr>
        <w:pStyle w:val="25"/>
      </w:pPr>
      <w:r>
        <w:t>(二)拟订统计工作方面的规范性文件，拟定全县统计改革、统计建设规划、统计调查计划、统计调查制度和地方统计调查标准，监督检查统计法律、法规实施情况，组织实施统计法律法规宣传教育，依法查处统计违法行为，开展防范和惩治统计作假、弄虚作假统计督察。组织实施统计执法监督检查和“双随机”抽查，依法查处统计违法案件，预防和查处统计造假、弄虚作假，受理、办理、督办统计违法举报，指导全县统计工作。</w:t>
      </w:r>
    </w:p>
    <w:p>
      <w:pPr>
        <w:pStyle w:val="25"/>
      </w:pPr>
      <w:r>
        <w:t>(三)贯彻执行国家国民经济核算制度，组织实施全县国民经济核算和民营经济统计制度，核算全县地区生产总值及派生产业增加值，组织实施投入产出调查和编表工作，整理、测算和提供国民经济核算资料，监督管理全县国民经济核算工作。</w:t>
      </w:r>
    </w:p>
    <w:p>
      <w:pPr>
        <w:pStyle w:val="25"/>
      </w:pPr>
      <w:r>
        <w:t>(四)根据国家重大国情国力普查计划、方案，拟定全县的实施方案，会同有关部门组织实施全县人口、经济、农业等重大国情国力普查调查，汇总、整理和提供有关县情县力方面的统计数据。</w:t>
      </w:r>
    </w:p>
    <w:p>
      <w:pPr>
        <w:pStyle w:val="25"/>
      </w:pPr>
      <w:r>
        <w:t>(五)组织实施全县农林牧渔业、工业、建筑业、批发和零售业、住宿和餐饮业、房地产、服务业及能源、投资、消费、人口和城镇化率、劳动工资、就业、社会、科技、文化产业、城市基本情况、县乡村三级社会经济基础情况、资源环境、战略性新兴产业、高新技术产业、民营经济等统计调查，收集、汇总、整理和提供统计数据。</w:t>
      </w:r>
    </w:p>
    <w:p>
      <w:pPr>
        <w:pStyle w:val="25"/>
      </w:pPr>
      <w:r>
        <w:t>(六)组织实施全面建设小康社会、县域经济发展、农业产业化、特色小镇、节能降耗、绿色发展、企业景气、妇女儿童发展等统计监测、新产业新业态新商业模式（以下简称新经济）、高质量发展、京津冀协同发展、旅游产业、健康产业等统计监测，收集、整理和提供统计数据。</w:t>
      </w:r>
    </w:p>
    <w:p>
      <w:pPr>
        <w:pStyle w:val="25"/>
      </w:pPr>
      <w:r>
        <w:t>(七)综合整理和提供财政、金融、旅游、交通运输、邮政、税收、文化教育、卫生、社会保障、公用事业、房屋、对外经济贸易等基本统计数据。</w:t>
      </w:r>
    </w:p>
    <w:p>
      <w:pPr>
        <w:pStyle w:val="25"/>
      </w:pPr>
      <w:r>
        <w:t>(八)组织各乡(镇)、各部门的经济、社会、科技、服务业统计调查，统一核定、管理、公布全县性基本统计资料，定期发布全县国民经济和社会发展情况的统计信息，组织建立统计信息共享制度和发布制度。</w:t>
      </w:r>
    </w:p>
    <w:p>
      <w:pPr>
        <w:pStyle w:val="25"/>
      </w:pPr>
      <w:r>
        <w:t>(九)对国民经济、社会发展、科技进步和资源环境等情况进行统计分析、统计预测和统计监督，向县委、县政府及有关部门提供统计信息和咨询建议。</w:t>
      </w:r>
    </w:p>
    <w:p>
      <w:pPr>
        <w:pStyle w:val="25"/>
      </w:pPr>
      <w:r>
        <w:t>(十)组织管理、审批(备案)各部门的专项统计调查项目、各乡（镇）的地方统计调查项目；指导专业统计基础工作、统计基层业务和规范化建设；组织统计信息规范性管理，建立健全统计数据质量审核、监控和评估制度，开展对重要统计数据的审核、监控和评估。</w:t>
      </w:r>
    </w:p>
    <w:p>
      <w:pPr>
        <w:pStyle w:val="25"/>
      </w:pPr>
      <w:r>
        <w:t xml:space="preserve">(十一)指导全县统计信息化系统建设。贯彻执行省、市统计信息库和网络的基本标准和运行规则；管理全县统计信息自动化和统计数据库系统；管理和维护全县统计信息网络。 </w:t>
      </w:r>
    </w:p>
    <w:p>
      <w:pPr>
        <w:pStyle w:val="25"/>
      </w:pPr>
      <w:r>
        <w:t>(十二)协助管理乡（镇）统计站站长任免；领导县城镇社会经济调查队，协调组织完成上级部署的城镇统计调查任务；指导全县统计专业技术队伍建设；指导直属事业单位名录库建设、社情民意调查和资料管理等工作；协助市统计局及相关部门组织管理统计专业技术资格考试、职务评聘工作；监督管理乡（镇）政府统计站的省、市、县财政提供的专项经费。</w:t>
      </w:r>
    </w:p>
    <w:p>
      <w:pPr>
        <w:pStyle w:val="25"/>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pPr>
        <w:pStyle w:val="25"/>
      </w:pPr>
      <w:r>
        <w:t>（十四）完成县委、县政府和市统计局交办的其他任务。 ​</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昌黎县统计局本级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jc w:val="left"/>
        <w:outlineLvl w:val="2"/>
      </w:pPr>
      <w:bookmarkStart w:id="10" w:name="_Toc_3_3_0000000011"/>
      <w:r>
        <w:rPr>
          <w:rFonts w:ascii="黑体" w:eastAsia="黑体" w:cs="黑体" w:hAnsi="黑体"/>
          <w:color w:val="000000"/>
          <w:sz w:val="32"/>
        </w:rPr>
        <w:t>二、部门预算安排的总体情况</w:t>
      </w:r>
      <w:bookmarkEnd w:id="10"/>
    </w:p>
    <w:p>
      <w:pPr>
        <w:pStyle w:val="26"/>
      </w:pPr>
      <w:r>
        <w:t>按照预算管理有关规定，目前部门预算的编制实行综合预算管理，即全部收入和支出都反映在预算中。昌黎县统计局机关及所属事业单位的收支包含在部门预算中。</w:t>
      </w:r>
    </w:p>
    <w:p>
      <w:pPr>
        <w:pStyle w:val="26"/>
      </w:pPr>
      <w:r>
        <w:t>1、收入说明</w:t>
      </w:r>
    </w:p>
    <w:p>
      <w:pPr>
        <w:pStyle w:val="26"/>
      </w:pPr>
      <w:r>
        <w:t>反映本部门当年全部收入。2026年预算收入259.69万元，其中：一般公共预算收入259.69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统计局年度部门预算中支出预算的总体情况。2026年支出预算259.69万元，其中基本支出253.32万元，包括人员经费233.21万元和日常公用经费20.11万元；项目支出6.37万元，主要为劳务派遣人员经费；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259.69万元，较2025年预算增加16.40万元，其中：基本支出增加16.05万元，主要为人员工资普调以及新增公务员导致人员经费增加。项目支出增加0.35万元，主要为普调工资工作量增加，劳务派遣工资调整导致项目经费略增。预计下年使用的单位资金结余增加0.00万元。</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27"/>
      </w:pPr>
      <w:r>
        <w:t>2026年，我部门机关运行经费共计安排20.11万元，主要用于日常维修、办公用房水电费、办公用房取暖费、办公用房物业管理费等日常运行支出。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28"/>
      </w:pPr>
      <w:r>
        <w:t>2026年，我部门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的要求，压减公务用车运维经费。</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贯彻国家和省、市有关统计工作的法律、法规和规章，监督检查统计法律、法规的实施。完成国家、省和市布置的统计调查任务。编制国民经济基本核算表，分析经济运行情况。组织开展重大的国情国力普查和大型调查。为做好农业、贸易、工业、固投、劳资、服务业等统计报表工作，对报表单位数据实时进行监测审核，认真反馈,确保上报率90%以上。对基层报表人员培训不低于2次会议培训，确保高质高效、精密严谨的完成统计报表工作。搜集、整理、提供全县性的基本统计资料。定期发布县国民经济和社会发展情况的统计公报，确保当年月报公开不低于12次。组织指导全县的统计教育、统计干部培训、统计干部专业技术职务评聘及资格考试工作，提高人员业务水平。同时，承办县政府和上级主管部门交办的其它事项。总之，确保本部门综合业务保障率达到80%及以上，通过各专业统计数据，分析经济增长的有利因素和不利条件，力求各项资料客观真实地反映全县经济的状况。为全县经济稳定快速发展提供数据支撑。</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（一）保障日常综合统计工作正常运行</w:t>
      </w:r>
    </w:p>
    <w:p>
      <w:pPr>
        <w:pStyle w:val="30"/>
      </w:pPr>
      <w:r>
        <w:t>绩效目标：保障机关日常运转，组织各专业人员实施以企业一套表制度为核心综合统计，为政府决策提供真实的数据资料。</w:t>
      </w:r>
    </w:p>
    <w:p>
      <w:pPr>
        <w:pStyle w:val="30"/>
      </w:pPr>
      <w:r>
        <w:t>绩效指标：正常运转保障人数不低于20人，保障统计机关正常运转人员支出。提升统计机关业务水平，保障数据上报精准高效，推动经济社会发展。</w:t>
      </w:r>
    </w:p>
    <w:p>
      <w:pPr>
        <w:pStyle w:val="30"/>
      </w:pPr>
      <w:r>
        <w:t>（二）统计培训提高统计人员报表水平</w:t>
      </w:r>
    </w:p>
    <w:p>
      <w:pPr>
        <w:pStyle w:val="30"/>
      </w:pPr>
      <w:r>
        <w:t>绩效目标：保障各专业统计报表顺利开展，各项会议培训圆满完成,提高统计质量，提高统计人员业务水平。</w:t>
      </w:r>
    </w:p>
    <w:p>
      <w:pPr>
        <w:pStyle w:val="30"/>
      </w:pPr>
      <w:r>
        <w:t>绩效指标：各专业统计报表培训不少于2次。培训统计业务人员每次不少于15家，充分发挥业务培训效果，提升报表质量。</w:t>
      </w:r>
    </w:p>
    <w:p>
      <w:pPr>
        <w:pStyle w:val="30"/>
      </w:pPr>
      <w:r>
        <w:t>（三）按时完成农业、工业、贸易、固投、劳资、服务业等专业统计报表工作</w:t>
      </w:r>
    </w:p>
    <w:p>
      <w:pPr>
        <w:pStyle w:val="30"/>
      </w:pPr>
      <w:r>
        <w:t>绩效目标：认真做好农业、工业、贸易、固投、劳资、服务业等统计报表工作，对报表单位数据实时进行监测审核，按时上报。</w:t>
      </w:r>
    </w:p>
    <w:p>
      <w:pPr>
        <w:pStyle w:val="30"/>
      </w:pPr>
      <w:r>
        <w:t>绩效指标：保质高效完成农业、工业、贸易、固投、劳资、服务业等统计报表工作，对报表单位数据实时进行监测审核，认真反馈，确保上报率90%以上</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（一）完善制度建设。制定完善预算绩效管理制度、资金管理办法、工作保障制度等内控管理办法，为全年预算绩效目标的实现奠定制度基础。</w:t>
      </w:r>
    </w:p>
    <w:p>
      <w:pPr>
        <w:pStyle w:val="31"/>
      </w:pPr>
      <w:r>
        <w:t>（二）加强支出管理。通过优化支出结构、编细编实预算、尽快启动项目、及时支付资金、按规定及时下达资金等多种措施，确保支出进度达标。</w:t>
      </w:r>
    </w:p>
    <w:p>
      <w:pPr>
        <w:pStyle w:val="31"/>
      </w:pPr>
      <w:r>
        <w:t>（三）加强绩效运行监控。按要求开展绩效运行监控，发现问题及时采取措施整改，确保绩效目标如期保质实现。</w:t>
      </w:r>
    </w:p>
    <w:p>
      <w:pPr>
        <w:pStyle w:val="31"/>
      </w:pPr>
      <w:r>
        <w:t>（四）做好绩效自评。按要求开展上年度部门预算绩效自评和重点评价工作，对评价中发现的问题及时整改，调整优化支出结构，提高财政资金使用效益。</w:t>
      </w:r>
    </w:p>
    <w:p>
      <w:pPr>
        <w:pStyle w:val="31"/>
      </w:pPr>
      <w:r>
        <w:t>（五）规范财务资产管理。完善财务管理制度，严格审批程序，加强固定资产登记、使用和报废处置管理，做到支出合理，物尽其用。</w:t>
      </w:r>
    </w:p>
    <w:p>
      <w:pPr>
        <w:pStyle w:val="31"/>
      </w:pPr>
      <w:r>
        <w:t>（六）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31"/>
        <w:sectPr>
          <w:pgSz w:w="16840" w:h="11900" w:orient="landscape"/>
          <w:pgMar w:top="1361" w:right="1020" w:bottom="1361" w:left="1020" w:header="720" w:footer="720" w:gutter="0"/>
          <w:docGrid w:linePitch="326" w:charSpace="0"/>
        </w:sectPr>
      </w:pPr>
      <w:r>
        <w:t>（七）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ascii="黑体" w:eastAsia="黑体" w:cs="黑体" w:hAnsi="黑体"/>
          <w:color w:val="000000"/>
          <w:sz w:val="32"/>
        </w:rPr>
      </w:pPr>
      <w:bookmarkStart w:id="14" w:name="_Toc_3_3_0000000015"/>
      <w:r>
        <w:rPr>
          <w:rFonts w:ascii="黑体" w:eastAsia="黑体" w:cs="黑体" w:hAnsi="黑体"/>
          <w:color w:val="000000"/>
          <w:sz w:val="32"/>
        </w:rPr>
        <w:t>六、部门主管专项资金预算安排情况及绩效目标</w:t>
      </w:r>
      <w:bookmarkEnd w:id="14"/>
    </w:p>
    <w:p>
      <w:pPr>
        <w:spacing w:before="10" w:after="10" w:line="360" w:lineRule="auto"/>
        <w:ind w:left="0" w:firstLineChars="500" w:firstLine="1200"/>
        <w:jc w:val="left"/>
        <w:outlineLvl w:val="2"/>
        <w:sectPr>
          <w:pgSz w:w="16840" w:h="11900" w:orient="landscape"/>
          <w:pgMar w:top="1361" w:right="1020" w:bottom="1134" w:left="1020" w:header="720" w:footer="720" w:gutter="0"/>
          <w:docGrid w:linePitch="326" w:charSpace="0"/>
        </w:sectPr>
      </w:pPr>
      <w:r>
        <w:t>无</w:t>
      </w:r>
      <w:bookmarkStart w:id="15" w:name="_GoBack"/>
      <w:bookmarkEnd w:id="15"/>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6" w:name="_Toc_3_3_0000000016"/>
      <w:r>
        <w:rPr>
          <w:rFonts w:ascii="黑体" w:eastAsia="黑体" w:cs="黑体" w:hAnsi="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hAnsi="方正仿宋_GBK"/>
          <w:color w:val="000000"/>
          <w:sz w:val="28"/>
        </w:rPr>
        <w:t>1、劳务派遣人员支出绩效目标表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13032226P002333100687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劳务派遣人员支出</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6.37</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6.37</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保证人员工资按时发放，确保工作及时完成。</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1.保证人员工资按时发放，确保机关单位正常运转</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劳务派遣人员工资经费</w:t>
            </w:r>
          </w:p>
        </w:tc>
        <w:tc>
          <w:tcPr>
            <w:tcW w:w="5386" w:type="dxa"/>
            <w:tcBorders>
              <w:top w:val="single" w:sz="6" w:space="0" w:color="000000"/>
              <w:left w:val="single" w:sz="6" w:space="0" w:color="000000"/>
              <w:right w:val="single" w:sz="6" w:space="0" w:color="000000"/>
            </w:tcBorders>
            <w:vAlign w:val="center"/>
          </w:tcPr>
          <w:p>
            <w:pPr>
              <w:pStyle w:val="20"/>
            </w:pPr>
            <w:r>
              <w:t>劳务派遣人员工资经费</w:t>
            </w:r>
          </w:p>
        </w:tc>
        <w:tc>
          <w:tcPr>
            <w:tcW w:w="2268" w:type="dxa"/>
            <w:tcBorders>
              <w:top w:val="single" w:sz="6" w:space="0" w:color="000000"/>
              <w:left w:val="single" w:sz="6" w:space="0" w:color="000000"/>
              <w:right w:val="single" w:sz="6" w:space="0" w:color="000000"/>
            </w:tcBorders>
            <w:vAlign w:val="center"/>
          </w:tcPr>
          <w:p>
            <w:pPr>
              <w:pStyle w:val="20"/>
            </w:pPr>
            <w:r>
              <w:t>≤6.37万元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住宅取暖补贴领取人数</w:t>
            </w:r>
          </w:p>
        </w:tc>
        <w:tc>
          <w:tcPr>
            <w:tcW w:w="5386" w:type="dxa"/>
            <w:tcBorders>
              <w:top w:val="single" w:sz="6" w:space="0" w:color="000000"/>
              <w:left w:val="single" w:sz="6" w:space="0" w:color="000000"/>
              <w:right w:val="single" w:sz="6" w:space="0" w:color="000000"/>
            </w:tcBorders>
            <w:vAlign w:val="center"/>
          </w:tcPr>
          <w:p>
            <w:pPr>
              <w:pStyle w:val="20"/>
            </w:pPr>
            <w:r>
              <w:t>单位领取住宅取费补贴的人数</w:t>
            </w:r>
          </w:p>
        </w:tc>
        <w:tc>
          <w:tcPr>
            <w:tcW w:w="2268" w:type="dxa"/>
            <w:tcBorders>
              <w:top w:val="single" w:sz="6" w:space="0" w:color="000000"/>
              <w:left w:val="single" w:sz="6" w:space="0" w:color="000000"/>
              <w:right w:val="single" w:sz="6" w:space="0" w:color="000000"/>
            </w:tcBorders>
            <w:vAlign w:val="center"/>
          </w:tcPr>
          <w:p>
            <w:pPr>
              <w:pStyle w:val="20"/>
            </w:pPr>
            <w:r>
              <w:t>≤33人</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type w:val="continuous"/>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410昌黎县统计局</w:t>
            </w:r>
          </w:p>
        </w:tc>
        <w:tc>
          <w:tcPr>
            <w:tcW w:w="8676" w:type="dxa"/>
            <w:gridSpan w:val="9"/>
            <w:tcBorders>
              <w:top w:val="single" w:sz="6" w:space="0" w:color="FFFFFF"/>
              <w:left w:val="single" w:sz="6" w:space="0" w:color="FFFFFF"/>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昌黎县统计局（含所属单位）上年末固定资产金额为80.21万元（详见下表）。本年度拟购置固定资产总额为0.00万元，已按要求列入政府采购预算，详见政府采购预算表。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410昌黎县统计局</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80.21</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1</w:t>
            </w:r>
          </w:p>
        </w:tc>
        <w:tc>
          <w:tcPr>
            <w:tcW w:w="2835" w:type="dxa"/>
            <w:vAlign w:val="center"/>
          </w:tcPr>
          <w:p>
            <w:pPr>
              <w:pStyle w:val="19"/>
            </w:pPr>
            <w:r>
              <w:t>16.26</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427</w:t>
            </w:r>
          </w:p>
        </w:tc>
        <w:tc>
          <w:tcPr>
            <w:tcW w:w="2835" w:type="dxa"/>
            <w:vAlign w:val="center"/>
          </w:tcPr>
          <w:p>
            <w:pPr>
              <w:pStyle w:val="19"/>
            </w:pPr>
            <w:r>
              <w:t>63.95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25</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24</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4"/>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宋体"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Arial" w:hAnsi="Times New Roman"/>
      <w:b/>
      <w:bCs/>
      <w:sz w:val="32"/>
      <w:szCs w:val="32"/>
      <w:lang w:val="en-US" w:eastAsia="uk-UA" w:bidi="ar-SA"/>
    </w:rPr>
  </w:style>
  <w:style w:type="character" w:default="1" w:styleId="10">
    <w:name w:val="Default Paragraph Font"/>
    <w:qFormat/>
  </w:style>
  <w:style w:type="paragraph" w:customStyle="1" w:yozoId="4094" w:styleId="15">
    <w:name w:val="单元格样式22"/>
    <w:qFormat/>
    <w:basedOn w:val="0"/>
    <w:pPr>
      <w:spacing w:before="0" w:after="0"/>
      <w:ind w:firstLine="0"/>
      <w:jc w:val="right"/>
      <w:outlineLvl w:val="9"/>
    </w:pPr>
    <w:rPr>
      <w:rFonts w:ascii="方正小标宋_GBK" w:eastAsia="方正小标宋_GBK" w:cs="方正小标宋_GBK" w:hAnsi="方正小标宋_GBK"/>
      <w:sz w:val="24"/>
    </w:rPr>
  </w:style>
  <w:style w:type="paragraph" w:customStyle="1" w:yozoId="4094" w:styleId="16">
    <w:name w:val="单元格样式21"/>
    <w:qFormat/>
    <w:basedOn w:val="0"/>
    <w:pPr>
      <w:spacing w:before="0" w:after="0"/>
      <w:ind w:firstLine="0"/>
      <w:jc w:val="center"/>
      <w:outlineLvl w:val="9"/>
    </w:pPr>
    <w:rPr>
      <w:rFonts w:ascii="方正小标宋_GBK" w:eastAsia="方正小标宋_GBK" w:cs="方正小标宋_GBK" w:hAnsi="方正小标宋_GBK"/>
      <w:sz w:val="24"/>
    </w:rPr>
  </w:style>
  <w:style w:type="paragraph" w:customStyle="1" w:yozoId="4094" w:styleId="17">
    <w:name w:val="单元格样式20"/>
    <w:qFormat/>
    <w:basedOn w:val="0"/>
    <w:pPr>
      <w:spacing w:before="0" w:after="0"/>
      <w:ind w:firstLine="0"/>
      <w:jc w:val="left"/>
      <w:outlineLvl w:val="9"/>
    </w:pPr>
    <w:rPr>
      <w:rFonts w:ascii="方正小标宋_GBK" w:eastAsia="方正小标宋_GBK" w:cs="方正小标宋_GBK" w:hAnsi="方正小标宋_GBK"/>
      <w:sz w:val="24"/>
    </w:rPr>
  </w:style>
  <w:style w:type="paragraph" w:customStyle="1" w:yozoId="4094" w:styleId="18">
    <w:name w:val="单元格样式1"/>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19">
    <w:name w:val="单元格样式4"/>
    <w:qFormat/>
    <w:basedOn w:val="0"/>
    <w:pPr>
      <w:spacing w:before="0" w:after="0"/>
      <w:ind w:firstLine="0"/>
      <w:jc w:val="right"/>
      <w:outlineLvl w:val="9"/>
    </w:pPr>
    <w:rPr>
      <w:rFonts w:ascii="方正书宋_GBK" w:eastAsia="方正书宋_GBK" w:cs="方正书宋_GBK" w:hAnsi="方正书宋_GBK"/>
      <w:sz w:val="21"/>
    </w:rPr>
  </w:style>
  <w:style w:type="paragraph" w:customStyle="1" w:yozoId="4094" w:styleId="20">
    <w:name w:val="单元格样式2"/>
    <w:qFormat/>
    <w:basedOn w:val="0"/>
    <w:pPr>
      <w:spacing w:before="0" w:after="0"/>
      <w:ind w:firstLine="0"/>
      <w:jc w:val="left"/>
      <w:outlineLvl w:val="9"/>
    </w:pPr>
    <w:rPr>
      <w:rFonts w:ascii="方正书宋_GBK" w:eastAsia="方正书宋_GBK" w:cs="方正书宋_GBK" w:hAnsi="方正书宋_GBK"/>
      <w:sz w:val="21"/>
    </w:rPr>
  </w:style>
  <w:style w:type="paragraph" w:customStyle="1" w:yozoId="4094" w:styleId="21">
    <w:name w:val="单元格样式3"/>
    <w:qFormat/>
    <w:basedOn w:val="0"/>
    <w:pPr>
      <w:spacing w:before="0" w:after="0"/>
      <w:ind w:firstLine="0"/>
      <w:jc w:val="center"/>
      <w:outlineLvl w:val="9"/>
    </w:pPr>
    <w:rPr>
      <w:rFonts w:ascii="方正书宋_GBK" w:eastAsia="方正书宋_GBK" w:cs="方正书宋_GBK" w:hAnsi="方正书宋_GBK"/>
      <w:sz w:val="21"/>
    </w:rPr>
  </w:style>
  <w:style w:type="paragraph" w:customStyle="1" w:yozoId="4094" w:styleId="22">
    <w:name w:val="单元格样式6"/>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3">
    <w:name w:val="单元格样式7"/>
    <w:qFormat/>
    <w:basedOn w:val="0"/>
    <w:pPr>
      <w:spacing w:before="0" w:after="0"/>
      <w:ind w:firstLine="0"/>
      <w:jc w:val="right"/>
      <w:outlineLvl w:val="9"/>
    </w:pPr>
    <w:rPr>
      <w:rFonts w:ascii="方正书宋_GBK" w:eastAsia="方正书宋_GBK" w:cs="方正书宋_GBK" w:hAnsi="方正书宋_GBK"/>
      <w:b/>
      <w:sz w:val="21"/>
    </w:rPr>
  </w:style>
  <w:style w:type="paragraph" w:customStyle="1" w:yozoId="4094" w:styleId="24">
    <w:name w:val="单元格样式5"/>
    <w:qFormat/>
    <w:basedOn w:val="0"/>
    <w:pPr>
      <w:spacing w:before="0" w:after="0"/>
      <w:ind w:firstLine="0"/>
      <w:jc w:val="left"/>
      <w:outlineLvl w:val="9"/>
    </w:pPr>
    <w:rPr>
      <w:rFonts w:ascii="方正书宋_GBK" w:eastAsia="方正书宋_GBK" w:cs="方正书宋_GBK" w:hAnsi="方正书宋_GBK"/>
      <w:b/>
      <w:sz w:val="21"/>
    </w:rPr>
  </w:style>
  <w:style w:type="paragraph" w:customStyle="1" w:yozoId="4094" w:styleId="25">
    <w:name w:val="插入文本样式-插入预算公开部门职责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6">
    <w:name w:val="插入文本样式-插入预算公开部门预算安排的总体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7">
    <w:name w:val="插入文本样式-插入预算公开部门机关运行经费安排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8">
    <w:name w:val="插入文本样式-插入预算公开部门财政拨款三公经费预算情况及增减变化原因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9">
    <w:name w:val="插入文本样式-插入总体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0">
    <w:name w:val="插入文本样式-插入职责分类绩效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1">
    <w:name w:val="插入文本样式-插入实现年度发展规划目标的保障措施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2">
    <w:name w:val="单元格样式23"/>
    <w:qFormat/>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yozoId="4094" w:styleId="33">
    <w:name w:val="TOC 2"/>
    <w:qFormat/>
    <w:basedOn w:val="0"/>
    <w:pPr>
      <w:ind w:left="240"/>
    </w:pPr>
  </w:style>
  <w:style w:type="paragraph" w:customStyle="1" w:yozoId="4094" w:styleId="34">
    <w:name w:val="TOC 3"/>
    <w:qFormat/>
    <w:basedOn w:val="0"/>
    <w:pPr>
      <w:ind w:left="480"/>
    </w:pPr>
  </w:style>
  <w:style w:type="paragraph" w:customStyle="1" w:yozoId="4094" w:styleId="35">
    <w:name w:val="TOC 1"/>
    <w:qFormat/>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0315B8FA-7E3B-425D-BBAE-09D0E5BBD4A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TotalTime>
  <Application>Yozo_Office9.0.6292.102ZH.HE70</Application>
  <Pages>26</Pages>
  <Words>0</Words>
  <Characters>9616</Characters>
  <Lines>0</Lines>
  <Paragraphs>139</Paragraphs>
  <CharactersWithSpaces>12822</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2</cp:revision>
  <dcterms:created xsi:type="dcterms:W3CDTF">2026-01-30T11:39:11Z</dcterms:created>
  <dcterms:modified xsi:type="dcterms:W3CDTF">2026-01-30T07:08:48Z</dcterms:modified>
</cp:coreProperties>
</file>