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348.28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348.28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348.28</w:t>
            </w:r>
          </w:p>
        </w:tc>
        <w:tc>
          <w:tcPr>
            <w:tcW w:w="4535" w:type="dxa"/>
            <w:vAlign w:val="center"/>
          </w:tcPr>
          <w:p>
            <w:pPr>
              <w:pStyle w:val="15"/>
            </w:pPr>
            <w:r>
              <w:t>本年支出合计</w:t>
            </w:r>
          </w:p>
        </w:tc>
        <w:tc>
          <w:tcPr>
            <w:tcW w:w="2126" w:type="dxa"/>
            <w:vAlign w:val="center"/>
          </w:tcPr>
          <w:p>
            <w:pPr>
              <w:pStyle w:val="16"/>
            </w:pPr>
            <w:r>
              <w:t>535.28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187.00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535.28</w:t>
            </w:r>
          </w:p>
        </w:tc>
        <w:tc>
          <w:tcPr>
            <w:tcW w:w="4535" w:type="dxa"/>
            <w:vAlign w:val="center"/>
          </w:tcPr>
          <w:p>
            <w:pPr>
              <w:pStyle w:val="15"/>
            </w:pPr>
            <w:r>
              <w:t>支出总计</w:t>
            </w:r>
          </w:p>
        </w:tc>
        <w:tc>
          <w:tcPr>
            <w:tcW w:w="2126" w:type="dxa"/>
            <w:vAlign w:val="center"/>
          </w:tcPr>
          <w:p>
            <w:pPr>
              <w:pStyle w:val="16"/>
            </w:pPr>
            <w:r>
              <w:t>535.28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535.28</w:t>
            </w:r>
          </w:p>
        </w:tc>
        <w:tc>
          <w:tcPr>
            <w:tcW w:w="1134" w:type="dxa"/>
            <w:vAlign w:val="center"/>
          </w:tcPr>
          <w:p>
            <w:pPr>
              <w:pStyle w:val="16"/>
            </w:pPr>
            <w:r>
              <w:t>348.28</w:t>
            </w:r>
          </w:p>
        </w:tc>
        <w:tc>
          <w:tcPr>
            <w:tcW w:w="1134" w:type="dxa"/>
            <w:vAlign w:val="center"/>
          </w:tcPr>
          <w:p>
            <w:pPr>
              <w:pStyle w:val="16"/>
            </w:pPr>
            <w:r>
              <w:t>348.28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20508</w:t>
            </w:r>
          </w:p>
        </w:tc>
        <w:tc>
          <w:tcPr>
            <w:tcW w:w="1559" w:type="dxa"/>
            <w:vAlign w:val="center"/>
          </w:tcPr>
          <w:p>
            <w:pPr>
              <w:pStyle w:val="13"/>
            </w:pPr>
            <w:r>
              <w:t>进修及培训</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2050802</w:t>
            </w:r>
          </w:p>
        </w:tc>
        <w:tc>
          <w:tcPr>
            <w:tcW w:w="1559" w:type="dxa"/>
            <w:vAlign w:val="center"/>
          </w:tcPr>
          <w:p>
            <w:pPr>
              <w:pStyle w:val="13"/>
            </w:pPr>
            <w:r>
              <w:t>干部教育</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r>
              <w:t>348.28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187.00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535.28</w:t>
            </w:r>
          </w:p>
        </w:tc>
        <w:tc>
          <w:tcPr>
            <w:tcW w:w="1361" w:type="dxa"/>
            <w:vAlign w:val="center"/>
          </w:tcPr>
          <w:p>
            <w:pPr>
              <w:pStyle w:val="16"/>
            </w:pPr>
            <w:r>
              <w:t>348.28</w:t>
            </w:r>
          </w:p>
        </w:tc>
        <w:tc>
          <w:tcPr>
            <w:tcW w:w="1361" w:type="dxa"/>
            <w:vAlign w:val="center"/>
          </w:tcPr>
          <w:p>
            <w:pPr>
              <w:pStyle w:val="16"/>
            </w:pPr>
            <w:r>
              <w:t>187.00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348.28</w:t>
            </w:r>
          </w:p>
        </w:tc>
        <w:tc>
          <w:tcPr>
            <w:tcW w:w="1361" w:type="dxa"/>
            <w:vAlign w:val="center"/>
          </w:tcPr>
          <w:p>
            <w:pPr>
              <w:pStyle w:val="12"/>
            </w:pPr>
            <w:r>
              <w:t>348.28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348.28</w:t>
            </w:r>
          </w:p>
        </w:tc>
        <w:tc>
          <w:tcPr>
            <w:tcW w:w="1361" w:type="dxa"/>
            <w:vAlign w:val="center"/>
          </w:tcPr>
          <w:p>
            <w:pPr>
              <w:pStyle w:val="12"/>
            </w:pPr>
            <w:r>
              <w:t>348.28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2050802</w:t>
            </w:r>
          </w:p>
        </w:tc>
        <w:tc>
          <w:tcPr>
            <w:tcW w:w="4535" w:type="dxa"/>
            <w:vAlign w:val="center"/>
          </w:tcPr>
          <w:p>
            <w:pPr>
              <w:pStyle w:val="13"/>
            </w:pPr>
            <w:r>
              <w:t>干部教育</w:t>
            </w:r>
          </w:p>
        </w:tc>
        <w:tc>
          <w:tcPr>
            <w:tcW w:w="1361" w:type="dxa"/>
            <w:vAlign w:val="center"/>
          </w:tcPr>
          <w:p>
            <w:pPr>
              <w:pStyle w:val="12"/>
            </w:pPr>
            <w:r>
              <w:t>348.28</w:t>
            </w:r>
          </w:p>
        </w:tc>
        <w:tc>
          <w:tcPr>
            <w:tcW w:w="1361" w:type="dxa"/>
            <w:vAlign w:val="center"/>
          </w:tcPr>
          <w:p>
            <w:pPr>
              <w:pStyle w:val="12"/>
            </w:pPr>
            <w:r>
              <w:t>348.28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r>
              <w:t>187.00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348.28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348.28</w:t>
            </w:r>
          </w:p>
        </w:tc>
        <w:tc>
          <w:tcPr>
            <w:tcW w:w="1474" w:type="dxa"/>
            <w:vAlign w:val="center"/>
          </w:tcPr>
          <w:p>
            <w:pPr>
              <w:pStyle w:val="12"/>
            </w:pPr>
            <w:r>
              <w:t>348.28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187.00</w:t>
            </w:r>
          </w:p>
        </w:tc>
        <w:tc>
          <w:tcPr>
            <w:tcW w:w="1474" w:type="dxa"/>
            <w:vAlign w:val="center"/>
          </w:tcPr>
          <w:p>
            <w:pPr>
              <w:pStyle w:val="12"/>
            </w:pPr>
          </w:p>
        </w:tc>
        <w:tc>
          <w:tcPr>
            <w:tcW w:w="1474" w:type="dxa"/>
            <w:vAlign w:val="center"/>
          </w:tcPr>
          <w:p>
            <w:pPr>
              <w:pStyle w:val="12"/>
            </w:pPr>
            <w:r>
              <w:t>187.00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348.28</w:t>
            </w:r>
          </w:p>
        </w:tc>
        <w:tc>
          <w:tcPr>
            <w:tcW w:w="3402" w:type="dxa"/>
            <w:vAlign w:val="center"/>
          </w:tcPr>
          <w:p>
            <w:pPr>
              <w:pStyle w:val="15"/>
            </w:pPr>
            <w:r>
              <w:t>本年支出合计</w:t>
            </w:r>
          </w:p>
        </w:tc>
        <w:tc>
          <w:tcPr>
            <w:tcW w:w="1474" w:type="dxa"/>
            <w:vAlign w:val="center"/>
          </w:tcPr>
          <w:p>
            <w:pPr>
              <w:pStyle w:val="16"/>
            </w:pPr>
            <w:r>
              <w:t>535.28</w:t>
            </w:r>
          </w:p>
        </w:tc>
        <w:tc>
          <w:tcPr>
            <w:tcW w:w="1474" w:type="dxa"/>
            <w:vAlign w:val="center"/>
          </w:tcPr>
          <w:p>
            <w:pPr>
              <w:pStyle w:val="16"/>
            </w:pPr>
            <w:r>
              <w:t>348.28</w:t>
            </w:r>
          </w:p>
        </w:tc>
        <w:tc>
          <w:tcPr>
            <w:tcW w:w="1474" w:type="dxa"/>
            <w:vAlign w:val="center"/>
          </w:tcPr>
          <w:p>
            <w:pPr>
              <w:pStyle w:val="16"/>
            </w:pPr>
            <w:r>
              <w:t>187.00</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187.00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187.00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535.28</w:t>
            </w:r>
          </w:p>
        </w:tc>
        <w:tc>
          <w:tcPr>
            <w:tcW w:w="3402" w:type="dxa"/>
            <w:vAlign w:val="center"/>
          </w:tcPr>
          <w:p>
            <w:pPr>
              <w:pStyle w:val="15"/>
            </w:pPr>
            <w:r>
              <w:t>支出总计</w:t>
            </w:r>
          </w:p>
        </w:tc>
        <w:tc>
          <w:tcPr>
            <w:tcW w:w="1474" w:type="dxa"/>
            <w:vAlign w:val="center"/>
          </w:tcPr>
          <w:p>
            <w:pPr>
              <w:pStyle w:val="16"/>
            </w:pPr>
            <w:r>
              <w:t>535.28</w:t>
            </w:r>
          </w:p>
        </w:tc>
        <w:tc>
          <w:tcPr>
            <w:tcW w:w="1474" w:type="dxa"/>
            <w:vAlign w:val="center"/>
          </w:tcPr>
          <w:p>
            <w:pPr>
              <w:pStyle w:val="16"/>
            </w:pPr>
            <w:r>
              <w:t>348.28</w:t>
            </w:r>
          </w:p>
        </w:tc>
        <w:tc>
          <w:tcPr>
            <w:tcW w:w="1474" w:type="dxa"/>
            <w:vAlign w:val="center"/>
          </w:tcPr>
          <w:p>
            <w:pPr>
              <w:pStyle w:val="16"/>
            </w:pPr>
            <w:r>
              <w:t>187.00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348.28</w:t>
            </w:r>
          </w:p>
        </w:tc>
        <w:tc>
          <w:tcPr>
            <w:tcW w:w="2551" w:type="dxa"/>
            <w:vAlign w:val="center"/>
          </w:tcPr>
          <w:p>
            <w:pPr>
              <w:pStyle w:val="16"/>
            </w:pPr>
            <w:r>
              <w:t>348.28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348.28</w:t>
            </w:r>
          </w:p>
        </w:tc>
        <w:tc>
          <w:tcPr>
            <w:tcW w:w="2551" w:type="dxa"/>
            <w:vAlign w:val="center"/>
          </w:tcPr>
          <w:p>
            <w:pPr>
              <w:pStyle w:val="12"/>
            </w:pPr>
            <w:r>
              <w:t>348.28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348.28</w:t>
            </w:r>
          </w:p>
        </w:tc>
        <w:tc>
          <w:tcPr>
            <w:tcW w:w="2551" w:type="dxa"/>
            <w:vAlign w:val="center"/>
          </w:tcPr>
          <w:p>
            <w:pPr>
              <w:pStyle w:val="12"/>
            </w:pPr>
            <w:r>
              <w:t>348.28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2050802</w:t>
            </w:r>
          </w:p>
        </w:tc>
        <w:tc>
          <w:tcPr>
            <w:tcW w:w="4535" w:type="dxa"/>
            <w:vAlign w:val="center"/>
          </w:tcPr>
          <w:p>
            <w:pPr>
              <w:pStyle w:val="13"/>
            </w:pPr>
            <w:r>
              <w:t>干部教育</w:t>
            </w:r>
          </w:p>
        </w:tc>
        <w:tc>
          <w:tcPr>
            <w:tcW w:w="2551" w:type="dxa"/>
            <w:vAlign w:val="center"/>
          </w:tcPr>
          <w:p>
            <w:pPr>
              <w:pStyle w:val="12"/>
            </w:pPr>
            <w:r>
              <w:t>348.28</w:t>
            </w:r>
          </w:p>
        </w:tc>
        <w:tc>
          <w:tcPr>
            <w:tcW w:w="2551" w:type="dxa"/>
            <w:vAlign w:val="center"/>
          </w:tcPr>
          <w:p>
            <w:pPr>
              <w:pStyle w:val="12"/>
            </w:pPr>
            <w:r>
              <w:t>348.28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348.28</w:t>
            </w:r>
          </w:p>
        </w:tc>
        <w:tc>
          <w:tcPr>
            <w:tcW w:w="2551" w:type="dxa"/>
            <w:vAlign w:val="center"/>
          </w:tcPr>
          <w:p>
            <w:pPr>
              <w:pStyle w:val="16"/>
            </w:pPr>
            <w:r>
              <w:t>333.24</w:t>
            </w:r>
          </w:p>
        </w:tc>
        <w:tc>
          <w:tcPr>
            <w:tcW w:w="2551" w:type="dxa"/>
            <w:vAlign w:val="center"/>
          </w:tcPr>
          <w:p>
            <w:pPr>
              <w:pStyle w:val="16"/>
            </w:pPr>
            <w:r>
              <w:t>15.04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292.79</w:t>
            </w:r>
          </w:p>
        </w:tc>
        <w:tc>
          <w:tcPr>
            <w:tcW w:w="2551" w:type="dxa"/>
            <w:vAlign w:val="center"/>
          </w:tcPr>
          <w:p>
            <w:pPr>
              <w:pStyle w:val="12"/>
            </w:pPr>
            <w:r>
              <w:t>292.79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144.74</w:t>
            </w:r>
          </w:p>
        </w:tc>
        <w:tc>
          <w:tcPr>
            <w:tcW w:w="2551" w:type="dxa"/>
            <w:vAlign w:val="center"/>
          </w:tcPr>
          <w:p>
            <w:pPr>
              <w:pStyle w:val="12"/>
            </w:pPr>
            <w:r>
              <w:t>144.74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30.21</w:t>
            </w:r>
          </w:p>
        </w:tc>
        <w:tc>
          <w:tcPr>
            <w:tcW w:w="2551" w:type="dxa"/>
            <w:vAlign w:val="center"/>
          </w:tcPr>
          <w:p>
            <w:pPr>
              <w:pStyle w:val="12"/>
            </w:pPr>
            <w:r>
              <w:t>30.21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13.25</w:t>
            </w:r>
          </w:p>
        </w:tc>
        <w:tc>
          <w:tcPr>
            <w:tcW w:w="2551" w:type="dxa"/>
            <w:vAlign w:val="center"/>
          </w:tcPr>
          <w:p>
            <w:pPr>
              <w:pStyle w:val="12"/>
            </w:pPr>
            <w:r>
              <w:t>13.25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34.97</w:t>
            </w:r>
          </w:p>
        </w:tc>
        <w:tc>
          <w:tcPr>
            <w:tcW w:w="2551" w:type="dxa"/>
            <w:vAlign w:val="center"/>
          </w:tcPr>
          <w:p>
            <w:pPr>
              <w:pStyle w:val="12"/>
            </w:pPr>
            <w:r>
              <w:t>34.97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34.80</w:t>
            </w:r>
          </w:p>
        </w:tc>
        <w:tc>
          <w:tcPr>
            <w:tcW w:w="2551" w:type="dxa"/>
            <w:vAlign w:val="center"/>
          </w:tcPr>
          <w:p>
            <w:pPr>
              <w:pStyle w:val="12"/>
            </w:pPr>
            <w:r>
              <w:t>34.80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15.62</w:t>
            </w:r>
          </w:p>
        </w:tc>
        <w:tc>
          <w:tcPr>
            <w:tcW w:w="2551" w:type="dxa"/>
            <w:vAlign w:val="center"/>
          </w:tcPr>
          <w:p>
            <w:pPr>
              <w:pStyle w:val="12"/>
            </w:pPr>
            <w:r>
              <w:t>15.62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1.81</w:t>
            </w:r>
          </w:p>
        </w:tc>
        <w:tc>
          <w:tcPr>
            <w:tcW w:w="2551" w:type="dxa"/>
            <w:vAlign w:val="center"/>
          </w:tcPr>
          <w:p>
            <w:pPr>
              <w:pStyle w:val="12"/>
            </w:pPr>
            <w:r>
              <w:t>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17.40</w:t>
            </w:r>
          </w:p>
        </w:tc>
        <w:tc>
          <w:tcPr>
            <w:tcW w:w="2551" w:type="dxa"/>
            <w:vAlign w:val="center"/>
          </w:tcPr>
          <w:p>
            <w:pPr>
              <w:pStyle w:val="12"/>
            </w:pPr>
            <w:r>
              <w:t>17.40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15.04</w:t>
            </w:r>
          </w:p>
        </w:tc>
        <w:tc>
          <w:tcPr>
            <w:tcW w:w="2551" w:type="dxa"/>
            <w:vAlign w:val="center"/>
          </w:tcPr>
          <w:p>
            <w:pPr>
              <w:pStyle w:val="12"/>
            </w:pPr>
          </w:p>
        </w:tc>
        <w:tc>
          <w:tcPr>
            <w:tcW w:w="2551" w:type="dxa"/>
            <w:vAlign w:val="center"/>
          </w:tcPr>
          <w:p>
            <w:pPr>
              <w:pStyle w:val="12"/>
            </w:pPr>
            <w:r>
              <w:t>15.04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1.41</w:t>
            </w:r>
          </w:p>
        </w:tc>
        <w:tc>
          <w:tcPr>
            <w:tcW w:w="2551" w:type="dxa"/>
            <w:vAlign w:val="center"/>
          </w:tcPr>
          <w:p>
            <w:pPr>
              <w:pStyle w:val="12"/>
            </w:pPr>
          </w:p>
        </w:tc>
        <w:tc>
          <w:tcPr>
            <w:tcW w:w="2551" w:type="dxa"/>
            <w:vAlign w:val="center"/>
          </w:tcPr>
          <w:p>
            <w:pPr>
              <w:pStyle w:val="12"/>
            </w:pPr>
            <w:r>
              <w:t>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1.75</w:t>
            </w:r>
          </w:p>
        </w:tc>
        <w:tc>
          <w:tcPr>
            <w:tcW w:w="2551" w:type="dxa"/>
            <w:vAlign w:val="center"/>
          </w:tcPr>
          <w:p>
            <w:pPr>
              <w:pStyle w:val="12"/>
            </w:pPr>
          </w:p>
        </w:tc>
        <w:tc>
          <w:tcPr>
            <w:tcW w:w="2551"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7.98</w:t>
            </w:r>
          </w:p>
        </w:tc>
        <w:tc>
          <w:tcPr>
            <w:tcW w:w="2551" w:type="dxa"/>
            <w:vAlign w:val="center"/>
          </w:tcPr>
          <w:p>
            <w:pPr>
              <w:pStyle w:val="12"/>
            </w:pPr>
          </w:p>
        </w:tc>
        <w:tc>
          <w:tcPr>
            <w:tcW w:w="2551" w:type="dxa"/>
            <w:vAlign w:val="center"/>
          </w:tcPr>
          <w:p>
            <w:pPr>
              <w:pStyle w:val="12"/>
            </w:pPr>
            <w:r>
              <w:t>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0.61</w:t>
            </w:r>
          </w:p>
        </w:tc>
        <w:tc>
          <w:tcPr>
            <w:tcW w:w="2551" w:type="dxa"/>
            <w:vAlign w:val="center"/>
          </w:tcPr>
          <w:p>
            <w:pPr>
              <w:pStyle w:val="12"/>
            </w:pPr>
          </w:p>
        </w:tc>
        <w:tc>
          <w:tcPr>
            <w:tcW w:w="2551" w:type="dxa"/>
            <w:vAlign w:val="center"/>
          </w:tcPr>
          <w:p>
            <w:pPr>
              <w:pStyle w:val="12"/>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40.45</w:t>
            </w:r>
          </w:p>
        </w:tc>
        <w:tc>
          <w:tcPr>
            <w:tcW w:w="2551" w:type="dxa"/>
            <w:vAlign w:val="center"/>
          </w:tcPr>
          <w:p>
            <w:pPr>
              <w:pStyle w:val="12"/>
            </w:pPr>
            <w:r>
              <w:t>40.45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40.45</w:t>
            </w:r>
          </w:p>
        </w:tc>
        <w:tc>
          <w:tcPr>
            <w:tcW w:w="2551" w:type="dxa"/>
            <w:vAlign w:val="center"/>
          </w:tcPr>
          <w:p>
            <w:pPr>
              <w:pStyle w:val="12"/>
            </w:pPr>
            <w:r>
              <w:t>40.45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187.00</w:t>
            </w:r>
          </w:p>
        </w:tc>
        <w:tc>
          <w:tcPr>
            <w:tcW w:w="2551" w:type="dxa"/>
            <w:vAlign w:val="center"/>
          </w:tcPr>
          <w:p>
            <w:pPr>
              <w:pStyle w:val="16"/>
            </w:pPr>
          </w:p>
        </w:tc>
        <w:tc>
          <w:tcPr>
            <w:tcW w:w="2551" w:type="dxa"/>
            <w:vAlign w:val="center"/>
          </w:tcPr>
          <w:p>
            <w:pPr>
              <w:pStyle w:val="16"/>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187.00</w:t>
            </w:r>
          </w:p>
        </w:tc>
        <w:tc>
          <w:tcPr>
            <w:tcW w:w="2551" w:type="dxa"/>
            <w:vAlign w:val="center"/>
          </w:tcPr>
          <w:p>
            <w:pPr>
              <w:pStyle w:val="12"/>
            </w:pPr>
          </w:p>
        </w:tc>
        <w:tc>
          <w:tcPr>
            <w:tcW w:w="2551"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187.00</w:t>
            </w:r>
          </w:p>
        </w:tc>
        <w:tc>
          <w:tcPr>
            <w:tcW w:w="2551" w:type="dxa"/>
            <w:vAlign w:val="center"/>
          </w:tcPr>
          <w:p>
            <w:pPr>
              <w:pStyle w:val="12"/>
            </w:pPr>
          </w:p>
        </w:tc>
        <w:tc>
          <w:tcPr>
            <w:tcW w:w="2551" w:type="dxa"/>
            <w:vAlign w:val="center"/>
          </w:tcPr>
          <w:p>
            <w:pPr>
              <w:pStyle w:val="12"/>
            </w:pPr>
            <w: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187.00</w:t>
            </w:r>
          </w:p>
        </w:tc>
        <w:tc>
          <w:tcPr>
            <w:tcW w:w="2551" w:type="dxa"/>
            <w:vAlign w:val="center"/>
          </w:tcPr>
          <w:p>
            <w:pPr>
              <w:pStyle w:val="12"/>
            </w:pPr>
          </w:p>
        </w:tc>
        <w:tc>
          <w:tcPr>
            <w:tcW w:w="2551" w:type="dxa"/>
            <w:vAlign w:val="center"/>
          </w:tcPr>
          <w:p>
            <w:pPr>
              <w:pStyle w:val="12"/>
            </w:pPr>
            <w:r>
              <w:t>187.00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0.29</w:t>
            </w:r>
          </w:p>
        </w:tc>
        <w:tc>
          <w:tcPr>
            <w:tcW w:w="2381" w:type="dxa"/>
            <w:vAlign w:val="center"/>
          </w:tcPr>
          <w:p>
            <w:pPr>
              <w:pStyle w:val="16"/>
            </w:pPr>
            <w:r>
              <w:t>0.29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0.29</w:t>
            </w:r>
          </w:p>
        </w:tc>
        <w:tc>
          <w:tcPr>
            <w:tcW w:w="2381" w:type="dxa"/>
            <w:vAlign w:val="center"/>
          </w:tcPr>
          <w:p>
            <w:pPr>
              <w:pStyle w:val="12"/>
            </w:pPr>
            <w:r>
              <w:t>0.29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0.29</w:t>
            </w:r>
          </w:p>
        </w:tc>
        <w:tc>
          <w:tcPr>
            <w:tcW w:w="2381" w:type="dxa"/>
            <w:vAlign w:val="center"/>
          </w:tcPr>
          <w:p>
            <w:pPr>
              <w:pStyle w:val="12"/>
            </w:pPr>
            <w:r>
              <w:t>0.29</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中国共产党昌黎县委员会党校2026年部门预算信息公开情况说明</w:t>
      </w:r>
    </w:p>
    <w:p>
      <w:pPr>
        <w:jc w:val="center"/>
      </w:pPr>
      <w:r>
        <w:rPr>
          <w:rFonts w:ascii="方正小标宋_GBK" w:hAnsi="方正小标宋_GBK" w:eastAsia="方正小标宋_GBK" w:cs="方正小标宋_GBK"/>
          <w:color w:val="000000"/>
          <w:sz w:val="44"/>
        </w:rPr>
        <w:t>中国共产党昌黎县委员会党校2026年部门预算信息公开情况说明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按照《中华人民共和国预算法》、《地方预决算公开操作规程》和《关于进一步推进预算公开工作的实施意见》规定，现将中国共产党昌黎县委员会党校2026年部门预算公开如下：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（一）发挥干部教育培训主渠道作用，有计划地培训乡科级领导干部、基层党员干部、优秀中青年干部等，负责对学员在培训期间的表现进行考核，提出考核意见。</w:t>
      </w:r>
    </w:p>
    <w:p>
      <w:pPr>
        <w:pStyle w:val="18"/>
      </w:pPr>
      <w:r>
        <w:t>（二）对学员进行马克思列宁主义、毛泽东思想、邓小平理论、“三个代表”重要思想、科学发展观、习近平新时代中国特色社会主义思想教育和党性教育，引导学员忠诚捍卫“两个确立”、增强“四个意识”、坚定“四个自信”。</w:t>
      </w:r>
    </w:p>
    <w:p>
      <w:pPr>
        <w:pStyle w:val="18"/>
      </w:pPr>
      <w:r>
        <w:t>（三）围绕党的中心任务和县委、县政府的重大决策和战略部署，对重大理论和现实问题开展科学研究，为县委、县政府决策提供服务，为教学和社会实践服务，发挥智库作用。</w:t>
      </w:r>
    </w:p>
    <w:p>
      <w:pPr>
        <w:pStyle w:val="18"/>
      </w:pPr>
      <w:r>
        <w:t>（四）根据县委对全县干部队伍建设的要求，会同有关部门制定各类骨干的培训轮训计划，承担各类领导干部、公务员、党外干部等培训轮训任务。</w:t>
      </w:r>
    </w:p>
    <w:p>
      <w:pPr>
        <w:pStyle w:val="18"/>
      </w:pPr>
      <w:r>
        <w:t>（五）承办县委、县政府举办的各类专题研讨班、学习班。</w:t>
      </w:r>
    </w:p>
    <w:p>
      <w:pPr>
        <w:pStyle w:val="18"/>
      </w:pPr>
      <w:r>
        <w:t>（六）完成县委、县政府交办的其他任务。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中国共产党昌黎县委员会党校本级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按照预算管理有关规定，目前部门预算的编制实行综合预算管理，即全部收入和支出都反映在预算中。中国共产党昌黎县委员会党校机关及所属事业单位的收支包含在部门预算中。</w:t>
      </w:r>
    </w:p>
    <w:p>
      <w:pPr>
        <w:pStyle w:val="19"/>
      </w:pPr>
      <w:r>
        <w:t>1、收入说明</w:t>
      </w:r>
    </w:p>
    <w:p>
      <w:pPr>
        <w:pStyle w:val="19"/>
      </w:pPr>
      <w:r>
        <w:t>反映本部门当年全部收入。2026年预算收入535.28万元，其中：一般公共预算收入348.28万元，基金预算收入0.00万元，国有资本经营预算收入0.00万元，财政专户核拨收入0.00万元，单位资金收入0.00万元，上年结转结余187.00万元。</w:t>
      </w:r>
    </w:p>
    <w:p>
      <w:pPr>
        <w:pStyle w:val="19"/>
      </w:pPr>
      <w:r>
        <w:t>2、支出说明</w:t>
      </w:r>
    </w:p>
    <w:p>
      <w:pPr>
        <w:pStyle w:val="19"/>
      </w:pPr>
      <w:r>
        <w:t>收支预算总表支出栏、基本支出表、项目支出表按经济分类和支出功能分类科目编制，反映中国共产党昌黎县委员会党校年度部门预算中支出预算的总体情况。2026年支出预算535.28万元，其中基本支出348.28万元，包括人员经费333.24万元和日常公用经费15.04万元；项目支出187.00万元，主要为党校迁建工程进度款；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535.28万元，较2025年预算减少786.78万元，其中：基本支出增加26.22万元，主要为新增2名事业人员，同时政策性调整。项目支出减少813.00万元，主要为党校迁建工程款预算减少。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2026年，我部门机关运行经费共计安排15.04万元，主要用于日常维修、办公用房水电费、办公用房取暖费、办公用房物业管理费等日常运行支出。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0.29万元，其中因公出国（境）费0.00万元；公务用车购置及运维费0.00万元（其中：公务用车购置费为0.00万元，公务用车运维费0.00万元)；公务接待费0.29万元。与2025年相比减少0.01万元，增减变化的主要原因是为贯彻落实习惯过紧日子要求，压减三公经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2026年，以习近平新时代中国特色社会主义思想为指导,认真落实党的二十届四中全会精神，以落实县委工作部署为主线，切实强化党建统领作用，增强干训工作职能，切实提升教学、科研、咨政水平，坚持高标准，坚持有创新，为我县经济社会高质量发展提供智力支持和思想保证。一是做好</w:t>
      </w:r>
      <w:r>
        <w:rPr>
          <w:rFonts w:hint="eastAsia"/>
          <w:lang w:eastAsia="zh-CN"/>
        </w:rPr>
        <w:t>党的</w:t>
      </w:r>
      <w:bookmarkStart w:id="20" w:name="_GoBack"/>
      <w:bookmarkEnd w:id="20"/>
      <w:r>
        <w:t>二十届四中</w:t>
      </w:r>
      <w:r>
        <w:rPr>
          <w:rFonts w:hint="eastAsia"/>
          <w:lang w:eastAsia="zh-CN"/>
        </w:rPr>
        <w:t>全会</w:t>
      </w:r>
      <w:r>
        <w:t>精神的宣讲。坚持每周五集中学习制度，采取多种形式，进一步抓好机关党员干部的理论武装工作。二是完成县干教领导小组安排的各类培训。主要包括入党积极分子培训班、新发展党员培训班、中青年干部培训班、科级干部能力提升选修课堂、农村干部培训、公务员培训班等主体班次培训。三是强化科研工作，做好科研课题申报和申报课题的结项。2026年向省委党校申报科研课题至少1项。完成2025年申报课题的结项申报。</w:t>
      </w:r>
    </w:p>
    <w:p>
      <w:pPr>
        <w:spacing w:line="500" w:lineRule="exact"/>
        <w:ind w:firstLine="560"/>
      </w:pPr>
      <w:r>
        <w:rPr>
          <w:rFonts w:eastAsia="方正仿宋_GBK"/>
          <w:color w:val="000000"/>
          <w:sz w:val="28"/>
        </w:rPr>
        <w:t>（二）分项绩效目标</w:t>
      </w:r>
    </w:p>
    <w:p>
      <w:pPr>
        <w:pStyle w:val="23"/>
      </w:pPr>
      <w:r>
        <w:t>有效提高干部的理论政策水平、思想觉悟和执政能力。通过不断提高教学水平、完善教学设施、优化教学布局、丰富教学手段，围绕党和国家工作大局，培养忠诚于中国特色社会主义事业、德才兼备的党员领导干部和理论干部。</w:t>
      </w:r>
    </w:p>
    <w:p>
      <w:pPr>
        <w:pStyle w:val="23"/>
      </w:pPr>
      <w:r>
        <w:t>（一）进一步发挥党校主阵地作用。</w:t>
      </w:r>
    </w:p>
    <w:p>
      <w:pPr>
        <w:pStyle w:val="23"/>
      </w:pPr>
      <w:r>
        <w:t>绩效目标：增加培训班次，按照县委干教领导小组安排，做好各类班次的组织、教学、管理工作。做好对外宣讲，拓展党校课堂，扩大宣传中央、省、市、县重大精神的广度和深度</w:t>
      </w:r>
    </w:p>
    <w:p>
      <w:pPr>
        <w:pStyle w:val="23"/>
      </w:pPr>
      <w:r>
        <w:t>绩效指标：完成培训人次</w:t>
      </w:r>
      <w:r>
        <w:rPr>
          <w:rFonts w:hint="eastAsia" w:asciiTheme="minorEastAsia" w:hAnsiTheme="minorEastAsia" w:eastAsiaTheme="minorEastAsia"/>
          <w:lang w:eastAsia="zh-CN"/>
        </w:rPr>
        <w:t>700</w:t>
      </w:r>
      <w:r>
        <w:t>人，学员参训率达到100%，推动培训效果的影响度。</w:t>
      </w:r>
    </w:p>
    <w:p>
      <w:pPr>
        <w:pStyle w:val="23"/>
      </w:pPr>
      <w:r>
        <w:t>（二）提高党校师资建设。</w:t>
      </w:r>
    </w:p>
    <w:p>
      <w:pPr>
        <w:pStyle w:val="23"/>
      </w:pPr>
      <w:r>
        <w:t>绩效目标：提高教师授课水平，组织骨干教师到省市党校参加师资培训。把寒暑假的前两周作为调研周，使教师充分了解县情，增加理论联系实际的能力。加强现场教学基地建设。通过重点培育和建设，形成1门有党校特色的红色教育优势学科。现场教学基地建设以五峰山李大钊革命活动旧址为主，继续完善感怀大钊精神，牢记使命初心”五峰山李大钊革命活动旧址现场教学内容。</w:t>
      </w:r>
    </w:p>
    <w:p>
      <w:pPr>
        <w:pStyle w:val="23"/>
      </w:pPr>
      <w:r>
        <w:t>绩效指标：推动特色教学占比95%以上</w:t>
      </w:r>
    </w:p>
    <w:p>
      <w:pPr>
        <w:pStyle w:val="23"/>
      </w:pPr>
      <w:r>
        <w:t>（三）提升教师科研水平</w:t>
      </w:r>
    </w:p>
    <w:p>
      <w:pPr>
        <w:pStyle w:val="23"/>
      </w:pPr>
      <w:r>
        <w:t>绩效目标：开展调研周活动。带领教师深入调研，增强了党校教师理论联系实际的能力，充分了解县情，为今后授课积累素材。做好省市委党校的科研立项。根据省市委党校安排，鼓励教师参加省市党校组织的科研工作。</w:t>
      </w:r>
    </w:p>
    <w:p>
      <w:pPr>
        <w:pStyle w:val="23"/>
      </w:pPr>
      <w:r>
        <w:t>绩效指标：向省委党校或市委党校申报科研课题至少1项。完成2026年科研课题立项。至少1项省党校或市党校科研课题立项。完成2025年课题结项，达到良好标准。</w:t>
      </w:r>
    </w:p>
    <w:p>
      <w:pPr>
        <w:pStyle w:val="23"/>
      </w:pPr>
      <w:r>
        <w:t>（四）提高学员及群众满意度</w:t>
      </w:r>
    </w:p>
    <w:p>
      <w:pPr>
        <w:pStyle w:val="23"/>
      </w:pPr>
      <w:r>
        <w:t>绩效目标：推进党校迁建工程。通过有效的行政后勤管理，完善场地水电设施，提高保障水平，促进教学活动和学员培训水平的提高。搞好图书馆建设。便于培训学员和我校教师的学习，利于周边单位人员的阅览。</w:t>
      </w:r>
    </w:p>
    <w:p>
      <w:pPr>
        <w:pStyle w:val="23"/>
      </w:pPr>
      <w:r>
        <w:t>绩效指标：学员及群众满意度95%以上</w:t>
      </w:r>
    </w:p>
    <w:p>
      <w:pPr>
        <w:pStyle w:val="23"/>
      </w:pPr>
    </w:p>
    <w:p>
      <w:pPr>
        <w:spacing w:line="500" w:lineRule="exact"/>
        <w:ind w:firstLine="560"/>
      </w:pPr>
      <w:r>
        <w:rPr>
          <w:rFonts w:eastAsia="方正仿宋_GBK"/>
          <w:color w:val="000000"/>
          <w:sz w:val="28"/>
        </w:rPr>
        <w:t>（三）工作保障措施</w:t>
      </w:r>
    </w:p>
    <w:p>
      <w:pPr>
        <w:pStyle w:val="24"/>
      </w:pPr>
      <w:r>
        <w:t>（一）加强学习，抓好理论武装。坚持每周五的集中学习日，坚持党校姓党原则，实现学习教育常态化、制度化，认真学习习近平新时代中国特色社会主义</w:t>
      </w:r>
      <w:r>
        <w:rPr>
          <w:rFonts w:hint="eastAsia"/>
          <w:lang w:eastAsia="zh-CN"/>
        </w:rPr>
        <w:t>思想</w:t>
      </w:r>
      <w:r>
        <w:t>和党的二十届四中</w:t>
      </w:r>
      <w:r>
        <w:rPr>
          <w:rFonts w:hint="eastAsia" w:asciiTheme="minorEastAsia" w:hAnsiTheme="minorEastAsia" w:eastAsiaTheme="minorEastAsia"/>
          <w:lang w:eastAsia="zh-CN"/>
        </w:rPr>
        <w:t>全会</w:t>
      </w:r>
      <w:r>
        <w:t>精神，提高教职员工的政治思想素质和理论水平，做到政治上合格。加强教师队伍建设，提高教职工业务素质。深化调研，提出优化财政资金配置、提高资金使用效益的意见建议。加大宣传力度，强化预算绩效管理意识，促进预算绩效管理水平进一步提升。</w:t>
      </w:r>
    </w:p>
    <w:p>
      <w:pPr>
        <w:pStyle w:val="24"/>
        <w:rPr>
          <w:lang w:val="uk-UA"/>
        </w:rPr>
      </w:pPr>
      <w:r>
        <w:t>（二）严格管理，办好主体班次。按照干教领导小组安排，做好主体班次培训工作。跟进领会全国党校（行政学院）工作会议精神及新修订的《中国共产党党校（行政学院）工作条例》，突出理论教育和党性教育，提升培训学员的综合素养。组织教师参加省市党校的师资培训，提高教师业务水平。组织骨干教师到省委党校参加师资培训班。</w:t>
      </w:r>
    </w:p>
    <w:p>
      <w:pPr>
        <w:pStyle w:val="24"/>
      </w:pPr>
      <w:r>
        <w:t>（三）完善制度建设。严格执行财务制度，严格预算管理，各项支出按照预算严格执行，“三公”经费支出公开透明，把有限的资金用到教学和科研上。严格落实试讲制度。</w:t>
      </w:r>
      <w:r>
        <w:rPr>
          <w:rFonts w:hint="eastAsia" w:eastAsiaTheme="minorEastAsia"/>
          <w:lang w:eastAsia="zh-CN"/>
        </w:rPr>
        <w:t>坚持</w:t>
      </w:r>
      <w:r>
        <w:rPr>
          <w:rFonts w:eastAsiaTheme="minorEastAsia"/>
          <w:lang w:eastAsia="zh-CN"/>
        </w:rPr>
        <w:t>每学期开展备课会</w:t>
      </w:r>
      <w:r>
        <w:t>，从教学内容、教态、语言表达等方面严格把关，合格者上讲台，不合格者继续完善，直到试讲合格才能上讲台，保障教学内容符合党中央精神。</w:t>
      </w:r>
    </w:p>
    <w:p>
      <w:pPr>
        <w:pStyle w:val="24"/>
      </w:pPr>
      <w:r>
        <w:t>（四）加强支出管理。优化支出结构、编细编实预算、加快履行政府采购手续、尽快推进党校迁建工程和举办培训班次、及时支付资金、6月底前保证支出过半，确保支出进度达标。</w:t>
      </w:r>
    </w:p>
    <w:p>
      <w:pPr>
        <w:pStyle w:val="24"/>
      </w:pPr>
      <w:r>
        <w:t>（五）加强绩效运行监控。按要求开展绩效运行监控，发现问题及时采取措施，确保绩效目标如期保质实现。做好各种硬件设施的维护工作，保障培训工作的顺利进行。各种教学设备做到定期维护，能够正常使用。学员休息室，定期换洗床单、被罩，及时清扫室内卫生，保证学员有良好的休息环境。</w:t>
      </w:r>
    </w:p>
    <w:p>
      <w:pPr>
        <w:pStyle w:val="24"/>
      </w:pPr>
      <w:r>
        <w:t>（六）做好绩效自评。按要求开展上年度部门预算绩效自评和重点评价工作，对评价中发现的问题及时整改，调整优化支出结构，提高财政资金使用效益。</w:t>
      </w:r>
    </w:p>
    <w:p>
      <w:pPr>
        <w:pStyle w:val="24"/>
      </w:pPr>
      <w:r>
        <w:t>（七）规范财务资产管理。完善财务管理制度，严格审批程序，加强固定资产登记、使用和报废处置管理，做到支出合理，物尽其用。</w:t>
      </w:r>
    </w:p>
    <w:p>
      <w:pPr>
        <w:pStyle w:val="24"/>
      </w:pPr>
      <w:r>
        <w:t>（八）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九）加强宣传培训调研。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eastAsia="黑体" w:cs="黑体" w:asciiTheme="minorHAnsi" w:hAnsiTheme="minorHAnsi"/>
          <w:color w:val="000000"/>
          <w:sz w:val="32"/>
          <w:lang w:val="uk-UA"/>
        </w:rPr>
      </w:pPr>
    </w:p>
    <w:p>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eastAsia="方正仿宋_GBK"/>
          <w:sz w:val="28"/>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1、昌黎县2025年新增专项债券用于政府拖欠企业账款（6.30）-6657984183639482833-昌黎县委党校迁建工程绩效目标表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13032225P002295102102</w:t>
            </w:r>
          </w:p>
        </w:tc>
        <w:tc>
          <w:tcPr>
            <w:tcW w:w="2835" w:type="dxa"/>
            <w:vAlign w:val="center"/>
          </w:tcPr>
          <w:p>
            <w:pPr>
              <w:pStyle w:val="11"/>
            </w:pPr>
            <w:r>
              <w:t>项目名称</w:t>
            </w:r>
          </w:p>
        </w:tc>
        <w:tc>
          <w:tcPr>
            <w:tcW w:w="6095" w:type="dxa"/>
            <w:gridSpan w:val="3"/>
            <w:vAlign w:val="center"/>
          </w:tcPr>
          <w:p>
            <w:pPr>
              <w:pStyle w:val="13"/>
            </w:pPr>
            <w:r>
              <w:t>昌黎县2025年新增专项债券用于政府拖欠企业账款（6.30）-6657984183639482833-昌黎县委党校迁建工程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187.00</w:t>
            </w:r>
          </w:p>
        </w:tc>
        <w:tc>
          <w:tcPr>
            <w:tcW w:w="2835" w:type="dxa"/>
            <w:vAlign w:val="center"/>
          </w:tcPr>
          <w:p>
            <w:pPr>
              <w:pStyle w:val="11"/>
            </w:pPr>
            <w:r>
              <w:t>其中：财政    资金</w:t>
            </w:r>
          </w:p>
        </w:tc>
        <w:tc>
          <w:tcPr>
            <w:tcW w:w="2551" w:type="dxa"/>
            <w:vAlign w:val="center"/>
          </w:tcPr>
          <w:p>
            <w:pPr>
              <w:pStyle w:val="13"/>
            </w:pPr>
            <w:r>
              <w:t>187.00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用于偿还拖欠企业工程款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1.加强对政府投资项目的统一管理，加强项目资金的财务管理，发挥政府投资的最大效益。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建设项目数量</w:t>
            </w:r>
          </w:p>
        </w:tc>
        <w:tc>
          <w:tcPr>
            <w:tcW w:w="5386" w:type="dxa"/>
            <w:vAlign w:val="center"/>
          </w:tcPr>
          <w:p>
            <w:pPr>
              <w:pStyle w:val="13"/>
            </w:pPr>
            <w:r>
              <w:t>全年建设财政投资项目数量</w:t>
            </w:r>
          </w:p>
        </w:tc>
        <w:tc>
          <w:tcPr>
            <w:tcW w:w="2268" w:type="dxa"/>
            <w:vAlign w:val="center"/>
          </w:tcPr>
          <w:p>
            <w:pPr>
              <w:pStyle w:val="13"/>
            </w:pPr>
            <w:r>
              <w:t>≥1个</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建设项目通过质量验收数量占总建设项目数量的比率</w:t>
            </w:r>
          </w:p>
        </w:tc>
        <w:tc>
          <w:tcPr>
            <w:tcW w:w="2268" w:type="dxa"/>
            <w:vAlign w:val="center"/>
          </w:tcPr>
          <w:p>
            <w:pPr>
              <w:pStyle w:val="13"/>
            </w:pPr>
            <w:r>
              <w:t>≥95%</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工程按期完工率</w:t>
            </w:r>
          </w:p>
        </w:tc>
        <w:tc>
          <w:tcPr>
            <w:tcW w:w="5386" w:type="dxa"/>
            <w:vAlign w:val="center"/>
          </w:tcPr>
          <w:p>
            <w:pPr>
              <w:pStyle w:val="13"/>
            </w:pPr>
            <w:r>
              <w:t>按期完成的工程量占总工程量的比率</w:t>
            </w:r>
          </w:p>
        </w:tc>
        <w:tc>
          <w:tcPr>
            <w:tcW w:w="2268" w:type="dxa"/>
            <w:vAlign w:val="center"/>
          </w:tcPr>
          <w:p>
            <w:pPr>
              <w:pStyle w:val="13"/>
            </w:pPr>
            <w:r>
              <w:t>≥100%</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项目资金预算控制率</w:t>
            </w:r>
          </w:p>
        </w:tc>
        <w:tc>
          <w:tcPr>
            <w:tcW w:w="5386" w:type="dxa"/>
            <w:vAlign w:val="center"/>
          </w:tcPr>
          <w:p>
            <w:pPr>
              <w:pStyle w:val="13"/>
            </w:pPr>
            <w:r>
              <w:t>实际发生的项目资金占项目预算资金的比率</w:t>
            </w:r>
          </w:p>
        </w:tc>
        <w:tc>
          <w:tcPr>
            <w:tcW w:w="2268" w:type="dxa"/>
            <w:vAlign w:val="center"/>
          </w:tcPr>
          <w:p>
            <w:pPr>
              <w:pStyle w:val="13"/>
            </w:pPr>
            <w:r>
              <w:t>≤100%</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发财政资金使用效益</w:t>
            </w:r>
          </w:p>
        </w:tc>
        <w:tc>
          <w:tcPr>
            <w:tcW w:w="5386" w:type="dxa"/>
            <w:vAlign w:val="center"/>
          </w:tcPr>
          <w:p>
            <w:pPr>
              <w:pStyle w:val="13"/>
            </w:pPr>
            <w:r>
              <w:t>发挥财政资金使用效益</w:t>
            </w:r>
          </w:p>
        </w:tc>
        <w:tc>
          <w:tcPr>
            <w:tcW w:w="2268" w:type="dxa"/>
            <w:vAlign w:val="center"/>
          </w:tcPr>
          <w:p>
            <w:pPr>
              <w:pStyle w:val="13"/>
            </w:pPr>
            <w:r>
              <w:t>效果较上年明显</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提高党员干部素质</w:t>
            </w:r>
          </w:p>
        </w:tc>
        <w:tc>
          <w:tcPr>
            <w:tcW w:w="5386" w:type="dxa"/>
            <w:vAlign w:val="center"/>
          </w:tcPr>
          <w:p>
            <w:pPr>
              <w:pStyle w:val="13"/>
            </w:pPr>
            <w:r>
              <w:t>发挥现代信息技术作用，建设成为学习理论研究的重要阵地</w:t>
            </w:r>
          </w:p>
        </w:tc>
        <w:tc>
          <w:tcPr>
            <w:tcW w:w="2268" w:type="dxa"/>
            <w:vAlign w:val="center"/>
          </w:tcPr>
          <w:p>
            <w:pPr>
              <w:pStyle w:val="13"/>
            </w:pPr>
            <w:r>
              <w:t>较上年提高</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节能环保</w:t>
            </w:r>
          </w:p>
        </w:tc>
        <w:tc>
          <w:tcPr>
            <w:tcW w:w="5386" w:type="dxa"/>
            <w:vAlign w:val="center"/>
          </w:tcPr>
          <w:p>
            <w:pPr>
              <w:pStyle w:val="13"/>
            </w:pPr>
            <w:r>
              <w:t>建筑材料采用节能环保材料</w:t>
            </w:r>
          </w:p>
        </w:tc>
        <w:tc>
          <w:tcPr>
            <w:tcW w:w="2268" w:type="dxa"/>
            <w:vAlign w:val="center"/>
          </w:tcPr>
          <w:p>
            <w:pPr>
              <w:pStyle w:val="13"/>
            </w:pPr>
            <w:r>
              <w:t>更加节能环保</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保障党校培训工作的有效进行</w:t>
            </w:r>
          </w:p>
        </w:tc>
        <w:tc>
          <w:tcPr>
            <w:tcW w:w="2268" w:type="dxa"/>
            <w:vAlign w:val="center"/>
          </w:tcPr>
          <w:p>
            <w:pPr>
              <w:pStyle w:val="13"/>
            </w:pPr>
            <w:r>
              <w:t>更好满足培训工作</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≥90%</w:t>
            </w:r>
          </w:p>
        </w:tc>
        <w:tc>
          <w:tcPr>
            <w:tcW w:w="1276" w:type="dxa"/>
            <w:vAlign w:val="center"/>
          </w:tcPr>
          <w:p>
            <w:pPr>
              <w:pStyle w:val="13"/>
            </w:pPr>
            <w:r>
              <w:t>走访调查</w:t>
            </w:r>
          </w:p>
        </w:tc>
      </w:tr>
    </w:tbl>
    <w:p>
      <w:pPr>
        <w:sectPr>
          <w:type w:val="continuous"/>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中国共产党昌黎县委员会党校（含所属单位）上年末固定资产金额为214.86万元（详见下表）。本年度拟购置固定资产总额为0.00万元，已按要求列入政府采购预算，详见政府采购预算表。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281中国共产党昌黎县委员会党校</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214.86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2803.83</w:t>
            </w:r>
          </w:p>
        </w:tc>
        <w:tc>
          <w:tcPr>
            <w:tcW w:w="2835" w:type="dxa"/>
            <w:vAlign w:val="center"/>
          </w:tcPr>
          <w:p>
            <w:pPr>
              <w:pStyle w:val="12"/>
            </w:pPr>
            <w:r>
              <w:t>138.96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164</w:t>
            </w:r>
          </w:p>
        </w:tc>
        <w:tc>
          <w:tcPr>
            <w:tcW w:w="2835" w:type="dxa"/>
            <w:vAlign w:val="center"/>
          </w:tcPr>
          <w:p>
            <w:pPr>
              <w:pStyle w:val="12"/>
            </w:pPr>
            <w:r>
              <w:t>75.91</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24C64"/>
    <w:rsid w:val="00163663"/>
    <w:rsid w:val="002A15A7"/>
    <w:rsid w:val="00624C64"/>
    <w:rsid w:val="00873E62"/>
    <w:rsid w:val="00A157B2"/>
    <w:rsid w:val="02D047F0"/>
    <w:rsid w:val="57EF4B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1822</Words>
  <Characters>10386</Characters>
  <Lines>86</Lines>
  <Paragraphs>24</Paragraphs>
  <TotalTime>8</TotalTime>
  <ScaleCrop>false</ScaleCrop>
  <LinksUpToDate>false</LinksUpToDate>
  <CharactersWithSpaces>12184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dcterms:modified xsi:type="dcterms:W3CDTF">2026-02-03T01:21:31Z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E92EBA609FE44D8BA0B0B066E4201419</vt:lpwstr>
  </property>
</Properties>
</file>